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3.xml" ContentType="application/xml"/>
  <Override PartName="/customXml/item2.xml" ContentType="application/xml"/>
  <Override PartName="/customXml/itemProps1.xml" ContentType="application/vnd.openxmlformats-officedocument.customXmlProperties+xml"/>
  <Override PartName="/customXml/itemProps4.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1.xml" ContentType="application/xml"/>
  <Override PartName="/word/_rels/document.xml.rels" ContentType="application/vnd.openxmlformats-package.relationships+xml"/>
  <Override PartName="/word/footer3.xml" ContentType="application/vnd.openxmlformats-officedocument.wordprocessingml.footer+xml"/>
  <Override PartName="/word/header3.xml" ContentType="application/vnd.openxmlformats-officedocument.wordprocessingml.header+xml"/>
  <Override PartName="/word/media/image9.wmf" ContentType="image/x-wmf"/>
  <Override PartName="/word/media/image19.wmf" ContentType="image/x-wmf"/>
  <Override PartName="/word/media/image21.wmf" ContentType="image/x-wmf"/>
  <Override PartName="/word/media/image8.wmf" ContentType="image/x-wmf"/>
  <Override PartName="/word/media/image18.wmf" ContentType="image/x-wmf"/>
  <Override PartName="/word/media/image20.wmf" ContentType="image/x-wmf"/>
  <Override PartName="/word/media/image7.wmf" ContentType="image/x-wmf"/>
  <Override PartName="/word/media/image17.wmf" ContentType="image/x-wmf"/>
  <Override PartName="/word/media/image6.wmf" ContentType="image/x-wmf"/>
  <Override PartName="/word/media/image16.wmf" ContentType="image/x-wmf"/>
  <Override PartName="/word/media/image5.wmf" ContentType="image/x-wmf"/>
  <Override PartName="/word/media/image15.wmf" ContentType="image/x-wmf"/>
  <Override PartName="/word/media/image4.wmf" ContentType="image/x-wmf"/>
  <Override PartName="/word/media/image14.wmf" ContentType="image/x-wmf"/>
  <Override PartName="/word/media/image11.wmf" ContentType="image/x-wmf"/>
  <Override PartName="/word/media/image22.wmf" ContentType="image/x-wmf"/>
  <Override PartName="/word/media/image12.wmf" ContentType="image/x-wmf"/>
  <Override PartName="/word/media/image2.wmf" ContentType="image/x-wmf"/>
  <Override PartName="/word/media/image1.png" ContentType="image/png"/>
  <Override PartName="/word/media/image10.wmf" ContentType="image/x-wmf"/>
  <Override PartName="/word/media/image3.wmf" ContentType="image/x-wmf"/>
  <Override PartName="/word/media/image13.wmf" ContentType="image/x-wmf"/>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header4.xml" ContentType="application/vnd.openxmlformats-officedocument.wordprocessingml.head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ind w:firstLine="567"/>
        <w:jc w:val="right"/>
        <w:rPr>
          <w:b w:val="false"/>
        </w:rPr>
      </w:pPr>
      <w:bookmarkStart w:id="0" w:name="_GoBack"/>
      <w:bookmarkEnd w:id="0"/>
      <w:r>
        <w:rPr>
          <w:b w:val="false"/>
        </w:rPr>
        <w:t>Приложение</w:t>
      </w:r>
    </w:p>
    <w:p>
      <w:pPr>
        <w:pStyle w:val="Normal"/>
        <w:shd w:val="clear" w:color="auto" w:fill="FFFFFF"/>
        <w:tabs>
          <w:tab w:val="clear" w:pos="709"/>
          <w:tab w:val="left" w:pos="6926" w:leader="none"/>
        </w:tabs>
        <w:jc w:val="right"/>
        <w:rPr>
          <w:bCs/>
          <w:sz w:val="24"/>
          <w:szCs w:val="24"/>
        </w:rPr>
      </w:pPr>
      <w:r>
        <w:rPr>
          <w:bCs/>
          <w:sz w:val="24"/>
          <w:szCs w:val="24"/>
        </w:rPr>
        <w:t>к приказу ПАО «РусГидро»</w:t>
      </w:r>
    </w:p>
    <w:p>
      <w:pPr>
        <w:pStyle w:val="Normal"/>
        <w:shd w:val="clear" w:color="auto" w:fill="FFFFFF"/>
        <w:tabs>
          <w:tab w:val="clear" w:pos="709"/>
          <w:tab w:val="left" w:pos="6926" w:leader="none"/>
        </w:tabs>
        <w:jc w:val="right"/>
        <w:rPr>
          <w:b/>
          <w:sz w:val="24"/>
          <w:szCs w:val="24"/>
        </w:rPr>
      </w:pPr>
      <w:r>
        <w:rPr>
          <w:sz w:val="24"/>
          <w:szCs w:val="24"/>
        </w:rPr>
        <w:t>от 02.07.2024 № 415</w:t>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right"/>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right"/>
        <w:rPr>
          <w:bCs/>
          <w:sz w:val="24"/>
          <w:szCs w:val="24"/>
        </w:rPr>
      </w:pPr>
      <w:r>
        <w:rPr>
          <w:bCs/>
          <w:sz w:val="24"/>
          <w:szCs w:val="24"/>
        </w:rPr>
      </w:r>
    </w:p>
    <w:p>
      <w:pPr>
        <w:pStyle w:val="Normal"/>
        <w:ind w:firstLine="709"/>
        <w:jc w:val="both"/>
        <w:rPr>
          <w:sz w:val="24"/>
          <w:szCs w:val="24"/>
        </w:rPr>
      </w:pPr>
      <w:r>
        <w:rPr>
          <w:b/>
          <w:bCs/>
          <w:spacing w:val="4"/>
          <w:sz w:val="24"/>
          <w:szCs w:val="24"/>
        </w:rPr>
        <w:t>Акционерное общество «Транспортная компания РусГидро»</w:t>
      </w:r>
      <w:r>
        <w:rPr>
          <w:spacing w:val="4"/>
          <w:sz w:val="24"/>
          <w:szCs w:val="24"/>
        </w:rPr>
        <w:t xml:space="preserve"> (АО «ТК РусГидро») (далее – «Покупатель»), в лице Директора Дальневосточного филиала АО «ТК РусГидро» Золотарева Василия Юрьевича, действующего на основании доверенности № 816 от 01.12.2025, с одной стороны, и</w:t>
      </w:r>
    </w:p>
    <w:p>
      <w:pPr>
        <w:pStyle w:val="Normal"/>
        <w:ind w:firstLine="709"/>
        <w:jc w:val="both"/>
        <w:rPr>
          <w:sz w:val="24"/>
          <w:szCs w:val="24"/>
        </w:rPr>
      </w:pP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конкурентной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ind w:left="0" w:firstLine="708"/>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ind w:left="0" w:firstLine="709"/>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2"/>
        </w:numPr>
        <w:tabs>
          <w:tab w:val="clear" w:pos="709"/>
          <w:tab w:val="left" w:pos="567" w:leader="none"/>
          <w:tab w:val="left" w:pos="1134" w:leader="none"/>
        </w:tabs>
        <w:ind w:left="0" w:firstLine="709"/>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9"/>
          <w:tab w:val="left" w:pos="567" w:leader="none"/>
        </w:tabs>
        <w:spacing w:before="0" w:after="0"/>
        <w:ind w:firstLine="708"/>
        <w:jc w:val="both"/>
        <w:textAlignment w:val="baseline"/>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9"/>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Cs/>
          <w:sz w:val="24"/>
          <w:szCs w:val="24"/>
          <w:highlight w:val="lightGray"/>
        </w:rPr>
        <w:t xml:space="preserve">_____________________ </w:t>
      </w:r>
      <w:r>
        <w:rPr>
          <w:bCs/>
          <w:i/>
          <w:sz w:val="24"/>
          <w:szCs w:val="24"/>
          <w:highlight w:val="lightGray"/>
        </w:rPr>
        <w:t>[указывается общее наименование товара]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Поставка Товара по Договору осуществляется для нужд </w:t>
      </w:r>
      <w:r>
        <w:rPr>
          <w:bCs/>
          <w:sz w:val="24"/>
          <w:szCs w:val="24"/>
          <w:highlight w:val="lightGray"/>
        </w:rPr>
        <w:t>__________________.</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Место поставки Товара: </w:t>
      </w:r>
      <w:r>
        <w:rPr>
          <w:sz w:val="24"/>
          <w:szCs w:val="24"/>
          <w:highlight w:val="lightGray"/>
        </w:rPr>
        <w:t>_________________</w:t>
      </w:r>
      <w:r>
        <w:rPr>
          <w:sz w:val="24"/>
          <w:szCs w:val="24"/>
        </w:rPr>
        <w:t xml:space="preserve"> (далее – «Место поставки»).</w:t>
      </w:r>
    </w:p>
    <w:p>
      <w:pPr>
        <w:pStyle w:val="Normal"/>
        <w:numPr>
          <w:ilvl w:val="1"/>
          <w:numId w:val="2"/>
        </w:numPr>
        <w:shd w:val="clear" w:color="auto" w:fill="FFFFFF"/>
        <w:tabs>
          <w:tab w:val="clear" w:pos="709"/>
          <w:tab w:val="left" w:pos="0" w:leader="none"/>
          <w:tab w:val="left" w:pos="540" w:leader="none"/>
          <w:tab w:val="left" w:pos="1134" w:leader="none"/>
        </w:tabs>
        <w:ind w:left="0" w:firstLine="709"/>
        <w:jc w:val="both"/>
        <w:rPr>
          <w:bCs/>
          <w:sz w:val="24"/>
          <w:szCs w:val="24"/>
        </w:rPr>
      </w:pPr>
      <w:r>
        <w:rPr>
          <w:bCs/>
          <w:sz w:val="24"/>
          <w:szCs w:val="24"/>
        </w:rPr>
        <w:t xml:space="preserve">Срок поставки Товара: </w:t>
      </w:r>
      <w:r>
        <w:rPr>
          <w:bCs/>
          <w:sz w:val="24"/>
          <w:szCs w:val="24"/>
          <w:highlight w:val="lightGray"/>
        </w:rPr>
        <w:t>«___» ___________ 20___</w:t>
      </w:r>
      <w:r>
        <w:rPr>
          <w:bCs/>
          <w:sz w:val="24"/>
          <w:szCs w:val="24"/>
        </w:rPr>
        <w:t xml:space="preserve"> г.</w:t>
      </w:r>
    </w:p>
    <w:p>
      <w:pPr>
        <w:pStyle w:val="Normal"/>
        <w:shd w:val="clear" w:color="auto" w:fill="FFFFFF"/>
        <w:tabs>
          <w:tab w:val="clear" w:pos="709"/>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9"/>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2"/>
        </w:numPr>
        <w:tabs>
          <w:tab w:val="clear" w:pos="709"/>
          <w:tab w:val="left" w:pos="568" w:leader="none"/>
          <w:tab w:val="left" w:pos="1134" w:leader="none"/>
        </w:tabs>
        <w:ind w:left="0" w:firstLine="709"/>
        <w:jc w:val="both"/>
        <w:rPr/>
      </w:pPr>
      <w:r>
        <w:rPr>
          <w:bCs/>
          <w:sz w:val="24"/>
          <w:szCs w:val="24"/>
          <w:highlight w:val="lightGray"/>
        </w:rPr>
        <w: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t>
        <w:br/>
        <w: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t>
        <w:br/>
        <w: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9"/>
          <w:tab w:val="left" w:pos="1418" w:leader="none"/>
        </w:tabs>
        <w:ind w:left="0" w:firstLine="709"/>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9"/>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9"/>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rPr>
      </w:pPr>
      <w:r>
        <w:rPr>
          <w:sz w:val="24"/>
        </w:rPr>
        <w:t>Авансовый платеж в размере 30 (тридцати) процентов от стоимости Товара</w:t>
      </w:r>
      <w:r>
        <w:rPr>
          <w:rStyle w:val="FootnoteReference"/>
          <w:sz w:val="24"/>
        </w:rPr>
        <w:footnoteReference w:id="4"/>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2"/>
        </w:numPr>
        <w:ind w:left="0" w:firstLine="709"/>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5"/>
      </w:r>
      <w:r>
        <w:rPr>
          <w:sz w:val="24"/>
        </w:rPr>
        <w:t xml:space="preserve">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bookmarkStart w:id="1"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1"/>
      <w:r>
        <w:rPr>
          <w:bCs/>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9"/>
          <w:tab w:val="left" w:pos="1134" w:leader="none"/>
        </w:tabs>
        <w:ind w:left="0" w:firstLine="709"/>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9"/>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left="0" w:firstLine="709"/>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4"/>
        </w:numPr>
        <w:tabs>
          <w:tab w:val="clear" w:pos="709"/>
          <w:tab w:val="left" w:pos="1418" w:leader="none"/>
        </w:tabs>
        <w:ind w:left="0" w:firstLine="709"/>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9"/>
          <w:tab w:val="left" w:pos="1418" w:leader="none"/>
        </w:tabs>
        <w:ind w:left="0" w:firstLine="709"/>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3"/>
        </w:numPr>
        <w:shd w:val="clear" w:color="auto" w:fill="FFFFFF"/>
        <w:tabs>
          <w:tab w:val="clear" w:pos="709"/>
          <w:tab w:val="left" w:pos="1418" w:leader="none"/>
        </w:tabs>
        <w:ind w:left="0" w:firstLine="709"/>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left="0" w:firstLine="709"/>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9"/>
          <w:tab w:val="left" w:pos="1276" w:leader="none"/>
        </w:tabs>
        <w:ind w:left="0" w:firstLine="709"/>
        <w:jc w:val="both"/>
        <w:rPr>
          <w:bCs/>
          <w:sz w:val="24"/>
          <w:szCs w:val="24"/>
        </w:rPr>
      </w:pPr>
      <w:bookmarkStart w:id="2"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2"/>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bookmarkStart w:id="3" w:name="_Ref361396594"/>
      <w:r>
        <w:rPr>
          <w:sz w:val="24"/>
          <w:szCs w:val="24"/>
        </w:rPr>
        <w:t xml:space="preserve">Датой поставки Товара является дата подписания Сторонами Накладной </w:t>
        <w:br/>
        <w:t>ТОРГ-12/УПД.</w:t>
      </w:r>
      <w:bookmarkEnd w:id="3"/>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left="0" w:firstLine="709"/>
        <w:jc w:val="both"/>
        <w:rPr>
          <w:sz w:val="24"/>
          <w:szCs w:val="24"/>
        </w:rPr>
      </w:pPr>
      <w:bookmarkStart w:id="4"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4"/>
      <w:r>
        <w:rPr>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9"/>
          <w:tab w:val="left" w:pos="1276" w:leader="none"/>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2"/>
        </w:numPr>
        <w:shd w:val="clear" w:color="auto" w:fill="FFFFFF"/>
        <w:tabs>
          <w:tab w:val="clear" w:pos="709"/>
          <w:tab w:val="left" w:pos="1276" w:leader="none"/>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9"/>
          <w:tab w:val="left" w:pos="284" w:leader="none"/>
        </w:tabs>
        <w:ind w:left="0" w:hanging="0"/>
        <w:jc w:val="center"/>
        <w:rPr>
          <w:b/>
          <w:sz w:val="24"/>
          <w:szCs w:val="24"/>
        </w:rPr>
      </w:pPr>
      <w:r>
        <w:rPr>
          <w:b/>
          <w:sz w:val="24"/>
          <w:szCs w:val="24"/>
        </w:rPr>
        <w:t>Гарантийный срок</w:t>
      </w:r>
    </w:p>
    <w:p>
      <w:pPr>
        <w:pStyle w:val="ListParagraph"/>
        <w:numPr>
          <w:ilvl w:val="1"/>
          <w:numId w:val="2"/>
        </w:numPr>
        <w:tabs>
          <w:tab w:val="left" w:pos="709" w:leader="none"/>
          <w:tab w:val="left" w:pos="1134" w:leader="none"/>
        </w:tabs>
        <w:ind w:left="0" w:firstLine="709"/>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5"/>
      <w:bookmarkStart w:id="6" w:name="OLE_LINK6"/>
      <w:r>
        <w:rPr>
          <w:sz w:val="24"/>
          <w:szCs w:val="24"/>
        </w:rPr>
        <w:t>Покупателем в соответствии с пунктом 4.3 Договора</w:t>
      </w:r>
      <w:bookmarkEnd w:id="5"/>
      <w:bookmarkEnd w:id="6"/>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2"/>
        </w:numPr>
        <w:shd w:val="clear" w:color="auto" w:fill="FFFFFF"/>
        <w:tabs>
          <w:tab w:val="clear" w:pos="709"/>
          <w:tab w:val="left" w:pos="1134" w:leader="none"/>
        </w:tabs>
        <w:ind w:left="0" w:firstLine="709"/>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10"/>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9"/>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9"/>
          <w:tab w:val="left" w:pos="1418" w:leader="none"/>
        </w:tabs>
        <w:ind w:left="0" w:firstLine="709"/>
        <w:jc w:val="both"/>
        <w:rPr>
          <w:bCs/>
        </w:rPr>
      </w:pPr>
      <w:r>
        <w:rPr>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в оригинале на бумажном носителе.</w:t>
      </w:r>
    </w:p>
    <w:p>
      <w:pPr>
        <w:pStyle w:val="Normal"/>
        <w:widowControl/>
        <w:numPr>
          <w:ilvl w:val="1"/>
          <w:numId w:val="2"/>
        </w:numPr>
        <w:tabs>
          <w:tab w:val="clear" w:pos="709"/>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9"/>
          <w:tab w:val="left" w:pos="0" w:leader="none"/>
        </w:tabs>
        <w:ind w:left="0" w:firstLine="709"/>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left="0" w:firstLine="709"/>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left="0" w:firstLine="709"/>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1"/>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2"/>
        </w:numPr>
        <w:shd w:val="clear" w:color="auto" w:fill="FFFFFF"/>
        <w:tabs>
          <w:tab w:val="clear" w:pos="709"/>
          <w:tab w:val="left" w:pos="1134" w:leader="none"/>
          <w:tab w:val="left" w:pos="1985" w:leader="none"/>
        </w:tabs>
        <w:ind w:left="0" w:firstLine="709"/>
        <w:jc w:val="both"/>
        <w:rPr>
          <w:bCs/>
          <w:sz w:val="24"/>
          <w:szCs w:val="24"/>
        </w:rPr>
      </w:pPr>
      <w:r>
        <w:rPr>
          <w:sz w:val="24"/>
          <w:szCs w:val="24"/>
          <w:highlight w:val="lightGray"/>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2"/>
      </w:r>
      <w:r>
        <w:rPr>
          <w:sz w:val="24"/>
          <w:szCs w:val="24"/>
          <w:highlight w:val="lightGray"/>
        </w:rPr>
        <w:t>.</w:t>
      </w:r>
    </w:p>
    <w:p>
      <w:pPr>
        <w:pStyle w:val="ListParagraph"/>
        <w:widowControl/>
        <w:numPr>
          <w:ilvl w:val="1"/>
          <w:numId w:val="2"/>
        </w:numPr>
        <w:shd w:val="clear" w:color="auto" w:fill="FFFFFF"/>
        <w:ind w:left="0" w:firstLine="709"/>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9"/>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9"/>
          <w:tab w:val="left" w:pos="1276" w:leader="none"/>
        </w:tabs>
        <w:ind w:left="0" w:firstLine="709"/>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9"/>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9"/>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9"/>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8"/>
        </w:numPr>
        <w:tabs>
          <w:tab w:val="clear" w:pos="709"/>
          <w:tab w:val="left" w:pos="1276" w:leader="none"/>
        </w:tabs>
        <w:ind w:left="0" w:firstLine="709"/>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8"/>
        </w:numPr>
        <w:ind w:left="0" w:firstLine="709"/>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8"/>
        </w:numPr>
        <w:ind w:left="0" w:firstLine="709"/>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8"/>
        </w:numPr>
        <w:tabs>
          <w:tab w:val="clear" w:pos="709"/>
          <w:tab w:val="left" w:pos="1276" w:leader="none"/>
          <w:tab w:val="left" w:pos="1701" w:leader="none"/>
        </w:tabs>
        <w:ind w:left="0" w:firstLine="709"/>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8"/>
        </w:numPr>
        <w:shd w:val="clear" w:color="auto" w:fill="FFFFFF"/>
        <w:tabs>
          <w:tab w:val="clear" w:pos="709"/>
          <w:tab w:val="left" w:pos="1276" w:leader="none"/>
        </w:tabs>
        <w:ind w:left="0" w:firstLine="709"/>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8"/>
        </w:numPr>
        <w:shd w:val="clear" w:color="auto" w:fill="FFFFFF"/>
        <w:ind w:left="0" w:firstLine="709"/>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8"/>
        </w:numPr>
        <w:ind w:left="0" w:firstLine="709"/>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в ценовой зоне оптового рынка:</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4"/>
        </w:numPr>
        <w:spacing w:lineRule="auto" w:line="259"/>
        <w:ind w:left="0" w:firstLine="709"/>
        <w:jc w:val="both"/>
        <w:rPr>
          <w:sz w:val="24"/>
          <w:szCs w:val="24"/>
          <w:highlight w:val="lightGray"/>
        </w:rPr>
      </w:pPr>
      <w:r>
        <w:rPr>
          <w:sz w:val="24"/>
          <w:szCs w:val="24"/>
          <w:highlight w:val="lightGray"/>
        </w:rPr>
        <w:t xml:space="preserve">в отдельной территории ценовой зоны оптового рынка, ранее относившейся к  неценовой зоне оптового рынка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6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4"/>
          <w:highlight w:val="lightGray"/>
        </w:rPr>
        <w:t xml:space="preserve">Дальнего Востока Подрядчик дополнительно компенсирует Заказчику упущенную выгоду (выручку) в связи: </w:t>
      </w:r>
    </w:p>
    <w:p>
      <w:pPr>
        <w:pStyle w:val="ListParagraph"/>
        <w:numPr>
          <w:ilvl w:val="2"/>
          <w:numId w:val="18"/>
        </w:numPr>
        <w:ind w:left="0" w:firstLine="709"/>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в соответствии с Правилами ОРЭМ. </w:t>
      </w:r>
    </w:p>
    <w:p>
      <w:pPr>
        <w:pStyle w:val="ListParagraph"/>
        <w:numPr>
          <w:ilvl w:val="2"/>
          <w:numId w:val="18"/>
        </w:numPr>
        <w:ind w:left="0" w:firstLine="709"/>
        <w:jc w:val="both"/>
        <w:rPr>
          <w:sz w:val="24"/>
          <w:szCs w:val="24"/>
          <w:highlight w:val="lightGray"/>
        </w:rPr>
      </w:pPr>
      <w:r>
        <w:rPr>
          <w:sz w:val="24"/>
          <w:szCs w:val="24"/>
          <w:highlight w:val="lightGray"/>
        </w:rPr>
        <w:t xml:space="preserve">С уменьшением тарифа на мощность генерирующего объекта в порядке, установленном договором о присоединении к торговой системе оптового рынка, </w:t>
        <w:br/>
        <w: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t>
        <w:br/>
        <w:t>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t>
        <w:br/>
        <w:t>по локализации.</w:t>
      </w:r>
    </w:p>
    <w:p>
      <w:pPr>
        <w:pStyle w:val="ListParagraph"/>
        <w:numPr>
          <w:ilvl w:val="2"/>
          <w:numId w:val="18"/>
        </w:numPr>
        <w:ind w:left="0" w:firstLine="709"/>
        <w:jc w:val="both"/>
        <w:rPr>
          <w:sz w:val="24"/>
          <w:szCs w:val="24"/>
          <w:highlight w:val="lightGray"/>
        </w:rPr>
      </w:pPr>
      <w:r>
        <w:rPr>
          <w:sz w:val="24"/>
          <w:szCs w:val="24"/>
          <w:highlight w:val="lightGray"/>
        </w:rPr>
        <w:t xml:space="preserve"> </w:t>
      </w:r>
      <w:r>
        <w:rPr>
          <w:sz w:val="24"/>
          <w:szCs w:val="24"/>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 w:val="24"/>
          <w:szCs w:val="24"/>
          <w:highlight w:val="lightGray"/>
        </w:rPr>
        <w:footnoteReference w:id="13"/>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w:t>
      </w:r>
      <w:r>
        <w:rPr>
          <w:sz w:val="24"/>
          <w:szCs w:val="28"/>
          <w:highlight w:val="lightGray"/>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8"/>
          <w:highlight w:val="lightGray"/>
        </w:rPr>
        <w:t>Дальнего Востока изложена в П</w:t>
      </w:r>
      <w:r>
        <w:rPr>
          <w:sz w:val="24"/>
          <w:szCs w:val="24"/>
          <w:highlight w:val="lightGray"/>
        </w:rPr>
        <w:t>риложении № 6 к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18"/>
        </w:numPr>
        <w:ind w:left="0" w:firstLine="709"/>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FootnoteReference"/>
          <w:rFonts w:eastAsia="Calibri"/>
          <w:bCs/>
          <w:sz w:val="24"/>
          <w:szCs w:val="24"/>
          <w:highlight w:val="lightGray"/>
        </w:rPr>
        <w:footnoteReference w:id="14"/>
      </w:r>
      <w:r>
        <w:rPr>
          <w:rFonts w:eastAsia="Calibri"/>
          <w:bCs/>
          <w:sz w:val="24"/>
          <w:szCs w:val="24"/>
          <w:highlight w:val="lightGray"/>
        </w:rPr>
        <w:t>.</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8"/>
        </w:numPr>
        <w:shd w:val="clear" w:color="auto" w:fill="FFFFFF"/>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8"/>
        </w:numPr>
        <w:shd w:val="clear" w:color="auto" w:fill="FFFFFF"/>
        <w:ind w:left="0" w:firstLine="709"/>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8"/>
        </w:numPr>
        <w:shd w:val="clear" w:color="auto" w:fill="FFFFFF"/>
        <w:ind w:left="0" w:firstLine="709"/>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5"/>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0" w:leader="none"/>
        </w:tabs>
        <w:ind w:left="0" w:hanging="360"/>
        <w:jc w:val="center"/>
        <w:rPr>
          <w:b/>
          <w:bCs/>
          <w:sz w:val="24"/>
          <w:szCs w:val="24"/>
        </w:rPr>
      </w:pPr>
      <w:r>
        <w:rPr>
          <w:b/>
          <w:bCs/>
          <w:sz w:val="24"/>
          <w:szCs w:val="24"/>
        </w:rPr>
        <w:t>Конфиденциальность</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9"/>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9"/>
          <w:tab w:val="left" w:pos="0" w:leader="none"/>
          <w:tab w:val="left" w:pos="1134" w:leader="none"/>
        </w:tabs>
        <w:ind w:left="0" w:firstLine="709"/>
        <w:jc w:val="both"/>
        <w:rPr>
          <w:bCs/>
          <w:sz w:val="24"/>
          <w:szCs w:val="24"/>
        </w:rPr>
      </w:pPr>
      <w:bookmarkStart w:id="7"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7"/>
      <w:r>
        <w:rPr>
          <w:bCs/>
          <w:sz w:val="24"/>
          <w:szCs w:val="24"/>
        </w:rPr>
        <w:t xml:space="preserve">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bookmarkStart w:id="8"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ListParagraph"/>
        <w:widowControl/>
        <w:numPr>
          <w:ilvl w:val="2"/>
          <w:numId w:val="2"/>
        </w:numPr>
        <w:shd w:val="clear" w:color="auto" w:fill="FFFFFF"/>
        <w:tabs>
          <w:tab w:val="clear" w:pos="709"/>
          <w:tab w:val="left" w:pos="1418" w:leader="none"/>
        </w:tabs>
        <w:ind w:left="0" w:firstLine="709"/>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9"/>
          <w:tab w:val="left" w:pos="1134" w:leader="none"/>
        </w:tabs>
        <w:ind w:left="0" w:firstLine="709"/>
        <w:jc w:val="both"/>
        <w:rPr>
          <w:bCs/>
          <w:sz w:val="24"/>
          <w:szCs w:val="24"/>
        </w:rPr>
      </w:pPr>
      <w:bookmarkStart w:id="9"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Разрешение споров</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9"/>
          <w:tab w:val="left" w:pos="0" w:leader="none"/>
        </w:tabs>
        <w:ind w:left="0" w:firstLine="709"/>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rPr>
        <w:footnoteReference w:id="16"/>
      </w:r>
      <w:r>
        <w:rPr>
          <w:bCs/>
          <w:sz w:val="24"/>
          <w:szCs w:val="24"/>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Антикоррупционная оговорка</w:t>
      </w:r>
    </w:p>
    <w:p>
      <w:pPr>
        <w:pStyle w:val="ListParagraph"/>
        <w:numPr>
          <w:ilvl w:val="1"/>
          <w:numId w:val="2"/>
        </w:numPr>
        <w:shd w:val="clear" w:color="auto" w:fill="FFFFFF"/>
        <w:tabs>
          <w:tab w:val="clear" w:pos="709"/>
          <w:tab w:val="left" w:pos="1134" w:leader="none"/>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left="0" w:firstLine="709"/>
        <w:jc w:val="both"/>
        <w:rPr>
          <w:b/>
          <w:bCs/>
          <w:sz w:val="24"/>
          <w:szCs w:val="24"/>
        </w:rPr>
      </w:pPr>
      <w:r>
        <w:rPr>
          <w:b/>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left="0" w:firstLine="709"/>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rPr>
          <w:t>№ 18162/09</w:t>
        </w:r>
      </w:hyperlink>
      <w:r>
        <w:rPr>
          <w:bCs/>
          <w:sz w:val="24"/>
          <w:szCs w:val="24"/>
        </w:rPr>
        <w:t xml:space="preserve"> и от 25.05.2010 </w:t>
      </w:r>
      <w:hyperlink r:id="rId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9"/>
          <w:tab w:val="left" w:pos="1418" w:leader="none"/>
        </w:tabs>
        <w:ind w:left="0" w:firstLine="709"/>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2"/>
        </w:numPr>
        <w:shd w:val="clear" w:color="auto" w:fill="FFFFFF"/>
        <w:tabs>
          <w:tab w:val="clear" w:pos="709"/>
          <w:tab w:val="left" w:pos="1134" w:leader="none"/>
          <w:tab w:val="left" w:pos="1418" w:leader="none"/>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left" w:pos="0" w:leader="none"/>
          <w:tab w:val="left" w:pos="709" w:leader="none"/>
          <w:tab w:val="left" w:pos="1418"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left" w:pos="0" w:leader="none"/>
          <w:tab w:val="left" w:pos="709" w:leader="none"/>
        </w:tabs>
        <w:ind w:left="0" w:firstLine="709"/>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9"/>
          <w:tab w:val="left" w:pos="0" w:leader="none"/>
          <w:tab w:val="left" w:pos="567" w:leader="none"/>
        </w:tabs>
        <w:ind w:left="0" w:firstLine="709"/>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9"/>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left="709" w:hanging="0"/>
        <w:jc w:val="both"/>
        <w:rPr>
          <w:sz w:val="24"/>
          <w:szCs w:val="24"/>
        </w:rPr>
      </w:pPr>
      <w:r>
        <w:rPr>
          <w:sz w:val="24"/>
          <w:szCs w:val="24"/>
        </w:rPr>
      </w:r>
    </w:p>
    <w:p>
      <w:pPr>
        <w:pStyle w:val="ListParagraph"/>
        <w:widowControl/>
        <w:numPr>
          <w:ilvl w:val="0"/>
          <w:numId w:val="2"/>
        </w:numPr>
        <w:shd w:val="clear" w:color="auto" w:fill="FFFFFF"/>
        <w:ind w:left="0" w:hanging="36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left="0" w:firstLine="709"/>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9"/>
          <w:tab w:val="left" w:pos="0" w:leader="none"/>
          <w:tab w:val="left" w:pos="1418" w:leader="none"/>
        </w:tabs>
        <w:ind w:left="0" w:right="23" w:firstLine="709"/>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9"/>
          <w:tab w:val="left" w:pos="1418" w:leader="none"/>
        </w:tabs>
        <w:ind w:left="0" w:firstLine="709"/>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left="709" w:hanging="0"/>
        <w:jc w:val="both"/>
        <w:rPr>
          <w:bCs/>
          <w:sz w:val="24"/>
          <w:szCs w:val="24"/>
        </w:rPr>
      </w:pPr>
      <w:r>
        <w:rPr>
          <w:bCs/>
          <w:sz w:val="24"/>
          <w:szCs w:val="24"/>
        </w:rPr>
      </w:r>
    </w:p>
    <w:p>
      <w:pPr>
        <w:pStyle w:val="ListParagraph"/>
        <w:widowControl/>
        <w:numPr>
          <w:ilvl w:val="0"/>
          <w:numId w:val="2"/>
        </w:numPr>
        <w:shd w:val="clear" w:color="auto" w:fill="FFFFFF"/>
        <w:ind w:left="0" w:hanging="360"/>
        <w:jc w:val="center"/>
        <w:rPr>
          <w:b/>
          <w:bCs/>
          <w:sz w:val="24"/>
          <w:szCs w:val="24"/>
        </w:rPr>
      </w:pPr>
      <w:r>
        <w:rPr>
          <w:b/>
          <w:bCs/>
          <w:sz w:val="24"/>
          <w:szCs w:val="24"/>
        </w:rPr>
        <w:t>Заключительные положения</w:t>
      </w:r>
    </w:p>
    <w:p>
      <w:pPr>
        <w:pStyle w:val="ListParagraph"/>
        <w:widowControl/>
        <w:numPr>
          <w:ilvl w:val="1"/>
          <w:numId w:val="2"/>
        </w:numPr>
        <w:shd w:val="clear" w:color="auto" w:fill="FFFFFF"/>
        <w:tabs>
          <w:tab w:val="clear" w:pos="709"/>
          <w:tab w:val="left" w:pos="142" w:leader="none"/>
          <w:tab w:val="left" w:pos="1418" w:leader="none"/>
        </w:tabs>
        <w:ind w:left="0" w:firstLine="709"/>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2"/>
        </w:numPr>
        <w:tabs>
          <w:tab w:val="clear" w:pos="709"/>
          <w:tab w:val="left" w:pos="142" w:leader="none"/>
          <w:tab w:val="left" w:pos="1418" w:leader="none"/>
        </w:tabs>
        <w:snapToGrid w:val="false"/>
        <w:ind w:left="0" w:firstLine="709"/>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7"/>
      </w:r>
      <w:r>
        <w:rPr>
          <w:sz w:val="24"/>
          <w:szCs w:val="24"/>
          <w:highlight w:val="lightGray"/>
          <w:lang w:eastAsia="en-US"/>
        </w:rPr>
        <w:t>.</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bookmarkStart w:id="10"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10"/>
      <w:r>
        <w:rPr>
          <w:sz w:val="24"/>
          <w:szCs w:val="24"/>
        </w:rPr>
        <w:t xml:space="preserve"> </w:t>
      </w:r>
    </w:p>
    <w:p>
      <w:pPr>
        <w:pStyle w:val="ListParagraph"/>
        <w:widowControl/>
        <w:numPr>
          <w:ilvl w:val="1"/>
          <w:numId w:val="2"/>
        </w:numPr>
        <w:shd w:val="clear" w:color="auto" w:fill="FFFFFF"/>
        <w:tabs>
          <w:tab w:val="clear" w:pos="709"/>
          <w:tab w:val="left" w:pos="0" w:leader="none"/>
          <w:tab w:val="left" w:pos="1134" w:leader="none"/>
          <w:tab w:val="left" w:pos="1418" w:leader="none"/>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2"/>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2"/>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2"/>
        </w:numPr>
        <w:tabs>
          <w:tab w:val="clear" w:pos="709"/>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9"/>
          <w:tab w:val="left" w:pos="0" w:leader="none"/>
          <w:tab w:val="left" w:pos="1418" w:leader="none"/>
          <w:tab w:val="left" w:pos="1985" w:leader="none"/>
        </w:tabs>
        <w:ind w:left="0" w:firstLine="709"/>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8"/>
      </w:r>
      <w:r>
        <w:rPr>
          <w:bCs/>
          <w:sz w:val="24"/>
          <w:szCs w:val="24"/>
        </w:rPr>
        <w:t>.</w:t>
      </w:r>
      <w:r>
        <w:rPr>
          <w:sz w:val="24"/>
          <w:szCs w:val="24"/>
        </w:rPr>
        <w:t xml:space="preserve">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2"/>
        </w:numPr>
        <w:shd w:val="clear" w:color="auto" w:fill="FFFFFF"/>
        <w:tabs>
          <w:tab w:val="clear" w:pos="709"/>
          <w:tab w:val="left" w:pos="0" w:leader="none"/>
          <w:tab w:val="left" w:pos="1418" w:leader="none"/>
        </w:tabs>
        <w:ind w:left="0" w:firstLine="709"/>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9"/>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ind w:firstLine="709"/>
        <w:jc w:val="both"/>
        <w:rPr>
          <w:rFonts w:eastAsia="Calibri"/>
          <w:sz w:val="24"/>
          <w:szCs w:val="24"/>
          <w:lang w:eastAsia="en-US"/>
        </w:rPr>
      </w:pPr>
      <w:bookmarkStart w:id="11"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1"/>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5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 xml:space="preserve">Приложение № 6 – Методика расчета упущенной выгоды (выручки) </w:t>
        <w:br/>
        <w:t xml:space="preserve">и дополнительных обязательств участника ОРЭМ от недопоставки электрической энергии </w:t>
        <w:br/>
        <w:t>и мощности на ОРЭМ в неценовой зоне Дальнего Востока.</w:t>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9"/>
          <w:tab w:val="left" w:pos="426" w:leader="none"/>
        </w:tabs>
        <w:ind w:left="0" w:hanging="36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ind w:left="360" w:hanging="0"/>
        <w:rPr>
          <w:b/>
          <w:bCs/>
          <w:sz w:val="24"/>
          <w:szCs w:val="24"/>
        </w:rPr>
      </w:pPr>
      <w:r>
        <w:rPr>
          <w:b/>
          <w:bCs/>
          <w:sz w:val="24"/>
          <w:szCs w:val="24"/>
        </w:rPr>
      </w:r>
    </w:p>
    <w:tbl>
      <w:tblPr>
        <w:tblW w:w="9890"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4928"/>
        <w:gridCol w:w="4639"/>
        <w:gridCol w:w="323"/>
      </w:tblGrid>
      <w:tr>
        <w:trPr/>
        <w:tc>
          <w:tcPr>
            <w:tcW w:w="4928" w:type="dxa"/>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vMerge w:val="restart"/>
            <w:tcBorders/>
            <w:shd w:color="auto" w:fill="BFBFBF" w:val="clear"/>
          </w:tcPr>
          <w:p>
            <w:pPr>
              <w:pStyle w:val="Normal"/>
              <w:widowControl w:val="false"/>
              <w:rPr>
                <w:sz w:val="24"/>
                <w:szCs w:val="24"/>
                <w:highlight w:val="lightGray"/>
              </w:rPr>
            </w:pPr>
            <w:r>
              <w:rPr>
                <w:sz w:val="24"/>
                <w:szCs w:val="24"/>
                <w:highlight w:val="lightGray"/>
              </w:rPr>
            </w:r>
          </w:p>
          <w:p>
            <w:pPr>
              <w:pStyle w:val="Normal"/>
              <w:widowControl w:val="false"/>
              <w:rPr>
                <w:sz w:val="24"/>
                <w:szCs w:val="24"/>
              </w:rPr>
            </w:pPr>
            <w:r>
              <w:rPr>
                <w:b/>
                <w:sz w:val="24"/>
                <w:szCs w:val="24"/>
              </w:rPr>
              <w:t>Акционерное общество «Транспортная компания РусГидро»</w:t>
            </w:r>
          </w:p>
          <w:p>
            <w:pPr>
              <w:pStyle w:val="Normal"/>
              <w:widowControl w:val="false"/>
              <w:rPr>
                <w:sz w:val="24"/>
                <w:szCs w:val="24"/>
              </w:rPr>
            </w:pPr>
            <w:r>
              <w:rPr>
                <w:b/>
                <w:sz w:val="24"/>
                <w:szCs w:val="24"/>
              </w:rPr>
              <w:t>(АО «ТК РусГидро»)</w:t>
            </w:r>
          </w:p>
          <w:p>
            <w:pPr>
              <w:pStyle w:val="Normal"/>
              <w:widowControl w:val="false"/>
              <w:rPr>
                <w:b w:val="false"/>
                <w:bCs w:val="false"/>
              </w:rPr>
            </w:pPr>
            <w:r>
              <w:rPr>
                <w:b w:val="false"/>
                <w:bCs w:val="false"/>
                <w:sz w:val="24"/>
                <w:szCs w:val="24"/>
              </w:rPr>
              <w:t>Юридический адрес: 655619, Республика Хакасия, г. Саяногорск, рп. Черемушки, стр. 101.</w:t>
            </w:r>
          </w:p>
          <w:p>
            <w:pPr>
              <w:pStyle w:val="Normal"/>
              <w:widowControl w:val="false"/>
              <w:rPr>
                <w:sz w:val="24"/>
                <w:szCs w:val="24"/>
              </w:rPr>
            </w:pPr>
            <w:r>
              <w:rPr>
                <w:b/>
                <w:sz w:val="24"/>
                <w:szCs w:val="24"/>
              </w:rPr>
              <w:t>Дальневосточный филиал АО «ТК РусГидро»</w:t>
            </w:r>
          </w:p>
          <w:p>
            <w:pPr>
              <w:pStyle w:val="Normal"/>
              <w:widowControl w:val="false"/>
              <w:rPr>
                <w:b w:val="false"/>
                <w:bCs w:val="false"/>
              </w:rPr>
            </w:pPr>
            <w:r>
              <w:rPr>
                <w:b w:val="false"/>
                <w:bCs w:val="false"/>
                <w:sz w:val="24"/>
                <w:szCs w:val="24"/>
              </w:rPr>
              <w:t>Почтовый адрес: 680021, Хабаровский край, г. Хабаровск, ул. Ленинградская, д. 46.</w:t>
            </w:r>
          </w:p>
          <w:p>
            <w:pPr>
              <w:pStyle w:val="Normal"/>
              <w:widowControl w:val="false"/>
              <w:rPr>
                <w:b w:val="false"/>
                <w:bCs w:val="false"/>
              </w:rPr>
            </w:pPr>
            <w:r>
              <w:rPr>
                <w:b w:val="false"/>
                <w:bCs w:val="false"/>
                <w:sz w:val="24"/>
                <w:szCs w:val="24"/>
              </w:rPr>
              <w:t>ИНН: 1902018248; КПП: 272443001;</w:t>
            </w:r>
          </w:p>
          <w:p>
            <w:pPr>
              <w:pStyle w:val="Normal"/>
              <w:widowControl w:val="false"/>
              <w:rPr>
                <w:b w:val="false"/>
                <w:bCs w:val="false"/>
              </w:rPr>
            </w:pPr>
            <w:r>
              <w:rPr>
                <w:b w:val="false"/>
                <w:bCs w:val="false"/>
                <w:sz w:val="24"/>
                <w:szCs w:val="24"/>
              </w:rPr>
              <w:t>ОГРН: 1031900676356;</w:t>
            </w:r>
          </w:p>
          <w:p>
            <w:pPr>
              <w:pStyle w:val="Normal"/>
              <w:widowControl w:val="false"/>
              <w:rPr>
                <w:b w:val="false"/>
                <w:bCs w:val="false"/>
              </w:rPr>
            </w:pPr>
            <w:r>
              <w:rPr>
                <w:b w:val="false"/>
                <w:bCs w:val="false"/>
                <w:sz w:val="24"/>
                <w:szCs w:val="24"/>
              </w:rPr>
              <w:t>Р/счет: 40702810903000031136,</w:t>
            </w:r>
          </w:p>
          <w:p>
            <w:pPr>
              <w:pStyle w:val="Normal"/>
              <w:widowControl w:val="false"/>
              <w:rPr>
                <w:b w:val="false"/>
                <w:bCs w:val="false"/>
              </w:rPr>
            </w:pPr>
            <w:r>
              <w:rPr>
                <w:b w:val="false"/>
                <w:bCs w:val="false"/>
                <w:sz w:val="24"/>
                <w:szCs w:val="24"/>
              </w:rPr>
              <w:t>Банк: Дальневосточный филиал</w:t>
            </w:r>
          </w:p>
          <w:p>
            <w:pPr>
              <w:pStyle w:val="Normal"/>
              <w:widowControl w:val="false"/>
              <w:rPr>
                <w:b w:val="false"/>
                <w:bCs w:val="false"/>
              </w:rPr>
            </w:pPr>
            <w:r>
              <w:rPr>
                <w:b w:val="false"/>
                <w:bCs w:val="false"/>
                <w:sz w:val="24"/>
                <w:szCs w:val="24"/>
              </w:rPr>
              <w:t>ПАО «Сбербанк России» г. Хабаровск,</w:t>
            </w:r>
          </w:p>
          <w:p>
            <w:pPr>
              <w:pStyle w:val="Normal"/>
              <w:widowControl w:val="false"/>
              <w:rPr>
                <w:b w:val="false"/>
                <w:bCs w:val="false"/>
              </w:rPr>
            </w:pPr>
            <w:r>
              <w:rPr>
                <w:b w:val="false"/>
                <w:bCs w:val="false"/>
                <w:sz w:val="24"/>
                <w:szCs w:val="24"/>
              </w:rPr>
              <w:t>К/счет: 30101810600000000608;</w:t>
            </w:r>
          </w:p>
          <w:p>
            <w:pPr>
              <w:pStyle w:val="Normal"/>
              <w:widowControl w:val="false"/>
              <w:rPr>
                <w:b w:val="false"/>
                <w:bCs w:val="false"/>
              </w:rPr>
            </w:pPr>
            <w:r>
              <w:rPr>
                <w:b w:val="false"/>
                <w:bCs w:val="false"/>
                <w:sz w:val="24"/>
                <w:szCs w:val="24"/>
              </w:rPr>
              <w:t>БИК: 040813608</w:t>
            </w:r>
          </w:p>
          <w:p>
            <w:pPr>
              <w:pStyle w:val="Normal"/>
              <w:widowControl w:val="false"/>
              <w:rPr>
                <w:b w:val="false"/>
                <w:bCs w:val="false"/>
              </w:rPr>
            </w:pPr>
            <w:r>
              <w:rPr>
                <w:b w:val="false"/>
                <w:bCs w:val="false"/>
              </w:rPr>
            </w:r>
          </w:p>
          <w:p>
            <w:pPr>
              <w:pStyle w:val="Normal"/>
              <w:widowControl w:val="false"/>
              <w:rPr>
                <w:b w:val="false"/>
                <w:bCs w:val="false"/>
              </w:rPr>
            </w:pPr>
            <w:r>
              <w:rPr>
                <w:b w:val="false"/>
                <w:bCs w:val="false"/>
                <w:sz w:val="24"/>
                <w:szCs w:val="24"/>
              </w:rPr>
              <w:t>Покупатель:</w:t>
            </w:r>
          </w:p>
          <w:p>
            <w:pPr>
              <w:pStyle w:val="Normal"/>
              <w:widowControl w:val="false"/>
              <w:rPr>
                <w:b w:val="false"/>
                <w:bCs w:val="false"/>
              </w:rPr>
            </w:pPr>
            <w:r>
              <w:rPr>
                <w:b w:val="false"/>
                <w:bCs w:val="false"/>
                <w:sz w:val="24"/>
                <w:szCs w:val="24"/>
              </w:rPr>
              <w:t>Директор</w:t>
            </w:r>
          </w:p>
          <w:p>
            <w:pPr>
              <w:pStyle w:val="Normal"/>
              <w:widowControl w:val="false"/>
              <w:rPr>
                <w:b w:val="false"/>
                <w:bCs w:val="false"/>
              </w:rPr>
            </w:pPr>
            <w:r>
              <w:rPr>
                <w:b w:val="false"/>
                <w:bCs w:val="false"/>
                <w:sz w:val="24"/>
                <w:szCs w:val="24"/>
              </w:rPr>
              <w:t>Дальневосточного филиала</w:t>
            </w:r>
          </w:p>
          <w:p>
            <w:pPr>
              <w:pStyle w:val="Normal"/>
              <w:widowControl w:val="false"/>
              <w:rPr>
                <w:b w:val="false"/>
                <w:bCs w:val="false"/>
              </w:rPr>
            </w:pPr>
            <w:r>
              <w:rPr>
                <w:b w:val="false"/>
                <w:bCs w:val="false"/>
                <w:sz w:val="24"/>
                <w:szCs w:val="24"/>
              </w:rPr>
              <w:t>АО «ТК РусГидро»</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b w:val="false"/>
                <w:bCs w:val="false"/>
              </w:rPr>
            </w:pPr>
            <w:r>
              <w:rPr>
                <w:b w:val="false"/>
                <w:bCs w:val="false"/>
                <w:sz w:val="24"/>
                <w:szCs w:val="24"/>
                <w:highlight w:val="lightGray"/>
              </w:rPr>
              <w:t>_______________ / В.Ю. Золотарев /</w:t>
            </w:r>
          </w:p>
          <w:p>
            <w:pPr>
              <w:pStyle w:val="Normal"/>
              <w:rPr/>
            </w:pPr>
            <w:r>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928" w:type="dxa"/>
            <w:vMerge w:val="continue"/>
            <w:tcBorders/>
            <w:shd w:color="auto" w:fill="BFBFBF" w:val="clear"/>
          </w:tcPr>
          <w:p>
            <w:pPr>
              <w:pStyle w:val="Normal"/>
              <w:widowControl w:val="false"/>
              <w:rPr>
                <w:sz w:val="24"/>
                <w:szCs w:val="24"/>
                <w:highlight w:val="lightGray"/>
              </w:rPr>
            </w:pPr>
            <w:r>
              <w:rPr>
                <w:sz w:val="24"/>
                <w:szCs w:val="24"/>
                <w:highlight w:val="lightGray"/>
              </w:rPr>
            </w:r>
          </w:p>
        </w:tc>
        <w:tc>
          <w:tcPr>
            <w:tcW w:w="4639" w:type="dxa"/>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3" w:type="dxa"/>
            <w:tcBorders/>
          </w:tcPr>
          <w:p>
            <w:pPr>
              <w:pStyle w:val="Normal"/>
              <w:widowControl w:val="false"/>
              <w:rPr/>
            </w:pPr>
            <w:r>
              <w:rPr/>
            </w:r>
          </w:p>
        </w:tc>
      </w:tr>
    </w:tbl>
    <w:p>
      <w:pPr>
        <w:sectPr>
          <w:headerReference w:type="default" r:id="rId5"/>
          <w:headerReference w:type="first" r:id="rId6"/>
          <w:footerReference w:type="default" r:id="rId7"/>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16384"/>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val="04a0" w:noVBand="1" w:noHBand="0" w:lastColumn="0" w:firstColumn="1" w:lastRow="0" w:firstRow="1"/>
      </w:tblPr>
      <w:tblGrid>
        <w:gridCol w:w="399"/>
        <w:gridCol w:w="633"/>
        <w:gridCol w:w="636"/>
        <w:gridCol w:w="637"/>
        <w:gridCol w:w="799"/>
        <w:gridCol w:w="766"/>
        <w:gridCol w:w="643"/>
        <w:gridCol w:w="762"/>
        <w:gridCol w:w="720"/>
        <w:gridCol w:w="382"/>
        <w:gridCol w:w="151"/>
        <w:gridCol w:w="671"/>
        <w:gridCol w:w="577"/>
        <w:gridCol w:w="534"/>
        <w:gridCol w:w="744"/>
        <w:gridCol w:w="583"/>
      </w:tblGrid>
      <w:tr>
        <w:trPr>
          <w:trHeight w:val="526" w:hRule="atLeast"/>
        </w:trPr>
        <w:tc>
          <w:tcPr>
            <w:tcW w:w="3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20"/>
            </w:r>
          </w:p>
        </w:tc>
        <w:tc>
          <w:tcPr>
            <w:tcW w:w="7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21"/>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9"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7"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0"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ind w:left="-737" w:right="680"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rPr>
      </w:pPr>
      <w:r>
        <w:rPr>
          <w:i/>
          <w:iCs/>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826"/>
        <w:gridCol w:w="4805"/>
      </w:tblGrid>
      <w:tr>
        <w:trPr>
          <w:trHeight w:val="269" w:hRule="atLeast"/>
        </w:trPr>
        <w:tc>
          <w:tcPr>
            <w:tcW w:w="4826" w:type="dxa"/>
            <w:tcBorders/>
          </w:tcPr>
          <w:p>
            <w:pPr>
              <w:pStyle w:val="Normal"/>
              <w:widowControl w:val="false"/>
              <w:rPr>
                <w:b/>
                <w:sz w:val="24"/>
              </w:rPr>
            </w:pPr>
            <w:r>
              <w:rPr>
                <w:b/>
                <w:sz w:val="24"/>
              </w:rPr>
              <w:t>Покупатель:</w:t>
            </w:r>
          </w:p>
        </w:tc>
        <w:tc>
          <w:tcPr>
            <w:tcW w:w="4805"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3</w:t>
      </w:r>
    </w:p>
    <w:p>
      <w:pPr>
        <w:pStyle w:val="Normal"/>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2"/>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23"/>
      </w:r>
      <w:r>
        <w:rPr>
          <w:sz w:val="24"/>
          <w:szCs w:val="24"/>
        </w:rPr>
        <w:t>, а также соответствовать следующим критериям:</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5"/>
        </w:numPr>
        <w:tabs>
          <w:tab w:val="clear" w:pos="709"/>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24"/>
      </w:r>
      <w:r>
        <w:rPr>
          <w:sz w:val="24"/>
          <w:szCs w:val="24"/>
        </w:rPr>
        <w:t xml:space="preserve">. </w:t>
      </w:r>
    </w:p>
    <w:p>
      <w:pPr>
        <w:pStyle w:val="Normal"/>
        <w:widowControl/>
        <w:numPr>
          <w:ilvl w:val="1"/>
          <w:numId w:val="15"/>
        </w:numPr>
        <w:tabs>
          <w:tab w:val="clear" w:pos="709"/>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25"/>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5"/>
        </w:numPr>
        <w:tabs>
          <w:tab w:val="clear" w:pos="709"/>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26"/>
      </w:r>
      <w:r>
        <w:rPr>
          <w:sz w:val="24"/>
          <w:szCs w:val="24"/>
        </w:rPr>
        <w:t>.</w:t>
      </w:r>
    </w:p>
    <w:p>
      <w:pPr>
        <w:pStyle w:val="Normal"/>
        <w:widowControl/>
        <w:numPr>
          <w:ilvl w:val="1"/>
          <w:numId w:val="15"/>
        </w:numPr>
        <w:tabs>
          <w:tab w:val="clear" w:pos="709"/>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6"/>
        </w:numPr>
        <w:tabs>
          <w:tab w:val="clear" w:pos="709"/>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6"/>
        </w:numPr>
        <w:tabs>
          <w:tab w:val="clear" w:pos="709"/>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6"/>
        </w:numPr>
        <w:tabs>
          <w:tab w:val="clear" w:pos="709"/>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5"/>
        </w:numPr>
        <w:tabs>
          <w:tab w:val="clear" w:pos="709"/>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7"/>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28"/>
            </w:r>
            <w:r>
              <w:rPr>
                <w:sz w:val="24"/>
                <w:szCs w:val="24"/>
              </w:rPr>
              <w:t xml:space="preserve"> для i-ой кредитной организации, равный:</w:t>
            </w:r>
          </w:p>
          <w:p>
            <w:pPr>
              <w:pStyle w:val="Normal"/>
              <w:widowControl w:val="false"/>
              <w:tabs>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134" w:leader="none"/>
        </w:tabs>
        <w:ind w:firstLine="709"/>
        <w:jc w:val="center"/>
        <w:rPr>
          <w:sz w:val="24"/>
          <w:szCs w:val="24"/>
        </w:rPr>
      </w:pPr>
      <w:r>
        <w:rPr>
          <w:sz w:val="24"/>
          <w:szCs w:val="24"/>
        </w:rPr>
      </w:r>
    </w:p>
    <w:p>
      <w:pPr>
        <w:pStyle w:val="Normal"/>
        <w:widowControl/>
        <w:tabs>
          <w:tab w:val="clear" w:pos="709"/>
          <w:tab w:val="left" w:pos="1425" w:leader="none"/>
        </w:tabs>
        <w:rPr>
          <w:sz w:val="24"/>
          <w:szCs w:val="24"/>
        </w:rPr>
      </w:pPr>
      <w:r>
        <w:rPr>
          <w:sz w:val="24"/>
          <w:szCs w:val="24"/>
        </w:rPr>
      </w:r>
    </w:p>
    <w:tbl>
      <w:tblPr>
        <w:tblW w:w="13751"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4961"/>
        <w:gridCol w:w="8789"/>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89"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89"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4</w:t>
      </w:r>
    </w:p>
    <w:p>
      <w:pPr>
        <w:pStyle w:val="Normal"/>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napToGrid w:val="false"/>
        <w:ind w:firstLine="5103"/>
        <w:rPr>
          <w:sz w:val="22"/>
          <w:szCs w:val="22"/>
          <w:highlight w:val="lightGray"/>
        </w:rPr>
      </w:pPr>
      <w:r>
        <w:rPr>
          <w:sz w:val="22"/>
          <w:szCs w:val="22"/>
          <w:highlight w:val="lightGray"/>
        </w:rPr>
        <w:t>Приложение № 5</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p>
      <w:pPr>
        <w:pStyle w:val="ListParagraph"/>
        <w:shd w:val="clear" w:color="auto" w:fill="FFFFFF"/>
        <w:ind w:left="0" w:hanging="0"/>
        <w:jc w:val="both"/>
        <w:rPr>
          <w:bCs/>
        </w:rPr>
      </w:pPr>
      <w:r>
        <w:rPr>
          <w:bCs/>
        </w:rPr>
      </w:r>
    </w:p>
    <w:tbl>
      <w:tblPr>
        <w:tblW w:w="9815"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ListParagraph"/>
        <w:shd w:val="clear" w:color="auto" w:fill="FFFFFF"/>
        <w:ind w:left="0" w:hanging="0"/>
        <w:jc w:val="center"/>
        <w:rPr>
          <w:bCs/>
        </w:rPr>
      </w:pPr>
      <w:r>
        <w:rPr>
          <w:bCs/>
        </w:rPr>
      </w:r>
    </w:p>
    <w:p>
      <w:pPr>
        <w:pStyle w:val="ListParagraph"/>
        <w:shd w:val="clear" w:color="auto" w:fill="FFFFFF"/>
        <w:ind w:left="0" w:hanging="0"/>
        <w:jc w:val="both"/>
        <w:rPr>
          <w:bCs/>
        </w:rPr>
      </w:pPr>
      <w:r>
        <w:rPr>
          <w:bCs/>
        </w:rPr>
      </w:r>
    </w:p>
    <w:p>
      <w:pPr>
        <w:pStyle w:val="Normal"/>
        <w:ind w:left="5103" w:hanging="0"/>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tabs>
          <w:tab w:val="clear" w:pos="709"/>
          <w:tab w:val="left" w:pos="5387" w:leader="none"/>
        </w:tabs>
        <w:ind w:left="5812" w:hanging="0"/>
        <w:rPr>
          <w:sz w:val="22"/>
          <w:szCs w:val="22"/>
        </w:rPr>
      </w:pPr>
      <w:r>
        <w:rPr>
          <w:sz w:val="22"/>
          <w:szCs w:val="22"/>
        </w:rPr>
        <w:t>Приложение № 6</w:t>
      </w:r>
    </w:p>
    <w:p>
      <w:pPr>
        <w:pStyle w:val="Normal"/>
        <w:widowControl/>
        <w:tabs>
          <w:tab w:val="clear" w:pos="709"/>
          <w:tab w:val="left" w:pos="5387" w:leader="none"/>
        </w:tabs>
        <w:ind w:left="5812" w:hanging="0"/>
        <w:rPr>
          <w:sz w:val="22"/>
          <w:szCs w:val="22"/>
        </w:rPr>
      </w:pPr>
      <w:r>
        <w:rPr>
          <w:sz w:val="22"/>
          <w:szCs w:val="22"/>
        </w:rPr>
        <w:t>к Договору поставки</w:t>
      </w:r>
    </w:p>
    <w:p>
      <w:pPr>
        <w:pStyle w:val="Normal"/>
        <w:widowControl/>
        <w:tabs>
          <w:tab w:val="clear" w:pos="709"/>
          <w:tab w:val="left" w:pos="5387" w:leader="none"/>
        </w:tabs>
        <w:ind w:left="5812" w:hanging="0"/>
        <w:rPr>
          <w:sz w:val="24"/>
          <w:szCs w:val="24"/>
        </w:rPr>
      </w:pPr>
      <w:r>
        <w:rPr>
          <w:sz w:val="22"/>
          <w:szCs w:val="22"/>
        </w:rPr>
        <w:t>от «____» ________ 20 _ г. №_______</w:t>
      </w:r>
    </w:p>
    <w:p>
      <w:pPr>
        <w:pStyle w:val="Normal"/>
        <w:widowControl/>
        <w:ind w:firstLine="709"/>
        <w:jc w:val="center"/>
        <w:rPr>
          <w:szCs w:val="24"/>
        </w:rPr>
      </w:pPr>
      <w:r>
        <w:rPr>
          <w:szCs w:val="24"/>
        </w:rPr>
      </w:r>
    </w:p>
    <w:p>
      <w:pPr>
        <w:pStyle w:val="Normal"/>
        <w:spacing w:before="20" w:after="20"/>
        <w:ind w:firstLine="709"/>
        <w:jc w:val="center"/>
        <w:rPr>
          <w:b/>
          <w:sz w:val="24"/>
          <w:szCs w:val="24"/>
        </w:rPr>
      </w:pPr>
      <w:bookmarkStart w:id="12" w:name="_Toc122678954_Копия_5"/>
      <w:r>
        <w:rPr>
          <w:b/>
          <w:sz w:val="24"/>
          <w:szCs w:val="24"/>
        </w:rPr>
        <w:t>Методика расчета упущенной выгоды (выручки)</w:t>
      </w:r>
      <w:bookmarkEnd w:id="12"/>
      <w:r>
        <w:rPr>
          <w:b/>
          <w:sz w:val="24"/>
          <w:szCs w:val="24"/>
        </w:rPr>
        <w:t xml:space="preserve"> </w:t>
      </w:r>
    </w:p>
    <w:p>
      <w:pPr>
        <w:pStyle w:val="Normal"/>
        <w:widowControl/>
        <w:spacing w:before="20" w:after="20"/>
        <w:ind w:firstLine="709"/>
        <w:jc w:val="center"/>
        <w:rPr>
          <w:sz w:val="24"/>
          <w:szCs w:val="24"/>
        </w:rPr>
      </w:pPr>
      <w:r>
        <w:rPr>
          <w:b/>
          <w:sz w:val="24"/>
          <w:szCs w:val="24"/>
        </w:rPr>
        <w:t>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отпового рынка Дальнего Востока</w:t>
      </w:r>
    </w:p>
    <w:p>
      <w:pPr>
        <w:pStyle w:val="Normal"/>
        <w:widowControl/>
        <w:spacing w:before="20" w:after="20"/>
        <w:ind w:firstLine="709"/>
        <w:jc w:val="center"/>
        <w:rPr>
          <w:sz w:val="24"/>
          <w:szCs w:val="24"/>
        </w:rPr>
      </w:pPr>
      <w:r>
        <w:rPr>
          <w:sz w:val="24"/>
          <w:szCs w:val="24"/>
        </w:rPr>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ListParagraph"/>
        <w:widowControl/>
        <w:numPr>
          <w:ilvl w:val="0"/>
          <w:numId w:val="19"/>
        </w:numPr>
        <w:tabs>
          <w:tab w:val="clear" w:pos="709"/>
          <w:tab w:val="left" w:pos="1276" w:leader="none"/>
          <w:tab w:val="left" w:pos="1418" w:leader="none"/>
        </w:tabs>
        <w:ind w:left="0" w:firstLine="709"/>
        <w:jc w:val="both"/>
        <w:rPr>
          <w:sz w:val="24"/>
          <w:szCs w:val="24"/>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В заявках должны быть указаны: </w:t>
      </w:r>
    </w:p>
    <w:p>
      <w:pPr>
        <w:pStyle w:val="Normal"/>
        <w:widowControl/>
        <w:numPr>
          <w:ilvl w:val="0"/>
          <w:numId w:val="17"/>
        </w:numPr>
        <w:ind w:left="0" w:firstLine="709"/>
        <w:jc w:val="both"/>
        <w:rPr>
          <w:bCs/>
          <w:sz w:val="24"/>
          <w:szCs w:val="24"/>
          <w:lang w:val="en-GB"/>
        </w:rPr>
      </w:pPr>
      <w:r>
        <w:rPr>
          <w:bCs/>
          <w:sz w:val="24"/>
          <w:szCs w:val="24"/>
          <w:lang w:val="en-GB"/>
        </w:rPr>
        <w:t>номер заявки;</w:t>
      </w:r>
    </w:p>
    <w:p>
      <w:pPr>
        <w:pStyle w:val="Normal"/>
        <w:widowControl/>
        <w:numPr>
          <w:ilvl w:val="0"/>
          <w:numId w:val="17"/>
        </w:numPr>
        <w:ind w:left="0" w:firstLine="709"/>
        <w:jc w:val="both"/>
        <w:rPr>
          <w:bCs/>
          <w:sz w:val="24"/>
          <w:szCs w:val="24"/>
          <w:lang w:val="en-GB"/>
        </w:rPr>
      </w:pPr>
      <w:r>
        <w:rPr>
          <w:bCs/>
          <w:sz w:val="24"/>
          <w:szCs w:val="24"/>
          <w:lang w:val="en-GB"/>
        </w:rPr>
        <w:t>подающее предприятие;</w:t>
      </w:r>
    </w:p>
    <w:p>
      <w:pPr>
        <w:pStyle w:val="Normal"/>
        <w:widowControl/>
        <w:numPr>
          <w:ilvl w:val="0"/>
          <w:numId w:val="17"/>
        </w:numPr>
        <w:ind w:left="0" w:firstLine="709"/>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7"/>
        </w:numPr>
        <w:ind w:left="0" w:firstLine="709"/>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7"/>
        </w:numPr>
        <w:ind w:left="0" w:firstLine="709"/>
        <w:jc w:val="both"/>
        <w:rPr>
          <w:bCs/>
          <w:sz w:val="24"/>
          <w:szCs w:val="24"/>
          <w:lang w:val="en-GB"/>
        </w:rPr>
      </w:pPr>
      <w:r>
        <w:rPr>
          <w:bCs/>
          <w:sz w:val="24"/>
          <w:szCs w:val="24"/>
          <w:lang w:val="en-GB"/>
        </w:rPr>
        <w:t>содержание работ;</w:t>
      </w:r>
    </w:p>
    <w:p>
      <w:pPr>
        <w:pStyle w:val="Normal"/>
        <w:widowControl/>
        <w:numPr>
          <w:ilvl w:val="0"/>
          <w:numId w:val="17"/>
        </w:numPr>
        <w:ind w:left="0" w:firstLine="709"/>
        <w:jc w:val="both"/>
        <w:rPr>
          <w:bCs/>
          <w:sz w:val="24"/>
          <w:szCs w:val="24"/>
          <w:lang w:val="en-GB"/>
        </w:rPr>
      </w:pPr>
      <w:r>
        <w:rPr>
          <w:bCs/>
          <w:sz w:val="24"/>
          <w:szCs w:val="24"/>
          <w:lang w:val="en-GB"/>
        </w:rPr>
        <w:t>время подачи заявки;</w:t>
      </w:r>
    </w:p>
    <w:p>
      <w:pPr>
        <w:pStyle w:val="Normal"/>
        <w:widowControl/>
        <w:numPr>
          <w:ilvl w:val="0"/>
          <w:numId w:val="17"/>
        </w:numPr>
        <w:ind w:left="0" w:firstLine="709"/>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r>
              <w:rPr>
                <w:rFonts w:ascii="Cambria Math" w:hAnsi="Cambria Math"/>
              </w:rPr>
              <m:t xml:space="preserve">,</m:t>
            </m:r>
            <m:r>
              <w:rPr>
                <w:rFonts w:ascii="Cambria Math" w:hAnsi="Cambria Math"/>
              </w:rPr>
              <m:t xml:space="preserve">h</m:t>
            </m:r>
          </m:sub>
          <m:sup>
            <m:r>
              <w:rPr>
                <w:rFonts w:ascii="Cambria Math" w:hAnsi="Cambria Math"/>
              </w:rPr>
              <m:t xml:space="preserve">j</m:t>
            </m:r>
          </m:sup>
        </m:sSubSup>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2</m:t>
                </m:r>
                <m:r>
                  <m:rPr>
                    <m:lit/>
                    <m:nor/>
                  </m:rPr>
                  <w:rPr>
                    <w:rFonts w:ascii="Cambria Math" w:hAnsi="Cambria Math"/>
                  </w:rPr>
                  <m:t xml:space="preserve">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oMath>
      <w:r>
        <w:rPr>
          <w:sz w:val="24"/>
          <w:szCs w:val="24"/>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«Порядка установления соответствия генерирующего оборудования участников оптового рынка техническим требованиям»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 </w:t>
      </w:r>
    </w:p>
    <w:p>
      <w:pPr>
        <w:pStyle w:val="Normal"/>
        <w:spacing w:before="20" w:after="20"/>
        <w:ind w:firstLine="709"/>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1</m:t>
                </m:r>
              </m:sup>
            </m:sSubSup>
          </m:sup>
        </m:sSup>
      </m:oMath>
      <w:r>
        <w:rPr>
          <w:sz w:val="24"/>
          <w:szCs w:val="24"/>
        </w:rPr>
        <w:t xml:space="preserve"> – </w:t>
      </w:r>
      <w:r>
        <w:rPr>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w:rPr>
                    <w:rFonts w:ascii="Cambria Math" w:hAnsi="Cambria Math"/>
                  </w:rPr>
                  <m:t xml:space="preserve">0</m:t>
                </m:r>
                <m:r>
                  <m:rPr>
                    <m:lit/>
                    <m:nor/>
                  </m:rPr>
                  <w:rPr>
                    <w:rFonts w:ascii="Cambria Math" w:hAnsi="Cambria Math"/>
                  </w:rPr>
                  <m:t xml:space="preserve">,m</m:t>
                </m:r>
              </m:sub>
              <m:sup>
                <m:r>
                  <w:rPr>
                    <w:rFonts w:ascii="Cambria Math" w:hAnsi="Cambria Math"/>
                  </w:rPr>
                  <m:t xml:space="preserve">2</m:t>
                </m:r>
              </m:sup>
            </m:sSubSup>
          </m:sup>
        </m:sSup>
      </m:oMath>
      <w:r>
        <w:rPr>
          <w:sz w:val="24"/>
          <w:szCs w:val="24"/>
        </w:rPr>
        <w:t xml:space="preserve"> – </w:t>
      </w:r>
      <w:r>
        <w:rPr>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10"/>
                    <a:srcRect l="-222" t="-329" r="-222" b="-329"/>
                    <a:stretch>
                      <a:fillRect/>
                    </a:stretch>
                  </pic:blipFill>
                  <pic:spPr bwMode="auto">
                    <a:xfrm>
                      <a:off x="0" y="0"/>
                      <a:ext cx="323850" cy="219075"/>
                    </a:xfrm>
                    <a:prstGeom prst="rect">
                      <a:avLst/>
                    </a:prstGeom>
                  </pic:spPr>
                </pic:pic>
              </a:graphicData>
            </a:graphic>
          </wp:inline>
        </w:drawing>
      </w:r>
      <w:r>
        <w:rPr>
          <w:sz w:val="24"/>
          <w:szCs w:val="24"/>
        </w:rPr>
        <w:t xml:space="preserve"> – </w:t>
      </w:r>
      <w:r>
        <w:rPr>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w:rPr>
                <w:rFonts w:ascii="Cambria Math" w:hAnsi="Cambria Math"/>
              </w:rPr>
              <m:t xml:space="preserve">Δ</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sz w:val="24"/>
          <w:szCs w:val="24"/>
        </w:rPr>
        <w:t xml:space="preserve"> – </w:t>
      </w:r>
      <w:r>
        <w:rPr>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sz w:val="24"/>
          <w:szCs w:val="24"/>
        </w:rPr>
        <w:t xml:space="preserve"> </w:t>
      </w:r>
      <w:r>
        <w:rPr/>
      </w:r>
      <m:oMath xmlns:m="http://schemas.openxmlformats.org/officeDocument/2006/math">
        <m:sSubSup>
          <m:e>
            <m:r>
              <w:rPr>
                <w:rFonts w:ascii="Cambria Math" w:hAnsi="Cambria Math"/>
              </w:rPr>
              <m:t xml:space="preserve">∆</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r>
              <m:rPr>
                <m:lit/>
                <m:nor/>
              </m:rPr>
              <w:rPr>
                <w:rFonts w:ascii="Cambria Math" w:hAnsi="Cambria Math"/>
              </w:rPr>
              <m:t xml:space="preserve">,h</m:t>
            </m:r>
          </m:sub>
          <m:sup>
            <m:r>
              <w:rPr>
                <w:rFonts w:ascii="Cambria Math" w:hAnsi="Cambria Math"/>
              </w:rPr>
              <m:t xml:space="preserve">j</m:t>
            </m:r>
          </m:sup>
        </m:sSubSup>
      </m:oMath>
      <w:r>
        <w:rPr>
          <w:sz w:val="24"/>
          <w:szCs w:val="24"/>
        </w:rPr>
        <w:t xml:space="preserve"> – </w:t>
      </w:r>
      <w:r>
        <w:rPr>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descr=""/>
                    <pic:cNvPicPr>
                      <a:picLocks noChangeAspect="1" noChangeArrowheads="1"/>
                    </pic:cNvPicPr>
                  </pic:nvPicPr>
                  <pic:blipFill>
                    <a:blip r:embed="rId11"/>
                    <a:stretch>
                      <a:fillRect/>
                    </a:stretch>
                  </pic:blipFill>
                  <pic:spPr bwMode="auto">
                    <a:xfrm>
                      <a:off x="0" y="0"/>
                      <a:ext cx="545465" cy="273050"/>
                    </a:xfrm>
                    <a:prstGeom prst="rect">
                      <a:avLst/>
                    </a:prstGeom>
                  </pic:spPr>
                </pic:pic>
              </a:graphicData>
            </a:graphic>
          </wp:inline>
        </w:drawing>
      </w:r>
      <w:r>
        <w:rPr>
          <w:sz w:val="24"/>
          <w:szCs w:val="24"/>
        </w:rPr>
        <w:t xml:space="preserve"> – </w:t>
      </w:r>
      <w:r>
        <w:rPr>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descr=""/>
                    <pic:cNvPicPr>
                      <a:picLocks noChangeAspect="1" noChangeArrowheads="1"/>
                    </pic:cNvPicPr>
                  </pic:nvPicPr>
                  <pic:blipFill>
                    <a:blip r:embed="rId12"/>
                    <a:stretch>
                      <a:fillRect/>
                    </a:stretch>
                  </pic:blipFill>
                  <pic:spPr bwMode="auto">
                    <a:xfrm>
                      <a:off x="0" y="0"/>
                      <a:ext cx="524510" cy="266065"/>
                    </a:xfrm>
                    <a:prstGeom prst="rect">
                      <a:avLst/>
                    </a:prstGeom>
                  </pic:spPr>
                </pic:pic>
              </a:graphicData>
            </a:graphic>
          </wp:inline>
        </w:drawing>
      </w:r>
      <w:r>
        <w:rPr>
          <w:sz w:val="24"/>
          <w:szCs w:val="24"/>
        </w:rPr>
        <w:t xml:space="preserve"> – </w:t>
      </w:r>
      <w:r>
        <w:rPr>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w:rPr>
                <w:rFonts w:ascii="Cambria Math" w:hAnsi="Cambria Math"/>
              </w:rPr>
              <m:t xml:space="preserve">Δ</m:t>
            </m:r>
          </m:e>
          <m:sup>
            <m:sSubSup>
              <m:e>
                <m:r>
                  <w:rPr>
                    <w:rFonts w:ascii="Cambria Math" w:hAnsi="Cambria Math"/>
                  </w:rPr>
                  <m:t xml:space="preserve">j</m:t>
                </m:r>
              </m:e>
              <m:sub>
                <m:r>
                  <m:rPr>
                    <m:lit/>
                    <m:nor/>
                  </m:rPr>
                  <w:rPr>
                    <w:rFonts w:ascii="Cambria Math" w:hAnsi="Cambria Math"/>
                  </w:rPr>
                  <m:t xml:space="preserve">2_max,</m:t>
                </m:r>
                <m:r>
                  <w:rPr>
                    <w:rFonts w:ascii="Cambria Math" w:hAnsi="Cambria Math"/>
                  </w:rPr>
                  <m:t xml:space="preserve">h</m:t>
                </m:r>
              </m:sub>
              <m:sup>
                <m:r>
                  <w:rPr>
                    <w:rFonts w:ascii="Cambria Math" w:hAnsi="Cambria Math"/>
                  </w:rPr>
                  <m:t xml:space="preserve">1</m:t>
                </m:r>
                <m:d>
                  <m:dPr>
                    <m:begChr m:val="("/>
                    <m:endChr m:val=")"/>
                  </m:dPr>
                  <m:e>
                    <m:r>
                      <m:rPr>
                        <m:lit/>
                        <m:nor/>
                      </m:rPr>
                      <w:rPr>
                        <w:rFonts w:ascii="Cambria Math" w:hAnsi="Cambria Math"/>
                      </w:rPr>
                      <m:t xml:space="preserve">120</m:t>
                    </m:r>
                  </m:e>
                </m:d>
              </m:sup>
            </m:sSubSup>
          </m:sup>
        </m:sSup>
      </m:oMath>
      <w:r>
        <w:rPr>
          <w:sz w:val="24"/>
          <w:szCs w:val="24"/>
        </w:rPr>
        <w:t xml:space="preserve"> – </w:t>
      </w:r>
      <w:r>
        <w:rPr>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descr=""/>
                    <pic:cNvPicPr>
                      <a:picLocks noChangeAspect="1" noChangeArrowheads="1"/>
                    </pic:cNvPicPr>
                  </pic:nvPicPr>
                  <pic:blipFill>
                    <a:blip r:embed="rId13"/>
                    <a:stretch>
                      <a:fillRect/>
                    </a:stretch>
                  </pic:blipFill>
                  <pic:spPr bwMode="auto">
                    <a:xfrm>
                      <a:off x="0" y="0"/>
                      <a:ext cx="532130" cy="272415"/>
                    </a:xfrm>
                    <a:prstGeom prst="rect">
                      <a:avLst/>
                    </a:prstGeom>
                  </pic:spPr>
                </pic:pic>
              </a:graphicData>
            </a:graphic>
          </wp:inline>
        </w:drawing>
      </w:r>
      <w:r>
        <w:rPr>
          <w:sz w:val="24"/>
          <w:szCs w:val="24"/>
        </w:rPr>
        <w:t xml:space="preserve"> – </w:t>
      </w:r>
      <w:r>
        <w:rPr>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descr=""/>
                    <pic:cNvPicPr>
                      <a:picLocks noChangeAspect="1" noChangeArrowheads="1"/>
                    </pic:cNvPicPr>
                  </pic:nvPicPr>
                  <pic:blipFill>
                    <a:blip r:embed="rId14"/>
                    <a:stretch>
                      <a:fillRect/>
                    </a:stretch>
                  </pic:blipFill>
                  <pic:spPr bwMode="auto">
                    <a:xfrm>
                      <a:off x="0" y="0"/>
                      <a:ext cx="526415" cy="262890"/>
                    </a:xfrm>
                    <a:prstGeom prst="rect">
                      <a:avLst/>
                    </a:prstGeom>
                  </pic:spPr>
                </pic:pic>
              </a:graphicData>
            </a:graphic>
          </wp:inline>
        </w:drawing>
      </w:r>
      <w:r>
        <w:rPr>
          <w:sz w:val="24"/>
          <w:szCs w:val="24"/>
        </w:rPr>
        <w:t xml:space="preserve"> – </w:t>
      </w:r>
      <w:r>
        <w:rPr>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descr=""/>
                    <pic:cNvPicPr>
                      <a:picLocks noChangeAspect="1" noChangeArrowheads="1"/>
                    </pic:cNvPicPr>
                  </pic:nvPicPr>
                  <pic:blipFill>
                    <a:blip r:embed="rId15"/>
                    <a:stretch>
                      <a:fillRect/>
                    </a:stretch>
                  </pic:blipFill>
                  <pic:spPr bwMode="auto">
                    <a:xfrm>
                      <a:off x="0" y="0"/>
                      <a:ext cx="620395" cy="320040"/>
                    </a:xfrm>
                    <a:prstGeom prst="rect">
                      <a:avLst/>
                    </a:prstGeom>
                  </pic:spPr>
                </pic:pic>
              </a:graphicData>
            </a:graphic>
          </wp:inline>
        </w:drawing>
      </w:r>
      <w:r>
        <w:rPr>
          <w:sz w:val="24"/>
          <w:szCs w:val="24"/>
        </w:rPr>
        <w:t xml:space="preserve"> – </w:t>
      </w:r>
      <w:r>
        <w:rPr>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descr=""/>
                    <pic:cNvPicPr>
                      <a:picLocks noChangeAspect="1" noChangeArrowheads="1"/>
                    </pic:cNvPicPr>
                  </pic:nvPicPr>
                  <pic:blipFill>
                    <a:blip r:embed="rId16"/>
                    <a:stretch>
                      <a:fillRect/>
                    </a:stretch>
                  </pic:blipFill>
                  <pic:spPr bwMode="auto">
                    <a:xfrm>
                      <a:off x="0" y="0"/>
                      <a:ext cx="526415" cy="262890"/>
                    </a:xfrm>
                    <a:prstGeom prst="rect">
                      <a:avLst/>
                    </a:prstGeom>
                  </pic:spPr>
                </pic:pic>
              </a:graphicData>
            </a:graphic>
          </wp:inline>
        </w:drawing>
      </w:r>
      <w:r>
        <w:rPr>
          <w:sz w:val="24"/>
          <w:szCs w:val="24"/>
        </w:rPr>
        <w:t xml:space="preserve"> – </w:t>
      </w:r>
      <w:r>
        <w:rPr>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descr=""/>
                    <pic:cNvPicPr>
                      <a:picLocks noChangeAspect="1" noChangeArrowheads="1"/>
                    </pic:cNvPicPr>
                  </pic:nvPicPr>
                  <pic:blipFill>
                    <a:blip r:embed="rId17"/>
                    <a:stretch>
                      <a:fillRect/>
                    </a:stretch>
                  </pic:blipFill>
                  <pic:spPr bwMode="auto">
                    <a:xfrm>
                      <a:off x="0" y="0"/>
                      <a:ext cx="511810" cy="241300"/>
                    </a:xfrm>
                    <a:prstGeom prst="rect">
                      <a:avLst/>
                    </a:prstGeom>
                  </pic:spPr>
                </pic:pic>
              </a:graphicData>
            </a:graphic>
          </wp:inline>
        </w:drawing>
      </w:r>
      <w:r>
        <w:rPr>
          <w:sz w:val="24"/>
          <w:szCs w:val="24"/>
        </w:rPr>
        <w:t xml:space="preserve"> – </w:t>
      </w:r>
      <w:r>
        <w:rPr>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descr=""/>
                    <pic:cNvPicPr>
                      <a:picLocks noChangeAspect="1" noChangeArrowheads="1"/>
                    </pic:cNvPicPr>
                  </pic:nvPicPr>
                  <pic:blipFill>
                    <a:blip r:embed="rId18"/>
                    <a:stretch>
                      <a:fillRect/>
                    </a:stretch>
                  </pic:blipFill>
                  <pic:spPr bwMode="auto">
                    <a:xfrm>
                      <a:off x="0" y="0"/>
                      <a:ext cx="497205" cy="240665"/>
                    </a:xfrm>
                    <a:prstGeom prst="rect">
                      <a:avLst/>
                    </a:prstGeom>
                  </pic:spPr>
                </pic:pic>
              </a:graphicData>
            </a:graphic>
          </wp:inline>
        </w:drawing>
      </w:r>
      <w:r>
        <w:rPr>
          <w:sz w:val="24"/>
          <w:szCs w:val="24"/>
        </w:rPr>
        <w:t xml:space="preserve"> – </w:t>
      </w:r>
      <w:r>
        <w:rPr>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descr=""/>
                    <pic:cNvPicPr>
                      <a:picLocks noChangeAspect="1" noChangeArrowheads="1"/>
                    </pic:cNvPicPr>
                  </pic:nvPicPr>
                  <pic:blipFill>
                    <a:blip r:embed="rId19"/>
                    <a:stretch>
                      <a:fillRect/>
                    </a:stretch>
                  </pic:blipFill>
                  <pic:spPr bwMode="auto">
                    <a:xfrm>
                      <a:off x="0" y="0"/>
                      <a:ext cx="914400" cy="285115"/>
                    </a:xfrm>
                    <a:prstGeom prst="rect">
                      <a:avLst/>
                    </a:prstGeom>
                  </pic:spPr>
                </pic:pic>
              </a:graphicData>
            </a:graphic>
          </wp:inline>
        </w:drawing>
      </w:r>
      <w:r>
        <w:rPr>
          <w:sz w:val="24"/>
          <w:szCs w:val="24"/>
        </w:rPr>
        <w:t xml:space="preserve"> – </w:t>
      </w:r>
      <w:r>
        <w:rPr>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descr=""/>
                    <pic:cNvPicPr>
                      <a:picLocks noChangeAspect="1" noChangeArrowheads="1"/>
                    </pic:cNvPicPr>
                  </pic:nvPicPr>
                  <pic:blipFill>
                    <a:blip r:embed="rId20"/>
                    <a:stretch>
                      <a:fillRect/>
                    </a:stretch>
                  </pic:blipFill>
                  <pic:spPr bwMode="auto">
                    <a:xfrm>
                      <a:off x="0" y="0"/>
                      <a:ext cx="1052830" cy="357505"/>
                    </a:xfrm>
                    <a:prstGeom prst="rect">
                      <a:avLst/>
                    </a:prstGeom>
                  </pic:spPr>
                </pic:pic>
              </a:graphicData>
            </a:graphic>
          </wp:inline>
        </w:drawing>
      </w:r>
      <w:r>
        <w:rPr>
          <w:sz w:val="24"/>
          <w:szCs w:val="24"/>
        </w:rPr>
        <w:t xml:space="preserve"> – </w:t>
      </w:r>
      <w:r>
        <w:rPr>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descr=""/>
                    <pic:cNvPicPr>
                      <a:picLocks noChangeAspect="1" noChangeArrowheads="1"/>
                    </pic:cNvPicPr>
                  </pic:nvPicPr>
                  <pic:blipFill>
                    <a:blip r:embed="rId21"/>
                    <a:stretch>
                      <a:fillRect/>
                    </a:stretch>
                  </pic:blipFill>
                  <pic:spPr bwMode="auto">
                    <a:xfrm>
                      <a:off x="0" y="0"/>
                      <a:ext cx="958215" cy="313690"/>
                    </a:xfrm>
                    <a:prstGeom prst="rect">
                      <a:avLst/>
                    </a:prstGeom>
                  </pic:spPr>
                </pic:pic>
              </a:graphicData>
            </a:graphic>
          </wp:inline>
        </w:drawing>
      </w:r>
      <w:r>
        <w:rPr>
          <w:sz w:val="24"/>
          <w:szCs w:val="24"/>
        </w:rPr>
        <w:t xml:space="preserve"> – </w:t>
      </w:r>
      <w:r>
        <w:rPr>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before="20" w:after="20"/>
        <w:ind w:firstLine="709"/>
        <w:rPr>
          <w:sz w:val="24"/>
          <w:szCs w:val="24"/>
        </w:rPr>
      </w:pPr>
      <w:r>
        <w:rPr/>
        <w:drawing>
          <wp:inline distT="0" distB="0" distL="0" distR="0">
            <wp:extent cx="368300" cy="285750"/>
            <wp:effectExtent l="0" t="0" r="0" b="0"/>
            <wp:docPr id="13" name="Изображение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descr=""/>
                    <pic:cNvPicPr>
                      <a:picLocks noChangeAspect="1" noChangeArrowheads="1"/>
                    </pic:cNvPicPr>
                  </pic:nvPicPr>
                  <pic:blipFill>
                    <a:blip r:embed="rId22"/>
                    <a:stretch>
                      <a:fillRect/>
                    </a:stretch>
                  </pic:blipFill>
                  <pic:spPr bwMode="auto">
                    <a:xfrm>
                      <a:off x="0" y="0"/>
                      <a:ext cx="368300" cy="285750"/>
                    </a:xfrm>
                    <a:prstGeom prst="rect">
                      <a:avLst/>
                    </a:prstGeom>
                  </pic:spPr>
                </pic:pic>
              </a:graphicData>
            </a:graphic>
          </wp:inline>
        </w:drawing>
      </w:r>
      <w:r>
        <w:rPr>
          <w:sz w:val="24"/>
          <w:szCs w:val="24"/>
        </w:rPr>
        <w:t xml:space="preserve"> – </w:t>
      </w:r>
      <w:r>
        <w:rPr>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descr=""/>
                    <pic:cNvPicPr>
                      <a:picLocks noChangeAspect="1" noChangeArrowheads="1"/>
                    </pic:cNvPicPr>
                  </pic:nvPicPr>
                  <pic:blipFill>
                    <a:blip r:embed="rId23"/>
                    <a:stretch>
                      <a:fillRect/>
                    </a:stretch>
                  </pic:blipFill>
                  <pic:spPr bwMode="auto">
                    <a:xfrm>
                      <a:off x="0" y="0"/>
                      <a:ext cx="336550" cy="267335"/>
                    </a:xfrm>
                    <a:prstGeom prst="rect">
                      <a:avLst/>
                    </a:prstGeom>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before="20" w:after="20"/>
        <w:jc w:val="center"/>
        <w:rPr>
          <w:sz w:val="24"/>
          <w:szCs w:val="24"/>
        </w:rPr>
      </w:pPr>
      <w:r>
        <w:rPr/>
        <w:drawing>
          <wp:inline distT="0" distB="0" distL="0" distR="0">
            <wp:extent cx="1371600" cy="673100"/>
            <wp:effectExtent l="0" t="0" r="0" b="0"/>
            <wp:docPr id="15" name="Рисунок 12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descr=""/>
                    <pic:cNvPicPr>
                      <a:picLocks noChangeAspect="1" noChangeArrowheads="1"/>
                    </pic:cNvPicPr>
                  </pic:nvPicPr>
                  <pic:blipFill>
                    <a:blip r:embed="rId24"/>
                    <a:stretch>
                      <a:fillRect/>
                    </a:stretch>
                  </pic:blipFill>
                  <pic:spPr bwMode="auto">
                    <a:xfrm>
                      <a:off x="0" y="0"/>
                      <a:ext cx="1371600" cy="673100"/>
                    </a:xfrm>
                    <a:prstGeom prst="rect">
                      <a:avLst/>
                    </a:prstGeom>
                  </pic:spPr>
                </pic:pic>
              </a:graphicData>
            </a:graphic>
          </wp:inline>
        </w:drawing>
      </w:r>
    </w:p>
    <w:p>
      <w:pPr>
        <w:pStyle w:val="Normal"/>
        <w:spacing w:before="20" w:after="20"/>
        <w:ind w:firstLine="709"/>
        <w:rPr>
          <w:sz w:val="24"/>
          <w:szCs w:val="24"/>
        </w:rPr>
      </w:pPr>
      <w:r>
        <w:rPr>
          <w:sz w:val="24"/>
          <w:szCs w:val="24"/>
        </w:rPr>
        <w:t>где:</w:t>
      </w:r>
    </w:p>
    <w:p>
      <w:pPr>
        <w:pStyle w:val="Normal"/>
        <w:spacing w:before="20" w:after="20"/>
        <w:ind w:firstLine="709"/>
        <w:rPr>
          <w:sz w:val="24"/>
          <w:szCs w:val="24"/>
        </w:rPr>
      </w:pPr>
      <w:r>
        <w:rPr/>
        <w:drawing>
          <wp:inline distT="0" distB="0" distL="0" distR="0">
            <wp:extent cx="293370" cy="267335"/>
            <wp:effectExtent l="0" t="0" r="0" b="0"/>
            <wp:docPr id="16" name="Рисунок 11 Копия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descr=""/>
                    <pic:cNvPicPr>
                      <a:picLocks noChangeAspect="1" noChangeArrowheads="1"/>
                    </pic:cNvPicPr>
                  </pic:nvPicPr>
                  <pic:blipFill>
                    <a:blip r:embed="rId25"/>
                    <a:stretch>
                      <a:fillRect/>
                    </a:stretch>
                  </pic:blipFill>
                  <pic:spPr bwMode="auto">
                    <a:xfrm>
                      <a:off x="0" y="0"/>
                      <a:ext cx="293370" cy="267335"/>
                    </a:xfrm>
                    <a:prstGeom prst="rect">
                      <a:avLst/>
                    </a:prstGeom>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before="20" w:after="20"/>
        <w:ind w:firstLine="709"/>
        <w:rPr>
          <w:sz w:val="24"/>
          <w:szCs w:val="24"/>
        </w:rPr>
      </w:pPr>
      <w:r>
        <w:rPr>
          <w:sz w:val="24"/>
          <w:szCs w:val="24"/>
        </w:rPr>
      </w:r>
    </w:p>
    <w:p>
      <w:pPr>
        <w:pStyle w:val="Normal"/>
        <w:spacing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before="20" w:after="20"/>
        <w:ind w:firstLine="709"/>
        <w:rPr>
          <w:sz w:val="24"/>
          <w:szCs w:val="24"/>
        </w:rPr>
      </w:pPr>
      <w:r>
        <w:rPr>
          <w:sz w:val="24"/>
          <w:szCs w:val="24"/>
        </w:rPr>
      </w:r>
    </w:p>
    <w:p>
      <w:pPr>
        <w:pStyle w:val="Normal"/>
        <w:spacing w:before="20" w:after="20"/>
        <w:ind w:firstLine="709"/>
        <w:jc w:val="center"/>
        <w:rPr>
          <w:sz w:val="24"/>
          <w:szCs w:val="24"/>
        </w:rPr>
      </w:pPr>
      <w:r>
        <w:rPr/>
      </w:r>
      <m:oMathPara xmlns:m="http://schemas.openxmlformats.org/officeDocument/2006/math">
        <m:oMathParaPr>
          <m:jc m:val="center"/>
        </m:oMathParaPr>
        <m:oMath>
          <m:sSub>
            <m:e>
              <m:r>
                <w:rPr>
                  <w:rFonts w:ascii="Cambria Math" w:hAnsi="Cambria Math"/>
                </w:rPr>
                <m:t xml:space="preserve">k</m:t>
              </m:r>
            </m:e>
            <m:sub>
              <m:r>
                <w:rPr>
                  <w:rFonts w:ascii="Cambria Math" w:hAnsi="Cambria Math"/>
                </w:rPr>
                <m:t xml:space="preserve">Α</m:t>
              </m:r>
              <m:r>
                <w:rPr>
                  <w:rFonts w:ascii="Cambria Math" w:hAnsi="Cambria Math"/>
                </w:rPr>
                <m:t xml:space="preserve">2</m:t>
              </m:r>
            </m:sub>
          </m:sSub>
          <m:sSub>
            <m:e>
              <m:r>
                <w:rPr>
                  <w:rFonts w:ascii="Cambria Math" w:hAnsi="Cambria Math"/>
                </w:rPr>
                <m:t xml:space="preserve">k</m:t>
              </m:r>
            </m:e>
            <m:sub>
              <m:r>
                <w:rPr>
                  <w:rFonts w:ascii="Cambria Math" w:hAnsi="Cambria Math"/>
                </w:rPr>
                <m:t xml:space="preserve">Α</m:t>
              </m:r>
              <m:r>
                <w:rPr>
                  <w:rFonts w:ascii="Cambria Math" w:hAnsi="Cambria Math"/>
                </w:rPr>
                <m:t xml:space="preserve">3</m:t>
              </m:r>
            </m:sub>
          </m:sSub>
          <m:sSub>
            <m:e>
              <m:r>
                <w:rPr>
                  <w:rFonts w:ascii="Cambria Math" w:hAnsi="Cambria Math"/>
                </w:rPr>
                <m:t xml:space="preserve">k</m:t>
              </m:r>
            </m:e>
            <m:sub>
              <m:r>
                <m:rPr>
                  <m:lit/>
                  <m:nor/>
                </m:rPr>
                <w:rPr>
                  <w:rFonts w:ascii="Cambria Math" w:hAnsi="Cambria Math"/>
                </w:rPr>
                <m:t xml:space="preserve">Б1</m:t>
              </m:r>
            </m:sub>
          </m:sSub>
          <m:sSub>
            <m:e>
              <m:r>
                <w:rPr>
                  <w:rFonts w:ascii="Cambria Math" w:hAnsi="Cambria Math"/>
                </w:rPr>
                <m:t xml:space="preserve">k</m:t>
              </m:r>
            </m:e>
            <m:sub>
              <m:r>
                <m:rPr>
                  <m:lit/>
                  <m:nor/>
                </m:rPr>
                <w:rPr>
                  <w:rFonts w:ascii="Cambria Math" w:hAnsi="Cambria Math"/>
                </w:rPr>
                <m:t xml:space="preserve">Б2</m:t>
              </m:r>
            </m:sub>
          </m:sSub>
          <m:sSub>
            <m:e>
              <m:r>
                <w:rPr>
                  <w:rFonts w:ascii="Cambria Math" w:hAnsi="Cambria Math"/>
                </w:rPr>
                <m:t xml:space="preserve">k</m:t>
              </m:r>
            </m:e>
            <m:sub>
              <m:r>
                <m:rPr>
                  <m:lit/>
                  <m:nor/>
                </m:rPr>
                <w:rPr>
                  <w:rFonts w:ascii="Cambria Math" w:hAnsi="Cambria Math"/>
                </w:rPr>
                <m:t xml:space="preserve">В2</m:t>
              </m:r>
            </m:sub>
          </m:sSub>
          <m:sSub>
            <m:e>
              <m:r>
                <w:rPr>
                  <w:rFonts w:ascii="Cambria Math" w:hAnsi="Cambria Math"/>
                </w:rPr>
                <m:t xml:space="preserve">k</m:t>
              </m:r>
            </m:e>
            <m:sub>
              <m:r>
                <m:rPr>
                  <m:lit/>
                  <m:nor/>
                </m:rPr>
                <w:rPr>
                  <w:rFonts w:ascii="Cambria Math" w:hAnsi="Cambria Math"/>
                </w:rPr>
                <m:t xml:space="preserve">В3</m:t>
              </m:r>
            </m:sub>
          </m:sSub>
          <m:sSub>
            <m:e>
              <m:r>
                <w:rPr>
                  <w:rFonts w:ascii="Cambria Math" w:hAnsi="Cambria Math"/>
                </w:rPr>
                <m:t xml:space="preserve">k</m:t>
              </m:r>
            </m:e>
            <m:sub>
              <m:r>
                <m:rPr>
                  <m:lit/>
                  <m:nor/>
                </m:rPr>
                <w:rPr>
                  <w:rFonts w:ascii="Cambria Math" w:hAnsi="Cambria Math"/>
                </w:rPr>
                <m:t xml:space="preserve">Г1</m:t>
              </m:r>
            </m:sub>
          </m:sSub>
          <m:sSub>
            <m:e>
              <m:r>
                <w:rPr>
                  <w:rFonts w:ascii="Cambria Math" w:hAnsi="Cambria Math"/>
                </w:rPr>
                <m:t xml:space="preserve">k</m:t>
              </m:r>
            </m:e>
            <m:sub>
              <m:r>
                <m:rPr>
                  <m:lit/>
                  <m:nor/>
                </m:rPr>
                <w:rPr>
                  <w:rFonts w:ascii="Cambria Math" w:hAnsi="Cambria Math"/>
                </w:rPr>
                <m:t xml:space="preserve">Г2</m:t>
              </m:r>
            </m:sub>
          </m:sSub>
          <m:sSub>
            <m:e>
              <m:r>
                <w:rPr>
                  <w:rFonts w:ascii="Cambria Math" w:hAnsi="Cambria Math"/>
                </w:rPr>
                <m:t xml:space="preserve">k</m:t>
              </m:r>
            </m:e>
            <m:sub>
              <m:r>
                <m:rPr>
                  <m:lit/>
                  <m:nor/>
                </m:rPr>
                <w:rPr>
                  <w:rFonts w:ascii="Cambria Math" w:hAnsi="Cambria Math"/>
                </w:rPr>
                <m:t xml:space="preserve">Г3</m:t>
              </m:r>
            </m:sub>
          </m:sSub>
          <m:sSub>
            <m:e>
              <m:r>
                <w:rPr>
                  <w:rFonts w:ascii="Cambria Math" w:hAnsi="Cambria Math"/>
                </w:rPr>
                <m:t xml:space="preserve">k</m:t>
              </m:r>
            </m:e>
            <m:sub>
              <m:r>
                <w:rPr>
                  <w:rFonts w:ascii="Cambria Math" w:hAnsi="Cambria Math"/>
                </w:rPr>
                <m:t xml:space="preserve">Д</m:t>
              </m:r>
            </m:sub>
          </m:sSub>
          <m:sSub>
            <m:e>
              <m:r>
                <w:rPr>
                  <w:rFonts w:ascii="Cambria Math" w:hAnsi="Cambria Math"/>
                </w:rPr>
                <m:t xml:space="preserve">k</m:t>
              </m:r>
            </m:e>
            <m:sub>
              <m:r>
                <w:rPr>
                  <w:rFonts w:ascii="Cambria Math" w:hAnsi="Cambria Math"/>
                </w:rPr>
                <m:t xml:space="preserve">Е</m:t>
              </m:r>
            </m:sub>
          </m:sSub>
          <m:sSub>
            <m:e>
              <m:r>
                <w:rPr>
                  <w:rFonts w:ascii="Cambria Math" w:hAnsi="Cambria Math"/>
                </w:rPr>
                <m:t xml:space="preserve">k</m:t>
              </m:r>
            </m:e>
            <m:sub>
              <m:r>
                <w:rPr>
                  <w:rFonts w:ascii="Cambria Math" w:hAnsi="Cambria Math"/>
                </w:rPr>
                <m:t xml:space="preserve">Ж</m:t>
              </m:r>
            </m:sub>
          </m:sSub>
          <m:sSub>
            <m:e>
              <m:r>
                <w:rPr>
                  <w:rFonts w:ascii="Cambria Math" w:hAnsi="Cambria Math"/>
                </w:rPr>
                <m:t xml:space="preserve">k</m:t>
              </m:r>
            </m:e>
            <m:sub>
              <m:r>
                <w:rPr>
                  <w:rFonts w:ascii="Cambria Math" w:hAnsi="Cambria Math"/>
                </w:rPr>
                <m:t xml:space="preserve">З</m:t>
              </m:r>
            </m:sub>
          </m:sSub>
          <m:sSub>
            <m:e>
              <m:r>
                <w:rPr>
                  <w:rFonts w:ascii="Cambria Math" w:hAnsi="Cambria Math"/>
                </w:rPr>
                <m:t xml:space="preserve">k</m:t>
              </m:r>
            </m:e>
            <m:sub>
              <m:r>
                <w:rPr>
                  <w:rFonts w:ascii="Cambria Math" w:hAnsi="Cambria Math"/>
                </w:rPr>
                <m:t xml:space="preserve">И</m:t>
              </m:r>
            </m:sub>
          </m:sSub>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r>
            <w:rPr>
              <w:rFonts w:ascii="Cambria Math" w:hAnsi="Cambria Math"/>
            </w:rPr>
            <m:t xml:space="preserve">=</m:t>
          </m:r>
          <m:nary>
            <m:naryPr>
              <m:chr m:val="∑"/>
              <m:supHide m:val="1"/>
            </m:naryPr>
            <m:sub>
              <m:r>
                <w:rPr>
                  <w:rFonts w:ascii="Cambria Math" w:hAnsi="Cambria Math"/>
                </w:rPr>
                <m:t xml:space="preserve">n</m:t>
              </m:r>
            </m:sub>
            <m:sup/>
            <m:e>
              <m:d>
                <m:dPr>
                  <m:begChr m:val="("/>
                  <m:endChr m:val=")"/>
                </m:dPr>
                <m:e>
                  <m:sSub>
                    <m:e>
                      <m:r>
                        <w:rPr>
                          <w:rFonts w:ascii="Cambria Math" w:hAnsi="Cambria Math"/>
                        </w:rPr>
                        <m:t xml:space="preserve">k</m:t>
                      </m:r>
                    </m:e>
                    <m:sub>
                      <m:r>
                        <w:rPr>
                          <w:rFonts w:ascii="Cambria Math" w:hAnsi="Cambria Math"/>
                        </w:rPr>
                        <m:t xml:space="preserve">n</m:t>
                      </m:r>
                    </m:sub>
                  </m:sSub>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n</m:t>
                          </m:r>
                        </m:sub>
                      </m:sSub>
                    </m:sup>
                  </m:sSup>
                </m:e>
              </m:d>
              <m:r>
                <w:rPr>
                  <w:rFonts w:ascii="Cambria Math" w:hAnsi="Cambria Math"/>
                </w:rPr>
                <m:t xml:space="preserve">+</m:t>
              </m:r>
              <m:nary>
                <m:naryPr>
                  <m:chr m:val="∑"/>
                  <m:supHide m:val="1"/>
                </m:naryPr>
                <m:sub>
                  <m:r>
                    <w:rPr>
                      <w:rFonts w:ascii="Cambria Math" w:hAnsi="Cambria Math"/>
                    </w:rPr>
                    <m:t xml:space="preserve">l</m:t>
                  </m:r>
                </m:sub>
                <m:sup/>
                <m:e>
                  <m:d>
                    <m:dPr>
                      <m:begChr m:val="("/>
                      <m:endChr m:val=")"/>
                    </m:dPr>
                    <m:e>
                      <m:sSub>
                        <m:e>
                          <m:r>
                            <w:rPr>
                              <w:rFonts w:ascii="Cambria Math" w:hAnsi="Cambria Math"/>
                            </w:rPr>
                            <m:t xml:space="preserve">k</m:t>
                          </m:r>
                        </m:e>
                        <m:sub>
                          <m:r>
                            <w:rPr>
                              <w:rFonts w:ascii="Cambria Math" w:hAnsi="Cambria Math"/>
                            </w:rPr>
                            <m:t xml:space="preserve">l</m:t>
                          </m:r>
                        </m:sub>
                      </m:sSub>
                      <m:r>
                        <w:rPr>
                          <w:rFonts w:ascii="Cambria Math" w:hAnsi="Cambria Math"/>
                        </w:rPr>
                        <m:t xml:space="preserve">⋅</m:t>
                      </m:r>
                      <m:sSubSup>
                        <m:e>
                          <m:r>
                            <w:rPr>
                              <w:rFonts w:ascii="Cambria Math" w:hAnsi="Cambria Math"/>
                            </w:rPr>
                            <m:t xml:space="preserve">k</m:t>
                          </m:r>
                        </m:e>
                        <m:sub>
                          <m:r>
                            <m:rPr>
                              <m:lit/>
                              <m:nor/>
                            </m:rPr>
                            <w:rPr>
                              <w:rFonts w:ascii="Cambria Math" w:hAnsi="Cambria Math"/>
                            </w:rPr>
                            <m:t xml:space="preserve">диф,m</m:t>
                          </m:r>
                        </m:sub>
                        <m:sup>
                          <m:r>
                            <w:rPr>
                              <w:rFonts w:ascii="Cambria Math" w:hAnsi="Cambria Math"/>
                            </w:rPr>
                            <m:t xml:space="preserve">j</m:t>
                          </m:r>
                        </m:sup>
                      </m:sSubSup>
                      <m:r>
                        <w:rPr>
                          <w:rFonts w:ascii="Cambria Math" w:hAnsi="Cambria Math"/>
                        </w:rPr>
                        <m:t xml:space="preserve">⋅</m:t>
                      </m:r>
                      <m:sSup>
                        <m:e>
                          <m:r>
                            <w:rPr>
                              <w:rFonts w:ascii="Cambria Math" w:hAnsi="Cambria Math"/>
                            </w:rPr>
                            <m:t xml:space="preserve">N</m:t>
                          </m:r>
                        </m:e>
                        <m:sup>
                          <m:sSub>
                            <m:e>
                              <m:r>
                                <w:rPr>
                                  <w:rFonts w:ascii="Cambria Math" w:hAnsi="Cambria Math"/>
                                </w:rPr>
                                <m:t xml:space="preserve">j</m:t>
                              </m:r>
                            </m:e>
                            <m:sub>
                              <m:r>
                                <m:rPr>
                                  <m:lit/>
                                  <m:nor/>
                                </m:rPr>
                                <w:rPr>
                                  <w:rFonts w:ascii="Cambria Math" w:hAnsi="Cambria Math"/>
                                </w:rPr>
                                <m:t xml:space="preserve">нв,</m:t>
                              </m:r>
                              <m:r>
                                <w:rPr>
                                  <w:rFonts w:ascii="Cambria Math" w:hAnsi="Cambria Math"/>
                                </w:rPr>
                                <m:t xml:space="preserve">l</m:t>
                              </m:r>
                            </m:sub>
                          </m:sSub>
                        </m:sup>
                      </m:sSup>
                    </m:e>
                  </m:d>
                </m:e>
              </m:nary>
            </m:e>
          </m:nary>
        </m:oMath>
      </m:oMathPara>
    </w:p>
    <w:p>
      <w:pPr>
        <w:pStyle w:val="Normal"/>
        <w:spacing w:lineRule="auto" w:line="276" w:before="0" w:after="200"/>
        <w:ind w:firstLine="709"/>
        <w:rPr>
          <w:rFonts w:eastAsia="Arial"/>
          <w:sz w:val="24"/>
          <w:szCs w:val="24"/>
        </w:rPr>
      </w:pPr>
      <w:r>
        <w:rPr>
          <w:rFonts w:eastAsia="Arial"/>
          <w:sz w:val="24"/>
          <w:szCs w:val="24"/>
        </w:rPr>
        <w:t>где:</w:t>
        <w:tab/>
      </w:r>
    </w:p>
    <w:p>
      <w:pPr>
        <w:pStyle w:val="Normal"/>
        <w:numPr>
          <w:ilvl w:val="0"/>
          <w:numId w:val="0"/>
        </w:numPr>
        <w:spacing w:lineRule="auto" w:line="276" w:before="120" w:after="120"/>
        <w:ind w:firstLine="567"/>
        <w:jc w:val="both"/>
        <w:outlineLvl w:val="3"/>
        <w:rPr>
          <w:sz w:val="24"/>
          <w:szCs w:val="24"/>
        </w:rPr>
      </w:pPr>
      <w:r>
        <w:rPr/>
        <w:drawing>
          <wp:inline distT="0" distB="0" distL="0" distR="0">
            <wp:extent cx="185420" cy="228600"/>
            <wp:effectExtent l="0" t="0" r="0" b="0"/>
            <wp:docPr id="17" name="Изображение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descr=""/>
                    <pic:cNvPicPr>
                      <a:picLocks noChangeAspect="1" noChangeArrowheads="1"/>
                    </pic:cNvPicPr>
                  </pic:nvPicPr>
                  <pic:blipFill>
                    <a:blip r:embed="rId26"/>
                    <a:stretch>
                      <a:fillRect/>
                    </a:stretch>
                  </pic:blipFill>
                  <pic:spPr bwMode="auto">
                    <a:xfrm>
                      <a:off x="0" y="0"/>
                      <a:ext cx="185420" cy="228600"/>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 xml:space="preserve">коэффициенты </w:t>
      </w:r>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0</m:t>
            </m:r>
            <m:r>
              <m:rPr>
                <m:lit/>
                <m:nor/>
              </m:rPr>
              <w:rPr>
                <w:rFonts w:ascii="Cambria Math" w:hAnsi="Cambria Math"/>
              </w:rPr>
              <m:t xml:space="preserve">.</m:t>
            </m:r>
            <m:r>
              <w:rPr>
                <w:rFonts w:ascii="Cambria Math" w:hAnsi="Cambria Math"/>
              </w:rPr>
              <m:t xml:space="preserve">2</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sz w:val="24"/>
          <w:szCs w:val="24"/>
        </w:rPr>
        <w:t>)</w:t>
      </w:r>
    </w:p>
    <w:p>
      <w:pPr>
        <w:pStyle w:val="Normal"/>
        <w:numPr>
          <w:ilvl w:val="0"/>
          <w:numId w:val="0"/>
        </w:numPr>
        <w:spacing w:lineRule="auto" w:line="276" w:before="120" w:after="120"/>
        <w:ind w:firstLine="567"/>
        <w:jc w:val="both"/>
        <w:outlineLvl w:val="3"/>
        <w:rPr>
          <w:sz w:val="24"/>
          <w:szCs w:val="24"/>
        </w:rPr>
      </w:pPr>
      <w:r>
        <w:rPr/>
        <w:drawing>
          <wp:inline distT="0" distB="0" distL="0" distR="0">
            <wp:extent cx="184785" cy="277495"/>
            <wp:effectExtent l="0" t="0" r="0" b="0"/>
            <wp:docPr id="18" name="Изображение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descr=""/>
                    <pic:cNvPicPr>
                      <a:picLocks noChangeAspect="1" noChangeArrowheads="1"/>
                    </pic:cNvPicPr>
                  </pic:nvPicPr>
                  <pic:blipFill>
                    <a:blip r:embed="rId27"/>
                    <a:stretch>
                      <a:fillRect/>
                    </a:stretch>
                  </pic:blipFill>
                  <pic:spPr bwMode="auto">
                    <a:xfrm>
                      <a:off x="0" y="0"/>
                      <a:ext cx="184785" cy="277495"/>
                    </a:xfrm>
                    <a:prstGeom prst="rect">
                      <a:avLst/>
                    </a:prstGeom>
                  </pic:spPr>
                </pic:pic>
              </a:graphicData>
            </a:graphic>
          </wp:inline>
        </w:drawing>
      </w:r>
      <w:r>
        <w:rPr>
          <w:sz w:val="24"/>
          <w:szCs w:val="24"/>
        </w:rPr>
        <w:t xml:space="preserve"> </w:t>
      </w:r>
      <w:r>
        <w:rPr>
          <w:rFonts w:eastAsia="Arial"/>
          <w:sz w:val="24"/>
          <w:szCs w:val="24"/>
        </w:rPr>
        <w:t>―</w:t>
      </w:r>
      <w:r>
        <w:rPr>
          <w:sz w:val="24"/>
          <w:szCs w:val="24"/>
        </w:rPr>
        <w:t xml:space="preserve"> </w:t>
      </w:r>
      <w:r>
        <w:rPr>
          <w:rFonts w:eastAsia="Arial"/>
          <w:sz w:val="24"/>
          <w:szCs w:val="24"/>
        </w:rPr>
        <w:t>коэффициенты (</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1</m:t>
            </m:r>
            <m:r>
              <m:rPr>
                <m:lit/>
                <m:nor/>
              </m:rPr>
              <w:rPr>
                <w:rFonts w:ascii="Cambria Math" w:hAnsi="Cambria Math"/>
              </w:rPr>
              <m:t xml:space="preserve">.</m:t>
            </m:r>
            <m:r>
              <w:rPr>
                <w:rFonts w:ascii="Cambria Math" w:hAnsi="Cambria Math"/>
              </w:rPr>
              <m:t xml:space="preserve">4</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1</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1</m:t>
            </m:r>
            <m:r>
              <m:rPr>
                <m:lit/>
                <m:nor/>
              </m:rPr>
              <w:rPr>
                <w:rFonts w:ascii="Cambria Math" w:hAnsi="Cambria Math"/>
              </w:rPr>
              <m:t xml:space="preserve">.</m:t>
            </m:r>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2</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3</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4</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5</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6</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7</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1</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8</m:t>
            </m:r>
            <m:r>
              <m:rPr>
                <m:lit/>
                <m:nor/>
              </m:rPr>
              <w:rPr>
                <w:rFonts w:ascii="Cambria Math" w:hAnsi="Cambria Math"/>
              </w:rPr>
              <m:t xml:space="preserve">.</m:t>
            </m:r>
            <m:r>
              <w:rPr>
                <w:rFonts w:ascii="Cambria Math" w:hAnsi="Cambria Math"/>
              </w:rPr>
              <m:t xml:space="preserve">2</m:t>
            </m:r>
          </m:sub>
        </m:sSub>
      </m:oMath>
      <w:r>
        <w:rPr>
          <w:rFonts w:eastAsia="Arial"/>
          <w:sz w:val="24"/>
          <w:szCs w:val="24"/>
        </w:rPr>
        <w:t>,</w:t>
      </w:r>
      <w:r>
        <w:rPr/>
      </w:r>
      <m:oMath xmlns:m="http://schemas.openxmlformats.org/officeDocument/2006/math">
        <m:sSub>
          <m:e>
            <m:r>
              <w:rPr>
                <w:rFonts w:ascii="Cambria Math" w:hAnsi="Cambria Math"/>
              </w:rPr>
              <m:t xml:space="preserve">k</m:t>
            </m:r>
          </m:e>
          <m:sub>
            <m:r>
              <w:rPr>
                <w:rFonts w:ascii="Cambria Math" w:hAnsi="Cambria Math"/>
              </w:rPr>
              <m:t xml:space="preserve">9</m:t>
            </m:r>
          </m:sub>
        </m:sSub>
      </m:oMath>
      <w:r>
        <w:rPr>
          <w:rFonts w:eastAsia="Arial"/>
          <w:sz w:val="24"/>
          <w:szCs w:val="24"/>
        </w:rPr>
        <w:t xml:space="preserve">), </w:t>
      </w:r>
    </w:p>
    <w:p>
      <w:pPr>
        <w:pStyle w:val="Normal"/>
        <w:numPr>
          <w:ilvl w:val="0"/>
          <w:numId w:val="0"/>
        </w:numPr>
        <w:spacing w:lineRule="auto" w:line="276" w:before="120" w:after="120"/>
        <w:ind w:firstLine="567"/>
        <w:jc w:val="both"/>
        <w:outlineLvl w:val="3"/>
        <w:rPr>
          <w:sz w:val="24"/>
          <w:szCs w:val="24"/>
        </w:rPr>
      </w:pPr>
      <w:r>
        <w:rPr>
          <w:rFonts w:eastAsia="Arial"/>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descr=""/>
                    <pic:cNvPicPr>
                      <a:picLocks noChangeAspect="1" noChangeArrowheads="1"/>
                    </pic:cNvPicPr>
                  </pic:nvPicPr>
                  <pic:blipFill>
                    <a:blip r:embed="rId28"/>
                    <a:stretch>
                      <a:fillRect/>
                    </a:stretch>
                  </pic:blipFill>
                  <pic:spPr bwMode="auto">
                    <a:xfrm>
                      <a:off x="0" y="0"/>
                      <a:ext cx="277495" cy="277495"/>
                    </a:xfrm>
                    <a:prstGeom prst="rect">
                      <a:avLst/>
                    </a:prstGeom>
                  </pic:spPr>
                </pic:pic>
              </a:graphicData>
            </a:graphic>
          </wp:inline>
        </w:drawing>
      </w:r>
      <w:r>
        <w:rPr>
          <w:rFonts w:eastAsia="Arial"/>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firstLine="567"/>
        <w:jc w:val="both"/>
        <w:outlineLvl w:val="2"/>
        <w:rPr>
          <w:sz w:val="24"/>
          <w:szCs w:val="24"/>
        </w:rPr>
      </w:pPr>
      <w:r>
        <w:rPr>
          <w:rFonts w:eastAsia="Arial"/>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descr=""/>
                    <pic:cNvPicPr>
                      <a:picLocks noChangeAspect="1" noChangeArrowheads="1"/>
                    </pic:cNvPicPr>
                  </pic:nvPicPr>
                  <pic:blipFill>
                    <a:blip r:embed="rId29"/>
                    <a:stretch>
                      <a:fillRect/>
                    </a:stretch>
                  </pic:blipFill>
                  <pic:spPr bwMode="auto">
                    <a:xfrm>
                      <a:off x="0" y="0"/>
                      <a:ext cx="636270" cy="278130"/>
                    </a:xfrm>
                    <a:prstGeom prst="rect">
                      <a:avLst/>
                    </a:prstGeom>
                  </pic:spPr>
                </pic:pic>
              </a:graphicData>
            </a:graphic>
          </wp:inline>
        </w:drawing>
      </w:r>
      <w:r>
        <w:rPr>
          <w:rFonts w:eastAsia="Arial"/>
          <w:sz w:val="24"/>
          <w:szCs w:val="24"/>
        </w:rPr>
        <w:t>.</w:t>
      </w:r>
    </w:p>
    <w:p>
      <w:pPr>
        <w:pStyle w:val="Normal"/>
        <w:spacing w:lineRule="auto" w:line="276" w:before="0" w:after="200"/>
        <w:ind w:firstLine="567"/>
        <w:jc w:val="both"/>
        <w:rPr>
          <w:rFonts w:eastAsia="Arial"/>
          <w:sz w:val="24"/>
          <w:szCs w:val="24"/>
        </w:rPr>
      </w:pPr>
      <w:r>
        <w:rPr>
          <w:rFonts w:eastAsia="Arial"/>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eastAsia="Arial"/>
          <w:sz w:val="24"/>
          <w:szCs w:val="24"/>
        </w:rPr>
      </w:pPr>
      <w:r>
        <w:rPr>
          <w:rFonts w:eastAsia="Arial"/>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sz w:val="24"/>
          <w:szCs w:val="24"/>
        </w:rPr>
        <w:t xml:space="preserve">  </w:t>
      </w:r>
      <w:r>
        <w:rPr>
          <w:rFonts w:eastAsia="Arial"/>
          <w:sz w:val="24"/>
          <w:szCs w:val="24"/>
        </w:rPr>
        <w:t xml:space="preserve">- </w:t>
      </w:r>
      <w:r>
        <w:rPr/>
        <w:drawing>
          <wp:inline distT="0" distB="0" distL="0" distR="0">
            <wp:extent cx="474980" cy="302260"/>
            <wp:effectExtent l="0" t="0" r="0" b="0"/>
            <wp:docPr id="21" name="Изображение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descr=""/>
                    <pic:cNvPicPr>
                      <a:picLocks noChangeAspect="1" noChangeArrowheads="1"/>
                    </pic:cNvPicPr>
                  </pic:nvPicPr>
                  <pic:blipFill>
                    <a:blip r:embed="rId30"/>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eastAsia="Arial"/>
          <w:sz w:val="24"/>
          <w:szCs w:val="24"/>
        </w:rPr>
      </w:pPr>
      <w:r>
        <w:rPr>
          <w:rFonts w:eastAsia="Arial"/>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spacing w:lineRule="auto" w:line="276" w:before="240" w:after="200"/>
        <w:jc w:val="both"/>
        <w:rPr>
          <w:sz w:val="24"/>
          <w:szCs w:val="24"/>
        </w:rPr>
      </w:pPr>
      <w:r>
        <w:rPr>
          <w:rFonts w:eastAsia="Arial"/>
          <w:sz w:val="24"/>
          <w:szCs w:val="24"/>
        </w:rPr>
        <w:t xml:space="preserve">- </w:t>
      </w:r>
      <w:r>
        <w:rPr/>
        <w:drawing>
          <wp:inline distT="0" distB="0" distL="0" distR="0">
            <wp:extent cx="457200" cy="302895"/>
            <wp:effectExtent l="0" t="0" r="0" b="0"/>
            <wp:docPr id="22" name="Изображение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descr=""/>
                    <pic:cNvPicPr>
                      <a:picLocks noChangeAspect="1" noChangeArrowheads="1"/>
                    </pic:cNvPicPr>
                  </pic:nvPicPr>
                  <pic:blipFill>
                    <a:blip r:embed="rId31"/>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w:rPr>
                <w:rFonts w:ascii="Cambria Math" w:hAnsi="Cambria Math"/>
              </w:rPr>
              <m:t xml:space="preserve">ΔN</m:t>
            </m:r>
          </m:e>
          <m:sub>
            <m:sSubSup>
              <m:e>
                <m:r>
                  <m:rPr>
                    <m:lit/>
                    <m:nor/>
                  </m:rPr>
                  <w:rPr>
                    <w:rFonts w:ascii="Cambria Math" w:hAnsi="Cambria Math"/>
                  </w:rPr>
                  <m:t xml:space="preserve">СП</m:t>
                </m:r>
              </m:e>
              <m:sub>
                <m:r>
                  <w:rPr>
                    <w:rFonts w:ascii="Cambria Math" w:hAnsi="Cambria Math"/>
                  </w:rPr>
                  <m:t xml:space="preserve">m</m:t>
                </m:r>
              </m:sub>
              <m:sup>
                <m:r>
                  <m:rPr>
                    <m:lit/>
                    <m:nor/>
                  </m:rPr>
                  <w:rPr>
                    <w:rFonts w:ascii="Cambria Math" w:hAnsi="Cambria Math"/>
                  </w:rPr>
                  <m:t xml:space="preserve">гот,j</m:t>
                </m:r>
              </m:sup>
            </m:sSubSup>
          </m:sub>
        </m:sSub>
      </m:oMath>
      <w:r>
        <w:rPr>
          <w:rFonts w:eastAsia="Arial"/>
          <w:sz w:val="24"/>
          <w:szCs w:val="24"/>
        </w:rPr>
        <w:t xml:space="preserve"> на цену </w:t>
      </w:r>
      <w:r>
        <w:rPr/>
        <w:drawing>
          <wp:inline distT="0" distB="0" distL="0" distR="0">
            <wp:extent cx="474980" cy="302260"/>
            <wp:effectExtent l="0" t="0" r="0" b="0"/>
            <wp:docPr id="23" name="Изображение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descr=""/>
                    <pic:cNvPicPr>
                      <a:picLocks noChangeAspect="1" noChangeArrowheads="1"/>
                    </pic:cNvPicPr>
                  </pic:nvPicPr>
                  <pic:blipFill>
                    <a:blip r:embed="rId32"/>
                    <a:srcRect l="-42" t="-65" r="-42" b="-65"/>
                    <a:stretch>
                      <a:fillRect/>
                    </a:stretch>
                  </pic:blipFill>
                  <pic:spPr bwMode="auto">
                    <a:xfrm>
                      <a:off x="0" y="0"/>
                      <a:ext cx="474980" cy="302260"/>
                    </a:xfrm>
                    <a:prstGeom prst="rect">
                      <a:avLst/>
                    </a:prstGeom>
                  </pic:spPr>
                </pic:pic>
              </a:graphicData>
            </a:graphic>
          </wp:inline>
        </w:drawing>
      </w:r>
      <w:r>
        <w:rPr>
          <w:rFonts w:eastAsia="Arial"/>
          <w:sz w:val="24"/>
          <w:szCs w:val="24"/>
        </w:rPr>
        <w:t xml:space="preserve"> и на коэффициент сезонности</w:t>
      </w:r>
      <w:r>
        <w:rPr/>
        <w:drawing>
          <wp:inline distT="0" distB="0" distL="0" distR="0">
            <wp:extent cx="457200" cy="302895"/>
            <wp:effectExtent l="0" t="0" r="0" b="0"/>
            <wp:docPr id="24" name="Изображение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descr=""/>
                    <pic:cNvPicPr>
                      <a:picLocks noChangeAspect="1" noChangeArrowheads="1"/>
                    </pic:cNvPicPr>
                  </pic:nvPicPr>
                  <pic:blipFill>
                    <a:blip r:embed="rId33"/>
                    <a:srcRect l="-43" t="-65" r="-43" b="-65"/>
                    <a:stretch>
                      <a:fillRect/>
                    </a:stretch>
                  </pic:blipFill>
                  <pic:spPr bwMode="auto">
                    <a:xfrm>
                      <a:off x="0" y="0"/>
                      <a:ext cx="457200" cy="302895"/>
                    </a:xfrm>
                    <a:prstGeom prst="rect">
                      <a:avLst/>
                    </a:prstGeom>
                  </pic:spPr>
                </pic:pic>
              </a:graphicData>
            </a:graphic>
          </wp:inline>
        </w:drawing>
      </w:r>
      <w:r>
        <w:rPr>
          <w:rFonts w:eastAsia="Arial"/>
          <w:sz w:val="24"/>
          <w:szCs w:val="24"/>
        </w:rPr>
        <w:t xml:space="preserve">. </w:t>
      </w:r>
    </w:p>
    <w:p>
      <w:pPr>
        <w:pStyle w:val="Normal"/>
        <w:widowControl/>
        <w:spacing w:before="120" w:after="20"/>
        <w:ind w:firstLine="709"/>
        <w:jc w:val="both"/>
        <w:rPr>
          <w:sz w:val="24"/>
          <w:szCs w:val="24"/>
        </w:rPr>
      </w:pPr>
      <w:r>
        <w:rPr>
          <w:sz w:val="24"/>
          <w:szCs w:val="24"/>
        </w:rPr>
      </w:r>
    </w:p>
    <w:tbl>
      <w:tblPr>
        <w:tblW w:w="10120" w:type="dxa"/>
        <w:jc w:val="left"/>
        <w:tblInd w:w="0" w:type="dxa"/>
        <w:tblLayout w:type="fixed"/>
        <w:tblCellMar>
          <w:top w:w="0" w:type="dxa"/>
          <w:left w:w="108" w:type="dxa"/>
          <w:bottom w:w="0" w:type="dxa"/>
          <w:right w:w="108" w:type="dxa"/>
        </w:tblCellMar>
        <w:tblLook w:val="0000" w:noVBand="0" w:noHBand="0" w:lastColumn="0" w:firstColumn="0" w:lastRow="0" w:firstRow="0"/>
      </w:tblPr>
      <w:tblGrid>
        <w:gridCol w:w="5241"/>
        <w:gridCol w:w="4878"/>
      </w:tblGrid>
      <w:tr>
        <w:trPr>
          <w:trHeight w:val="282" w:hRule="atLeast"/>
        </w:trPr>
        <w:tc>
          <w:tcPr>
            <w:tcW w:w="5241"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lang w:val="en-GB"/>
              </w:rPr>
              <w:t>Покупатель:</w:t>
            </w:r>
          </w:p>
        </w:tc>
        <w:tc>
          <w:tcPr>
            <w:tcW w:w="4878"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rPr>
              <w:t>Поставщик</w:t>
            </w:r>
            <w:r>
              <w:rPr>
                <w:b/>
                <w:sz w:val="24"/>
                <w:szCs w:val="24"/>
                <w:lang w:val="en-GB"/>
              </w:rPr>
              <w:t>:</w:t>
            </w:r>
          </w:p>
        </w:tc>
      </w:tr>
      <w:tr>
        <w:trPr>
          <w:trHeight w:val="611" w:hRule="atLeast"/>
        </w:trPr>
        <w:tc>
          <w:tcPr>
            <w:tcW w:w="524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78"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r>
    </w:p>
    <w:sectPr>
      <w:headerReference w:type="default" r:id="rId34"/>
      <w:headerReference w:type="first" r:id="rId35"/>
      <w:footerReference w:type="default" r:id="rId36"/>
      <w:footerReference w:type="first" r:id="rId37"/>
      <w:footnotePr>
        <w:numFmt w:val="decimal"/>
      </w:footnotePr>
      <w:type w:val="nextPage"/>
      <w:pgSz w:w="11906" w:h="16838"/>
      <w:pgMar w:left="1418" w:right="851" w:gutter="0" w:header="567" w:top="1134" w:footer="314" w:bottom="851"/>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Liberation Sans">
    <w:altName w:val="Arial"/>
    <w:charset w:val="01"/>
    <w:family w:val="swiss"/>
    <w:pitch w:val="variable"/>
  </w:font>
  <w:font w:name="Courier New">
    <w:charset w:val="01"/>
    <w:family w:val="roman"/>
    <w:pitch w:val="variable"/>
  </w:font>
  <w:font w:name="Tahoma">
    <w:charset w:val="01"/>
    <w:family w:val="roman"/>
    <w:pitch w:val="variable"/>
  </w:font>
  <w:font w:name="Verdana">
    <w:charset w:val="01"/>
    <w:family w:val="roman"/>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2</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35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4"/>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4"/>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4"/>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4"/>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4"/>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4"/>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4"/>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4"/>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4"/>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4"/>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4"/>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4"/>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4"/>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4"/>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rPr/>
      </w:pPr>
      <w:r>
        <w:rPr>
          <w:rStyle w:val="Style14"/>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7">
    <w:p>
      <w:pPr>
        <w:pStyle w:val="FootnoteText"/>
        <w:jc w:val="both"/>
        <w:rPr/>
      </w:pPr>
      <w:r>
        <w:rPr>
          <w:rStyle w:val="Style14"/>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14"/>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9">
    <w:p>
      <w:pPr>
        <w:pStyle w:val="FootnoteText"/>
        <w:jc w:val="both"/>
        <w:rPr/>
      </w:pPr>
      <w:r>
        <w:rPr>
          <w:rStyle w:val="Style14"/>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pPr>
        <w:pStyle w:val="FootnoteText"/>
        <w:jc w:val="both"/>
        <w:rPr/>
      </w:pPr>
      <w:r>
        <w:rPr>
          <w:rStyle w:val="Style14"/>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1">
    <w:p>
      <w:pPr>
        <w:pStyle w:val="FootnoteText"/>
        <w:jc w:val="both"/>
        <w:rPr/>
      </w:pPr>
      <w:r>
        <w:rPr>
          <w:rStyle w:val="Style14"/>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3" w:name="_GoBack_Копия_1_Копия_1_Копия_1_Копия_1"/>
      <w:bookmarkEnd w:id="13"/>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2">
    <w:p>
      <w:pPr>
        <w:pStyle w:val="FootnoteText"/>
        <w:jc w:val="both"/>
        <w:rPr/>
      </w:pPr>
      <w:r>
        <w:rPr>
          <w:rStyle w:val="Style14"/>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3">
    <w:p>
      <w:pPr>
        <w:pStyle w:val="FootnoteText"/>
        <w:jc w:val="both"/>
        <w:rPr/>
      </w:pPr>
      <w:r>
        <w:rPr>
          <w:rStyle w:val="Style14"/>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4">
    <w:p>
      <w:pPr>
        <w:pStyle w:val="FootnoteText"/>
        <w:jc w:val="both"/>
        <w:rPr/>
      </w:pPr>
      <w:r>
        <w:rPr>
          <w:rStyle w:val="Style14"/>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5">
    <w:p>
      <w:pPr>
        <w:pStyle w:val="FootnoteText"/>
        <w:jc w:val="both"/>
        <w:rPr/>
      </w:pPr>
      <w:r>
        <w:rPr>
          <w:rStyle w:val="Style14"/>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6">
    <w:p>
      <w:pPr>
        <w:pStyle w:val="FootnoteText"/>
        <w:jc w:val="both"/>
        <w:rPr/>
      </w:pPr>
      <w:r>
        <w:rPr>
          <w:rStyle w:val="Style14"/>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7">
    <w:p>
      <w:pPr>
        <w:pStyle w:val="FootnoteText"/>
        <w:jc w:val="both"/>
        <w:rPr/>
      </w:pPr>
      <w:r>
        <w:rPr>
          <w:rStyle w:val="Style14"/>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8">
    <w:p>
      <w:pPr>
        <w:pStyle w:val="FootnoteText"/>
        <w:jc w:val="both"/>
        <w:rPr/>
      </w:pPr>
      <w:r>
        <w:rPr>
          <w:rStyle w:val="Style14"/>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t xml:space="preserve"> </w:t>
    </w:r>
    <w:r>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6">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7">
    <w:lvl w:ilvl="0">
      <w:numFmt w:val="bullet"/>
      <w:lvlText w:val="–"/>
      <w:lvlJc w:val="left"/>
      <w:pPr>
        <w:tabs>
          <w:tab w:val="num" w:pos="0"/>
        </w:tabs>
        <w:ind w:left="1429" w:hanging="360"/>
      </w:pPr>
      <w:rPr>
        <w:rFonts w:ascii="Times New Roman" w:hAnsi="Times New Roman" w:cs="Times New Roman" w:hint="default"/>
        <w:color w:val="000000"/>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9">
    <w:lvl w:ilvl="0">
      <w:start w:val="1"/>
      <w:numFmt w:val="decimal"/>
      <w:lvlText w:val="%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7" w:customStyle="1">
    <w:name w:val="Заголовок Знак"/>
    <w:qFormat/>
    <w:locked/>
    <w:rsid w:val="00565582"/>
    <w:rPr>
      <w:b/>
      <w:bCs/>
      <w:sz w:val="24"/>
      <w:szCs w:val="24"/>
      <w:lang w:val="ru-RU" w:eastAsia="ru-RU" w:bidi="ar-SA"/>
    </w:rPr>
  </w:style>
  <w:style w:type="character" w:styleId="Style8"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Annotationreference">
    <w:name w:val="annotation reference"/>
    <w:qFormat/>
    <w:rsid w:val="00d36934"/>
    <w:rPr>
      <w:sz w:val="16"/>
      <w:szCs w:val="16"/>
    </w:rPr>
  </w:style>
  <w:style w:type="character" w:styleId="Style9" w:customStyle="1">
    <w:name w:val="Текст примечания Знак"/>
    <w:basedOn w:val="DefaultParagraphFont"/>
    <w:link w:val="Annotationtext"/>
    <w:qFormat/>
    <w:rsid w:val="00d36934"/>
    <w:rPr/>
  </w:style>
  <w:style w:type="character" w:styleId="Style10"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1" w:customStyle="1">
    <w:name w:val="Основной текст с отступом Знак"/>
    <w:basedOn w:val="DefaultParagraphFont"/>
    <w:qFormat/>
    <w:rsid w:val="00e00bca"/>
    <w:rPr/>
  </w:style>
  <w:style w:type="character" w:styleId="Style12" w:customStyle="1">
    <w:name w:val="комментарий"/>
    <w:uiPriority w:val="99"/>
    <w:qFormat/>
    <w:rsid w:val="00d562c0"/>
    <w:rPr>
      <w:rFonts w:cs="Times New Roman"/>
      <w:b/>
      <w:bCs/>
      <w:i/>
      <w:iCs/>
      <w:shd w:fill="FFFF99" w:val="clear"/>
    </w:rPr>
  </w:style>
  <w:style w:type="character" w:styleId="Style13" w:customStyle="1">
    <w:name w:val="Текст сноски Знак"/>
    <w:basedOn w:val="DefaultParagraphFont"/>
    <w:uiPriority w:val="99"/>
    <w:qFormat/>
    <w:rsid w:val="00f47c6a"/>
    <w:rPr/>
  </w:style>
  <w:style w:type="character" w:styleId="Style14" w:customStyle="1">
    <w:name w:val="Символ сноски"/>
    <w:uiPriority w:val="99"/>
    <w:qFormat/>
    <w:rsid w:val="00f47c6a"/>
    <w:rPr>
      <w:vertAlign w:val="superscript"/>
    </w:rPr>
  </w:style>
  <w:style w:type="character" w:styleId="FootnoteReference">
    <w:name w:val="Footnote Reference"/>
    <w:rPr>
      <w:vertAlign w:val="superscript"/>
    </w:rPr>
  </w:style>
  <w:style w:type="character" w:styleId="Style15"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16" w:customStyle="1">
    <w:name w:val="Нижний колонтитул Знак"/>
    <w:uiPriority w:val="99"/>
    <w:qFormat/>
    <w:rsid w:val="00d925fb"/>
    <w:rPr/>
  </w:style>
  <w:style w:type="character" w:styleId="Style17" w:customStyle="1">
    <w:name w:val="Абзац списка Знак"/>
    <w:link w:val="ListParagraph"/>
    <w:uiPriority w:val="34"/>
    <w:qFormat/>
    <w:locked/>
    <w:rsid w:val="00182860"/>
    <w:rPr/>
  </w:style>
  <w:style w:type="character" w:styleId="Linenumber">
    <w:name w:val="line number"/>
    <w:qFormat/>
    <w:rPr/>
  </w:style>
  <w:style w:type="character" w:styleId="Style18" w:customStyle="1">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8"/>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Title">
    <w:name w:val="Title"/>
    <w:basedOn w:val="Normal"/>
    <w:next w:val="BodyText"/>
    <w:link w:val="Style7"/>
    <w:qFormat/>
    <w:rsid w:val="00a264b0"/>
    <w:pPr>
      <w:jc w:val="center"/>
    </w:pPr>
    <w:rPr>
      <w:b/>
      <w:bCs/>
      <w:sz w:val="24"/>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Style21"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left="1843" w:hanging="0"/>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2" w:customStyle="1">
    <w:name w:val="Колонтитул"/>
    <w:basedOn w:val="Normal"/>
    <w:qFormat/>
    <w:pPr/>
    <w:rPr/>
  </w:style>
  <w:style w:type="paragraph" w:styleId="Footer">
    <w:name w:val="Footer"/>
    <w:basedOn w:val="Normal"/>
    <w:link w:val="Style16"/>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Annotationtext">
    <w:name w:val="annotation text"/>
    <w:basedOn w:val="Normal"/>
    <w:link w:val="Style9"/>
    <w:qFormat/>
    <w:rsid w:val="00d36934"/>
    <w:pPr/>
    <w:rPr/>
  </w:style>
  <w:style w:type="paragraph" w:styleId="Annotationsubject">
    <w:name w:val="annotation subject"/>
    <w:basedOn w:val="Annotationtext"/>
    <w:next w:val="Annotationtext"/>
    <w:link w:val="Style10"/>
    <w:uiPriority w:val="99"/>
    <w:qFormat/>
    <w:rsid w:val="00d36934"/>
    <w:pPr/>
    <w:rPr>
      <w:b/>
      <w:bCs/>
      <w:lang w:val="x-none" w:eastAsia="x-none"/>
    </w:rPr>
  </w:style>
  <w:style w:type="paragraph" w:styleId="ListParagraph">
    <w:name w:val="List Paragraph"/>
    <w:basedOn w:val="Normal"/>
    <w:link w:val="Style17"/>
    <w:uiPriority w:val="34"/>
    <w:qFormat/>
    <w:rsid w:val="00ec6e7d"/>
    <w:pPr>
      <w:spacing w:before="0" w:after="0"/>
      <w:ind w:left="720" w:hanging="0"/>
      <w:contextualSpacing/>
    </w:pPr>
    <w:rPr/>
  </w:style>
  <w:style w:type="paragraph" w:styleId="Style23"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24"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right="19772" w:firstLine="720"/>
      <w:jc w:val="left"/>
    </w:pPr>
    <w:rPr>
      <w:rFonts w:ascii="Arial" w:hAnsi="Arial" w:eastAsia="Times New Roman" w:cs="Times New Roman"/>
      <w:color w:val="auto"/>
      <w:kern w:val="0"/>
      <w:sz w:val="32"/>
      <w:szCs w:val="20"/>
      <w:lang w:eastAsia="en-US" w:val="ru-RU" w:bidi="ar-SA"/>
    </w:rPr>
  </w:style>
  <w:style w:type="paragraph" w:styleId="BodyTextIndent">
    <w:name w:val="Body Text Indent"/>
    <w:basedOn w:val="Normal"/>
    <w:link w:val="Style11"/>
    <w:rsid w:val="00e00bca"/>
    <w:pPr>
      <w:spacing w:before="0" w:after="120"/>
      <w:ind w:left="283" w:hanging="0"/>
    </w:pPr>
    <w:rPr/>
  </w:style>
  <w:style w:type="paragraph" w:styleId="Style25"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3"/>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left="851" w:hanging="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5"/>
    <w:uiPriority w:val="99"/>
    <w:rsid w:val="000449a5"/>
    <w:pPr>
      <w:tabs>
        <w:tab w:val="clear" w:pos="709"/>
        <w:tab w:val="center" w:pos="4677" w:leader="none"/>
        <w:tab w:val="right" w:pos="9355" w:leader="none"/>
      </w:tabs>
    </w:pPr>
    <w:rPr/>
  </w:style>
  <w:style w:type="paragraph" w:styleId="Style26"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left"/>
    </w:pPr>
    <w:rPr>
      <w:rFonts w:ascii="Calibri" w:hAnsi="Calibri" w:cs="Calibri" w:eastAsia="Times New Roman"/>
      <w:color w:val="auto"/>
      <w:kern w:val="0"/>
      <w:sz w:val="22"/>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b">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image" Target="media/image1.png"/><Relationship Id="rId11" Type="http://schemas.openxmlformats.org/officeDocument/2006/relationships/image" Target="media/image2.wmf"/><Relationship Id="rId12" Type="http://schemas.openxmlformats.org/officeDocument/2006/relationships/image" Target="media/image3.wmf"/><Relationship Id="rId13" Type="http://schemas.openxmlformats.org/officeDocument/2006/relationships/image" Target="media/image4.wmf"/><Relationship Id="rId14" Type="http://schemas.openxmlformats.org/officeDocument/2006/relationships/image" Target="media/image5.wmf"/><Relationship Id="rId15" Type="http://schemas.openxmlformats.org/officeDocument/2006/relationships/image" Target="media/image6.wmf"/><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wmf"/><Relationship Id="rId27" Type="http://schemas.openxmlformats.org/officeDocument/2006/relationships/image" Target="media/image18.wmf"/><Relationship Id="rId28" Type="http://schemas.openxmlformats.org/officeDocument/2006/relationships/image" Target="media/image19.wmf"/><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1.wmf"/><Relationship Id="rId33" Type="http://schemas.openxmlformats.org/officeDocument/2006/relationships/image" Target="media/image22.wmf"/><Relationship Id="rId34" Type="http://schemas.openxmlformats.org/officeDocument/2006/relationships/header" Target="header3.xml"/><Relationship Id="rId35" Type="http://schemas.openxmlformats.org/officeDocument/2006/relationships/header" Target="header4.xml"/><Relationship Id="rId36" Type="http://schemas.openxmlformats.org/officeDocument/2006/relationships/footer" Target="footer2.xml"/><Relationship Id="rId37" Type="http://schemas.openxmlformats.org/officeDocument/2006/relationships/footer" Target="footer3.xml"/><Relationship Id="rId38" Type="http://schemas.openxmlformats.org/officeDocument/2006/relationships/footnotes" Target="footnotes.xml"/><Relationship Id="rId39" Type="http://schemas.openxmlformats.org/officeDocument/2006/relationships/numbering" Target="numbering.xml"/><Relationship Id="rId40" Type="http://schemas.openxmlformats.org/officeDocument/2006/relationships/fontTable" Target="fontTable.xml"/><Relationship Id="rId41" Type="http://schemas.openxmlformats.org/officeDocument/2006/relationships/settings" Target="settings.xml"/><Relationship Id="rId42" Type="http://schemas.openxmlformats.org/officeDocument/2006/relationships/theme" Target="theme/theme1.xml"/><Relationship Id="rId43" Type="http://schemas.openxmlformats.org/officeDocument/2006/relationships/customXml" Target="../customXml/item1.xml"/><Relationship Id="rId44" Type="http://schemas.openxmlformats.org/officeDocument/2006/relationships/customXml" Target="../customXml/item2.xml"/><Relationship Id="rId45" Type="http://schemas.openxmlformats.org/officeDocument/2006/relationships/customXml" Target="../customXml/item3.xml"/><Relationship Id="rId46" Type="http://schemas.openxmlformats.org/officeDocument/2006/relationships/customXml" Target="../customXml/item4.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9B0D606D-4B15-4B5E-8E7C-8A1A8F83DE80}">
  <ds:schemaRefs>
    <ds:schemaRef ds:uri="http://schemas.openxmlformats.org/officeDocument/2006/bibliography"/>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Application>AlterOffice/3.4.0.9$Linux_X86_64 LibreOffice_project/b8daf9e823b1a5463a2f48435ddc2e8696e7d4fc</Application>
  <AppVersion>15.0000</AppVersion>
  <Pages>35</Pages>
  <Words>12124</Words>
  <Characters>87123</Characters>
  <CharactersWithSpaces>91200</CharactersWithSpaces>
  <Paragraphs>537</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melnikovoi@corp.gidroogk.com</cp:lastModifiedBy>
  <cp:lastPrinted>2018-05-22T09:46:00Z</cp:lastPrinted>
  <dcterms:modified xsi:type="dcterms:W3CDTF">2026-08-05T18:35:45Z</dcterms:modified>
  <cp:revision>52</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