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 xml:space="preserve">                                                                                            </w:t>
      </w:r>
    </w:p>
    <w:p>
      <w:pPr>
        <w:pStyle w:val="Normal"/>
        <w:jc w:val="righ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right="-2" w:hanging="0"/>
        <w:jc w:val="center"/>
        <w:rPr>
          <w:rFonts w:eastAsia="Arial Unicode MS"/>
          <w:b/>
        </w:rPr>
      </w:pPr>
      <w:r>
        <w:rPr>
          <w:rFonts w:eastAsia="Arial Unicode MS"/>
          <w:b/>
        </w:rPr>
        <w:t>Технические требования</w:t>
      </w:r>
    </w:p>
    <w:p>
      <w:pPr>
        <w:pStyle w:val="Normal"/>
        <w:ind w:right="-2" w:hanging="0"/>
        <w:jc w:val="center"/>
        <w:rPr>
          <w:rFonts w:eastAsia="Arial Unicode MS"/>
        </w:rPr>
      </w:pPr>
      <w:r>
        <w:rPr>
          <w:rFonts w:eastAsia="Arial Unicode MS"/>
        </w:rPr>
        <w:t>на оказание услуг «</w:t>
      </w:r>
      <w:r>
        <w:rPr/>
        <w:t>Проведение физико-химического анализа масел»</w:t>
      </w:r>
    </w:p>
    <w:p>
      <w:pPr>
        <w:pStyle w:val="Normal"/>
        <w:ind w:right="-2" w:hanging="0"/>
        <w:jc w:val="center"/>
        <w:rPr>
          <w:rFonts w:eastAsia="Arial Unicode MS"/>
          <w:b/>
        </w:rPr>
      </w:pPr>
      <w:r>
        <w:rPr>
          <w:rFonts w:eastAsia="Arial Unicode MS"/>
          <w:b/>
          <w:sz w:val="16"/>
          <w:szCs w:val="16"/>
        </w:rPr>
      </w:r>
    </w:p>
    <w:p>
      <w:pPr>
        <w:pStyle w:val="Normal"/>
        <w:numPr>
          <w:ilvl w:val="0"/>
          <w:numId w:val="3"/>
        </w:numPr>
        <w:ind w:left="426" w:right="-2" w:hanging="360"/>
        <w:jc w:val="both"/>
        <w:rPr>
          <w:b/>
          <w:bCs/>
        </w:rPr>
      </w:pPr>
      <w:r>
        <w:rPr>
          <w:b/>
          <w:bCs/>
        </w:rPr>
        <w:t>Наименование услуги</w:t>
      </w:r>
    </w:p>
    <w:p>
      <w:pPr>
        <w:pStyle w:val="Normal"/>
        <w:ind w:left="426" w:right="-2" w:hanging="0"/>
        <w:jc w:val="both"/>
        <w:rPr/>
      </w:pPr>
      <w:r>
        <w:rPr/>
        <w:t>Проведение физико-химического анализа масел для нужд филиал ПАО «РусГидро» - «Камская ГЭС»</w:t>
      </w:r>
    </w:p>
    <w:p>
      <w:pPr>
        <w:pStyle w:val="Normal"/>
        <w:ind w:left="426" w:right="-2" w:hanging="0"/>
        <w:jc w:val="both"/>
        <w:rPr>
          <w:rFonts w:eastAsia="Arial Unicode MS"/>
        </w:rPr>
      </w:pPr>
      <w:r>
        <w:rPr>
          <w:rFonts w:eastAsia="Arial Unicode MS"/>
        </w:rPr>
      </w:r>
    </w:p>
    <w:p>
      <w:pPr>
        <w:pStyle w:val="Normal"/>
        <w:numPr>
          <w:ilvl w:val="0"/>
          <w:numId w:val="2"/>
        </w:numPr>
        <w:ind w:left="426" w:right="-2" w:hanging="360"/>
        <w:jc w:val="both"/>
        <w:rPr>
          <w:b/>
          <w:bCs/>
        </w:rPr>
      </w:pPr>
      <w:r>
        <w:rPr>
          <w:b/>
          <w:bCs/>
        </w:rPr>
        <w:t>Заказчик:</w:t>
      </w:r>
    </w:p>
    <w:p>
      <w:pPr>
        <w:pStyle w:val="Normal"/>
        <w:ind w:left="426" w:firstLine="283"/>
        <w:jc w:val="both"/>
        <w:rPr/>
      </w:pPr>
      <w:r>
        <w:rPr/>
        <w:t>Наименование филиала: филиал ПАО «РусГидро» - «Камская ГЭС» (далее по тексту Филиал)</w:t>
      </w:r>
    </w:p>
    <w:p>
      <w:pPr>
        <w:pStyle w:val="Normal"/>
        <w:ind w:left="426" w:hanging="0"/>
        <w:jc w:val="both"/>
        <w:rPr/>
      </w:pPr>
      <w:r>
        <w:rPr/>
        <w:t>Адрес Филиала: 614030, г. Пермь, Соликамская, 329</w:t>
      </w:r>
    </w:p>
    <w:p>
      <w:pPr>
        <w:pStyle w:val="Normal"/>
        <w:ind w:left="426" w:right="-2" w:firstLine="283"/>
        <w:jc w:val="both"/>
        <w:rPr/>
      </w:pPr>
      <w:r>
        <w:rPr/>
        <w:t>Подразделение-куратор: Участок химического анализа Службы мониторинга оборудования и ГТС филиала ПАО «РусГидро» - «Камская ГЭС» (далее по тексту Участок)</w:t>
      </w:r>
    </w:p>
    <w:p>
      <w:pPr>
        <w:pStyle w:val="Normal"/>
        <w:ind w:left="426" w:right="-2" w:hanging="0"/>
        <w:jc w:val="both"/>
        <w:rPr>
          <w:bCs/>
        </w:rPr>
      </w:pPr>
      <w:r>
        <w:rPr>
          <w:bCs/>
        </w:rPr>
      </w:r>
    </w:p>
    <w:p>
      <w:pPr>
        <w:pStyle w:val="Normal"/>
        <w:numPr>
          <w:ilvl w:val="0"/>
          <w:numId w:val="2"/>
        </w:numPr>
        <w:spacing w:before="0" w:after="120"/>
        <w:ind w:left="426" w:hanging="360"/>
        <w:jc w:val="both"/>
        <w:rPr>
          <w:rFonts w:eastAsia="Calibri"/>
        </w:rPr>
      </w:pPr>
      <w:r>
        <w:rPr>
          <w:b/>
          <w:bCs/>
        </w:rPr>
        <w:t>Цели и задачи. Существующее положение</w:t>
      </w:r>
    </w:p>
    <w:p>
      <w:pPr>
        <w:pStyle w:val="Normal"/>
        <w:numPr>
          <w:ilvl w:val="1"/>
          <w:numId w:val="2"/>
        </w:numPr>
        <w:spacing w:before="0" w:after="120"/>
        <w:ind w:left="426" w:hanging="360"/>
        <w:jc w:val="both"/>
        <w:rPr>
          <w:b/>
          <w:bCs/>
        </w:rPr>
      </w:pPr>
      <w:r>
        <w:rPr>
          <w:b/>
          <w:bCs/>
        </w:rPr>
        <w:t>Цели</w:t>
      </w:r>
    </w:p>
    <w:p>
      <w:pPr>
        <w:pStyle w:val="Normal"/>
        <w:spacing w:before="0" w:after="120"/>
        <w:ind w:left="426" w:firstLine="283"/>
        <w:jc w:val="both"/>
        <w:rPr>
          <w:bCs/>
        </w:rPr>
      </w:pPr>
      <w:r>
        <w:rPr/>
        <w:t>Обеспечение надежной эксплуатации основного маслонаполненного оборудования Филиала, сохранение и поддержание качества масел в процессе эксплуатации и хранения, увеличение срока их службы в маслонаполненном оборудовании Филиала</w:t>
      </w:r>
      <w:r>
        <w:rPr>
          <w:bCs/>
        </w:rPr>
        <w:t>.</w:t>
      </w:r>
    </w:p>
    <w:p>
      <w:pPr>
        <w:pStyle w:val="Normal"/>
        <w:numPr>
          <w:ilvl w:val="1"/>
          <w:numId w:val="2"/>
        </w:numPr>
        <w:spacing w:before="0" w:after="120"/>
        <w:ind w:left="426" w:hanging="360"/>
        <w:jc w:val="both"/>
        <w:rPr>
          <w:b/>
          <w:bCs/>
        </w:rPr>
      </w:pPr>
      <w:r>
        <w:rPr>
          <w:b/>
          <w:bCs/>
        </w:rPr>
        <w:t xml:space="preserve">Задачи </w:t>
      </w:r>
    </w:p>
    <w:p>
      <w:pPr>
        <w:pStyle w:val="Normal"/>
        <w:spacing w:before="0" w:after="120"/>
        <w:ind w:left="426" w:firstLine="283"/>
        <w:jc w:val="both"/>
        <w:rPr/>
      </w:pPr>
      <w:r>
        <w:rPr/>
        <w:t xml:space="preserve">Осуществление своевременного контроля качества энергетических масел Филиала методами физико-химического анализа в объеме требований нормативных документов, указанных в п. 3.4 технических требований. </w:t>
      </w:r>
    </w:p>
    <w:p>
      <w:pPr>
        <w:pStyle w:val="Normal"/>
        <w:numPr>
          <w:ilvl w:val="1"/>
          <w:numId w:val="2"/>
        </w:numPr>
        <w:spacing w:before="0" w:after="120"/>
        <w:ind w:left="426" w:hanging="360"/>
        <w:jc w:val="both"/>
        <w:rPr>
          <w:b/>
          <w:bCs/>
        </w:rPr>
      </w:pPr>
      <w:r>
        <w:rPr>
          <w:b/>
          <w:bCs/>
        </w:rPr>
        <w:t>Существующее положение</w:t>
      </w:r>
    </w:p>
    <w:p>
      <w:pPr>
        <w:pStyle w:val="ListParagraph"/>
        <w:spacing w:before="0" w:after="120"/>
        <w:ind w:left="426" w:firstLine="25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Испытания трансформаторного и турбинного масла при осуществлении входного контроля качества, а также в процессе хранения и эксплуатации по показателям: </w:t>
      </w:r>
      <w:r>
        <w:rPr>
          <w:bCs/>
          <w:sz w:val="24"/>
          <w:szCs w:val="24"/>
        </w:rPr>
        <w:t>содержание антиокислительной присадки «АГИДОЛ-1», газосодержание, фурановые производные, стабильность против окисления</w:t>
      </w:r>
      <w:r>
        <w:rPr>
          <w:sz w:val="24"/>
          <w:szCs w:val="24"/>
        </w:rPr>
        <w:t>, время деэмульсации, испытание коррозионного воздействия, осуществляются сторонней аттестованной (аккредитованной лабораторией), ввиду</w:t>
      </w:r>
      <w:r>
        <w:rPr>
          <w:bCs/>
          <w:sz w:val="24"/>
          <w:szCs w:val="24"/>
        </w:rPr>
        <w:t xml:space="preserve"> разового, периодического характера выполнения работ (</w:t>
      </w:r>
      <w:r>
        <w:rPr>
          <w:sz w:val="24"/>
          <w:szCs w:val="24"/>
        </w:rPr>
        <w:t xml:space="preserve">1 раз в 4 года и более) с целью обеспечения экономической целесообразности. </w:t>
      </w:r>
    </w:p>
    <w:p>
      <w:pPr>
        <w:pStyle w:val="Normal"/>
        <w:numPr>
          <w:ilvl w:val="1"/>
          <w:numId w:val="2"/>
        </w:numPr>
        <w:ind w:left="426" w:right="-2" w:hanging="360"/>
        <w:jc w:val="both"/>
        <w:rPr>
          <w:rFonts w:eastAsia="Calibri"/>
          <w:b/>
        </w:rPr>
      </w:pPr>
      <w:r>
        <w:rPr>
          <w:rFonts w:eastAsia="Calibri"/>
          <w:b/>
        </w:rPr>
        <w:t>Основание на закупку</w:t>
      </w:r>
    </w:p>
    <w:p>
      <w:pPr>
        <w:pStyle w:val="ListParagraph"/>
        <w:numPr>
          <w:ilvl w:val="0"/>
          <w:numId w:val="4"/>
        </w:numPr>
        <w:ind w:left="426" w:hanging="36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СТО РусГидро 02.01.112-2015 «Гидроэлектростанции. Энергетические масла и маслохозяйства. Организация эксплуатации и технического обслуживания. Нормы и требования»;</w:t>
      </w:r>
    </w:p>
    <w:p>
      <w:pPr>
        <w:pStyle w:val="ListParagraph"/>
        <w:numPr>
          <w:ilvl w:val="0"/>
          <w:numId w:val="4"/>
        </w:numPr>
        <w:ind w:left="426" w:hanging="36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СТО РусГидро 02.01.124-2020 Силовые трансформаторы. Организация технической эксплуатации. Нормы и требования;</w:t>
      </w:r>
    </w:p>
    <w:p>
      <w:pPr>
        <w:pStyle w:val="ListParagraph"/>
        <w:numPr>
          <w:ilvl w:val="0"/>
          <w:numId w:val="4"/>
        </w:numPr>
        <w:ind w:left="426" w:hanging="36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СО 34.45-51.300-97 «Объем и нормы испытаний электрооборудования»;</w:t>
      </w:r>
    </w:p>
    <w:p>
      <w:pPr>
        <w:pStyle w:val="ListParagraph"/>
        <w:numPr>
          <w:ilvl w:val="0"/>
          <w:numId w:val="4"/>
        </w:numPr>
        <w:ind w:left="426" w:hanging="36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ГКПЗ на 2026 год.</w:t>
      </w:r>
    </w:p>
    <w:p>
      <w:pPr>
        <w:pStyle w:val="Normal"/>
        <w:ind w:right="-2" w:hanging="0"/>
        <w:jc w:val="both"/>
        <w:rPr>
          <w:bCs/>
        </w:rPr>
      </w:pPr>
      <w:r>
        <w:rPr>
          <w:bCs/>
        </w:rPr>
      </w:r>
    </w:p>
    <w:p>
      <w:pPr>
        <w:pStyle w:val="Normal"/>
        <w:ind w:right="-2" w:hanging="0"/>
        <w:jc w:val="both"/>
        <w:rPr>
          <w:bCs/>
        </w:rPr>
      </w:pPr>
      <w:r>
        <w:rPr>
          <w:bCs/>
        </w:rPr>
      </w:r>
    </w:p>
    <w:p>
      <w:pPr>
        <w:pStyle w:val="Normal"/>
        <w:ind w:right="-2" w:hanging="0"/>
        <w:jc w:val="both"/>
        <w:rPr>
          <w:bCs/>
        </w:rPr>
      </w:pPr>
      <w:r>
        <w:rPr>
          <w:bCs/>
        </w:rPr>
      </w:r>
    </w:p>
    <w:p>
      <w:pPr>
        <w:pStyle w:val="Normal"/>
        <w:numPr>
          <w:ilvl w:val="0"/>
          <w:numId w:val="2"/>
        </w:numPr>
        <w:ind w:left="720" w:right="-2" w:hanging="360"/>
        <w:jc w:val="both"/>
        <w:rPr>
          <w:b/>
          <w:bCs/>
        </w:rPr>
      </w:pPr>
      <w:r>
        <w:rPr>
          <w:b/>
          <w:bCs/>
        </w:rPr>
        <w:t>Требования к закупаемым услугам</w:t>
      </w:r>
    </w:p>
    <w:p>
      <w:pPr>
        <w:pStyle w:val="Normal"/>
        <w:ind w:left="720" w:right="-2" w:hanging="0"/>
        <w:jc w:val="both"/>
        <w:rPr>
          <w:b/>
          <w:bCs/>
        </w:rPr>
      </w:pPr>
      <w:r>
        <w:rPr>
          <w:b/>
          <w:bCs/>
        </w:rPr>
      </w:r>
    </w:p>
    <w:p>
      <w:pPr>
        <w:pStyle w:val="Normal"/>
        <w:tabs>
          <w:tab w:val="clear" w:pos="708"/>
          <w:tab w:val="left" w:pos="709" w:leader="none"/>
          <w:tab w:val="left" w:pos="851" w:leader="none"/>
        </w:tabs>
        <w:jc w:val="both"/>
        <w:rPr>
          <w:b/>
        </w:rPr>
      </w:pPr>
      <w:r>
        <w:rPr>
          <w:b/>
        </w:rPr>
        <w:t>4.1 Состав и объем выполняемых работ указан в таблице 1.</w:t>
      </w:r>
    </w:p>
    <w:p>
      <w:pPr>
        <w:pStyle w:val="Normal"/>
        <w:tabs>
          <w:tab w:val="clear" w:pos="708"/>
          <w:tab w:val="left" w:pos="709" w:leader="none"/>
          <w:tab w:val="left" w:pos="851" w:leader="none"/>
        </w:tabs>
        <w:jc w:val="both"/>
        <w:rPr/>
      </w:pPr>
      <w:r>
        <w:rPr/>
      </w:r>
    </w:p>
    <w:p>
      <w:pPr>
        <w:pStyle w:val="Normal"/>
        <w:tabs>
          <w:tab w:val="clear" w:pos="708"/>
          <w:tab w:val="left" w:pos="709" w:leader="none"/>
          <w:tab w:val="left" w:pos="851" w:leader="none"/>
        </w:tabs>
        <w:jc w:val="both"/>
        <w:rPr/>
      </w:pPr>
      <w:r>
        <w:rPr/>
        <w:t>Анализу подлежат пробы: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ind w:left="426" w:hanging="360"/>
        <w:jc w:val="both"/>
        <w:rPr/>
      </w:pPr>
      <w:r>
        <w:rPr/>
        <w:t xml:space="preserve">эксплуатационного трансформаторного масла марок </w:t>
      </w:r>
      <w:r>
        <w:rPr>
          <w:lang w:val="en-US"/>
        </w:rPr>
        <w:t>Nytro</w:t>
      </w:r>
      <w:r>
        <w:rPr/>
        <w:t xml:space="preserve"> 11 </w:t>
      </w:r>
      <w:r>
        <w:rPr>
          <w:lang w:val="en-US"/>
        </w:rPr>
        <w:t>GX</w:t>
      </w:r>
      <w:r>
        <w:rPr/>
        <w:t>, Т-1500, ГК, Тп;</w:t>
      </w:r>
    </w:p>
    <w:p>
      <w:pPr>
        <w:pStyle w:val="Normal"/>
        <w:numPr>
          <w:ilvl w:val="0"/>
          <w:numId w:val="5"/>
        </w:numPr>
        <w:tabs>
          <w:tab w:val="clear" w:pos="708"/>
          <w:tab w:val="left" w:pos="567" w:leader="none"/>
        </w:tabs>
        <w:ind w:left="426" w:hanging="360"/>
        <w:jc w:val="both"/>
        <w:rPr/>
      </w:pPr>
      <w:r>
        <w:rPr/>
        <w:t>свежего трансформаторного масла на хранении марки ГК.</w:t>
      </w:r>
    </w:p>
    <w:p>
      <w:pPr>
        <w:pStyle w:val="Normal"/>
        <w:tabs>
          <w:tab w:val="clear" w:pos="708"/>
          <w:tab w:val="left" w:pos="567" w:leader="none"/>
        </w:tabs>
        <w:ind w:left="426" w:hanging="0"/>
        <w:jc w:val="both"/>
        <w:rPr/>
      </w:pPr>
      <w:r>
        <w:rPr/>
      </w:r>
    </w:p>
    <w:p>
      <w:pPr>
        <w:pStyle w:val="Normal"/>
        <w:tabs>
          <w:tab w:val="clear" w:pos="708"/>
          <w:tab w:val="left" w:pos="709" w:leader="none"/>
          <w:tab w:val="left" w:pos="851" w:leader="none"/>
        </w:tabs>
        <w:jc w:val="right"/>
        <w:rPr/>
      </w:pPr>
      <w:r>
        <w:rPr/>
        <w:t>Таблица 1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826"/>
        <w:gridCol w:w="1561"/>
        <w:gridCol w:w="3967"/>
      </w:tblGrid>
      <w:tr>
        <w:trPr/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center"/>
              <w:rPr>
                <w:bCs/>
              </w:rPr>
            </w:pPr>
            <w:r>
              <w:rPr>
                <w:bCs/>
              </w:rPr>
              <w:t>Определяемый показатель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center"/>
              <w:rPr>
                <w:bCs/>
              </w:rPr>
            </w:pPr>
            <w:r>
              <w:rPr>
                <w:bCs/>
              </w:rPr>
              <w:t>Количество проб, шт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center"/>
              <w:rPr>
                <w:bCs/>
              </w:rPr>
            </w:pPr>
            <w:r>
              <w:rPr>
                <w:bCs/>
              </w:rPr>
              <w:t>Допустимый метод испытаний</w:t>
            </w:r>
          </w:p>
        </w:tc>
      </w:tr>
      <w:tr>
        <w:trPr/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both"/>
              <w:rPr>
                <w:bCs/>
              </w:rPr>
            </w:pPr>
            <w:r>
              <w:rPr>
                <w:bCs/>
              </w:rPr>
              <w:t>Содержание антиокислительной присадки «АГИДОЛ-1» (2,6дитретбутил-4-метилфенол или ионол), % массы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rPr>
                <w:bCs/>
              </w:rPr>
            </w:pPr>
            <w:r>
              <w:rPr>
                <w:bCs/>
              </w:rPr>
              <w:t>ГОСТ Р МЭК 60666</w:t>
            </w:r>
          </w:p>
          <w:p>
            <w:pPr>
              <w:pStyle w:val="Normal"/>
              <w:widowControl w:val="false"/>
              <w:ind w:right="-2" w:hanging="0"/>
              <w:rPr>
                <w:bCs/>
              </w:rPr>
            </w:pPr>
            <w:r>
              <w:rPr>
                <w:bCs/>
              </w:rPr>
              <w:t>ФР.1.31.2010.08903</w:t>
            </w:r>
          </w:p>
          <w:p>
            <w:pPr>
              <w:pStyle w:val="Normal"/>
              <w:widowControl w:val="false"/>
              <w:ind w:right="-2" w:hanging="0"/>
              <w:rPr>
                <w:color w:val="202021"/>
              </w:rPr>
            </w:pPr>
            <w:r>
              <w:rPr>
                <w:color w:val="202021"/>
              </w:rPr>
              <w:t>ФР.1.31.2015.21310</w:t>
            </w:r>
          </w:p>
          <w:p>
            <w:pPr>
              <w:pStyle w:val="Normal"/>
              <w:widowControl w:val="false"/>
              <w:ind w:right="-2" w:hanging="0"/>
              <w:rPr>
                <w:color w:val="202021"/>
              </w:rPr>
            </w:pPr>
            <w:r>
              <w:rPr>
                <w:color w:val="202021"/>
              </w:rPr>
              <w:t>ФР.1.31.2011.10783</w:t>
            </w:r>
          </w:p>
          <w:p>
            <w:pPr>
              <w:pStyle w:val="Normal"/>
              <w:widowControl w:val="false"/>
              <w:ind w:right="-2" w:hanging="0"/>
              <w:rPr>
                <w:color w:val="202021"/>
              </w:rPr>
            </w:pPr>
            <w:r>
              <w:rPr>
                <w:color w:val="202021"/>
              </w:rPr>
              <w:t>ФР.1.31.2010.07743</w:t>
            </w:r>
          </w:p>
          <w:p>
            <w:pPr>
              <w:pStyle w:val="Normal"/>
              <w:widowControl w:val="false"/>
              <w:ind w:right="-2" w:hanging="0"/>
              <w:rPr>
                <w:color w:val="202021"/>
              </w:rPr>
            </w:pPr>
            <w:r>
              <w:rPr>
                <w:color w:val="202021"/>
              </w:rPr>
              <w:t>ФР.1.31.2008.04635</w:t>
            </w:r>
          </w:p>
          <w:p>
            <w:pPr>
              <w:pStyle w:val="Normal"/>
              <w:widowControl w:val="false"/>
              <w:ind w:right="-2" w:hanging="0"/>
              <w:rPr>
                <w:color w:val="202021"/>
              </w:rPr>
            </w:pPr>
            <w:r>
              <w:rPr>
                <w:color w:val="202021"/>
              </w:rPr>
              <w:t>ФР.1.31.2006.02406</w:t>
            </w:r>
          </w:p>
          <w:p>
            <w:pPr>
              <w:pStyle w:val="Normal"/>
              <w:widowControl w:val="false"/>
              <w:ind w:right="-2" w:hanging="0"/>
              <w:rPr>
                <w:bCs/>
              </w:rPr>
            </w:pPr>
            <w:r>
              <w:rPr>
                <w:bCs/>
              </w:rPr>
              <w:t>СТО 56947007-9.180.010.008-2008</w:t>
            </w:r>
          </w:p>
          <w:p>
            <w:pPr>
              <w:pStyle w:val="Normal"/>
              <w:widowControl w:val="false"/>
              <w:ind w:right="-2" w:hanging="0"/>
              <w:rPr>
                <w:bCs/>
              </w:rPr>
            </w:pPr>
            <w:r>
              <w:rPr>
                <w:bCs/>
              </w:rPr>
              <w:t>СТО 70238424.27.100.053-2013</w:t>
            </w:r>
          </w:p>
        </w:tc>
      </w:tr>
      <w:tr>
        <w:trPr>
          <w:trHeight w:val="539" w:hRule="atLeast"/>
        </w:trPr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both"/>
              <w:rPr>
                <w:bCs/>
              </w:rPr>
            </w:pPr>
            <w:r>
              <w:rPr>
                <w:bCs/>
              </w:rPr>
              <w:t>Стабильность против окисления трансформаторного масла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rPr>
                <w:bCs/>
              </w:rPr>
            </w:pPr>
            <w:r>
              <w:rPr>
                <w:bCs/>
              </w:rPr>
              <w:t>ГОСТ 981</w:t>
            </w:r>
          </w:p>
        </w:tc>
      </w:tr>
      <w:tr>
        <w:trPr/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both"/>
              <w:rPr>
                <w:bCs/>
              </w:rPr>
            </w:pPr>
            <w:r>
              <w:rPr>
                <w:bCs/>
              </w:rPr>
              <w:t>Фурановые производные, в том числе фурфурол в трансформаторном масле, % массы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rPr>
                <w:bCs/>
              </w:rPr>
            </w:pPr>
            <w:r>
              <w:rPr>
                <w:bCs/>
              </w:rPr>
              <w:t>СО 34.43.206-94</w:t>
            </w:r>
          </w:p>
          <w:p>
            <w:pPr>
              <w:pStyle w:val="Normal"/>
              <w:widowControl w:val="false"/>
              <w:ind w:right="-2" w:hanging="0"/>
              <w:rPr>
                <w:bCs/>
              </w:rPr>
            </w:pPr>
            <w:r>
              <w:rPr>
                <w:bCs/>
              </w:rPr>
              <w:t>СО34.51.304-94</w:t>
            </w:r>
          </w:p>
          <w:p>
            <w:pPr>
              <w:pStyle w:val="Normal"/>
              <w:widowControl w:val="false"/>
              <w:ind w:right="-2" w:hanging="0"/>
              <w:rPr>
                <w:bCs/>
              </w:rPr>
            </w:pPr>
            <w:r>
              <w:rPr>
                <w:bCs/>
              </w:rPr>
              <w:t>ФР.1.31.2011.10783</w:t>
            </w:r>
          </w:p>
          <w:p>
            <w:pPr>
              <w:pStyle w:val="Normal"/>
              <w:widowControl w:val="false"/>
              <w:ind w:right="-2" w:hanging="0"/>
              <w:rPr/>
            </w:pPr>
            <w:r>
              <w:rPr/>
              <w:t>ФР.1.31.2015.21310</w:t>
            </w:r>
          </w:p>
          <w:p>
            <w:pPr>
              <w:pStyle w:val="Normal"/>
              <w:widowControl w:val="false"/>
              <w:ind w:right="-2" w:hanging="0"/>
              <w:rPr>
                <w:bCs/>
              </w:rPr>
            </w:pPr>
            <w:r>
              <w:rPr/>
              <w:t>ФР.1.31.2008.04635</w:t>
            </w:r>
          </w:p>
        </w:tc>
      </w:tr>
      <w:tr>
        <w:trPr/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both"/>
              <w:rPr>
                <w:bCs/>
              </w:rPr>
            </w:pPr>
            <w:r>
              <w:rPr>
                <w:bCs/>
              </w:rPr>
              <w:t>Газосодержание, %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right="-2" w:hanging="0"/>
              <w:rPr>
                <w:bCs/>
              </w:rPr>
            </w:pPr>
            <w:r>
              <w:rPr>
                <w:bCs/>
              </w:rPr>
              <w:t>ФР.1.31.2013.16665</w:t>
            </w:r>
          </w:p>
          <w:p>
            <w:pPr>
              <w:pStyle w:val="Normal"/>
              <w:widowControl w:val="false"/>
              <w:ind w:right="-2" w:hanging="0"/>
              <w:rPr>
                <w:bCs/>
              </w:rPr>
            </w:pPr>
            <w:r>
              <w:rPr>
                <w:bCs/>
              </w:rPr>
              <w:t>РД 34.43.107-95</w:t>
            </w:r>
          </w:p>
          <w:p>
            <w:pPr>
              <w:pStyle w:val="Normal"/>
              <w:widowControl w:val="false"/>
              <w:ind w:right="-2" w:hanging="0"/>
              <w:rPr>
                <w:bCs/>
              </w:rPr>
            </w:pPr>
            <w:r>
              <w:rPr>
                <w:bCs/>
              </w:rPr>
              <w:t>СТО 56947007-29.180.010.007-2008</w:t>
            </w:r>
          </w:p>
        </w:tc>
      </w:tr>
    </w:tbl>
    <w:p>
      <w:pPr>
        <w:pStyle w:val="Normal"/>
        <w:tabs>
          <w:tab w:val="clear" w:pos="708"/>
          <w:tab w:val="left" w:pos="426" w:leader="none"/>
        </w:tabs>
        <w:jc w:val="both"/>
        <w:rPr>
          <w:b/>
        </w:rPr>
      </w:pPr>
      <w:r>
        <w:rPr>
          <w:b/>
        </w:rPr>
      </w:r>
    </w:p>
    <w:p>
      <w:pPr>
        <w:pStyle w:val="Normal"/>
        <w:numPr>
          <w:ilvl w:val="1"/>
          <w:numId w:val="6"/>
        </w:numPr>
        <w:tabs>
          <w:tab w:val="clear" w:pos="708"/>
          <w:tab w:val="left" w:pos="426" w:leader="none"/>
        </w:tabs>
        <w:jc w:val="both"/>
        <w:rPr>
          <w:b/>
        </w:rPr>
      </w:pPr>
      <w:r>
        <w:rPr>
          <w:b/>
        </w:rPr>
        <w:t>Результат оказания услуг</w:t>
      </w:r>
    </w:p>
    <w:p>
      <w:pPr>
        <w:pStyle w:val="ListParagraph"/>
        <w:spacing w:before="120" w:after="0"/>
        <w:ind w:left="284" w:firstLine="283"/>
        <w:contextualSpacing/>
        <w:jc w:val="both"/>
        <w:rPr>
          <w:bCs/>
          <w:kern w:val="2"/>
          <w:sz w:val="24"/>
          <w:szCs w:val="24"/>
        </w:rPr>
      </w:pPr>
      <w:r>
        <w:rPr>
          <w:bCs/>
          <w:kern w:val="2"/>
          <w:sz w:val="24"/>
          <w:szCs w:val="24"/>
        </w:rPr>
        <w:t xml:space="preserve">По результатам оказания услуг Заказчику передается оригинал протокола анализа на каждую единицу пробы.  </w:t>
      </w:r>
    </w:p>
    <w:p>
      <w:pPr>
        <w:pStyle w:val="ListParagraph"/>
        <w:spacing w:before="120" w:after="0"/>
        <w:ind w:left="284" w:firstLine="709"/>
        <w:contextualSpacing/>
        <w:jc w:val="both"/>
        <w:rPr>
          <w:bCs/>
          <w:kern w:val="2"/>
          <w:sz w:val="24"/>
          <w:szCs w:val="24"/>
        </w:rPr>
      </w:pPr>
      <w:r>
        <w:rPr>
          <w:bCs/>
          <w:kern w:val="2"/>
          <w:sz w:val="24"/>
          <w:szCs w:val="24"/>
        </w:rPr>
      </w:r>
    </w:p>
    <w:p>
      <w:pPr>
        <w:pStyle w:val="ListParagraph"/>
        <w:numPr>
          <w:ilvl w:val="1"/>
          <w:numId w:val="6"/>
        </w:numPr>
        <w:tabs>
          <w:tab w:val="clear" w:pos="708"/>
          <w:tab w:val="left" w:pos="540" w:leader="none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Прочие требования и условия </w:t>
      </w:r>
    </w:p>
    <w:p>
      <w:pPr>
        <w:pStyle w:val="ListParagraph"/>
        <w:tabs>
          <w:tab w:val="clear" w:pos="708"/>
          <w:tab w:val="left" w:pos="540" w:leader="none"/>
        </w:tabs>
        <w:ind w:left="360" w:hanging="0"/>
        <w:jc w:val="right"/>
        <w:rPr>
          <w:sz w:val="24"/>
          <w:szCs w:val="24"/>
        </w:rPr>
      </w:pPr>
      <w:r>
        <w:rPr>
          <w:sz w:val="24"/>
          <w:szCs w:val="24"/>
        </w:rPr>
        <w:t>Таблица 2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35"/>
        <w:gridCol w:w="1872"/>
        <w:gridCol w:w="6947"/>
      </w:tblGrid>
      <w:tr>
        <w:trPr/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57" w:hanging="0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Наименование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Требование Заказчика</w:t>
            </w:r>
          </w:p>
        </w:tc>
      </w:tr>
      <w:tr>
        <w:trPr/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  <w:t>Требования к документации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tabs>
                <w:tab w:val="clear" w:pos="708"/>
                <w:tab w:val="left" w:pos="540" w:leader="none"/>
              </w:tabs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Отчетные материалы предоставляются заказчику в бумажном виде и на электронном носителе; </w:t>
            </w:r>
          </w:p>
          <w:p>
            <w:pPr>
              <w:pStyle w:val="ListParagraph"/>
              <w:widowControl w:val="false"/>
              <w:tabs>
                <w:tab w:val="clear" w:pos="708"/>
                <w:tab w:val="left" w:pos="540" w:leader="none"/>
              </w:tabs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Принимаются следующие форматы представления документов в электронном виде:</w:t>
            </w:r>
          </w:p>
          <w:p>
            <w:pPr>
              <w:pStyle w:val="ListParagraph"/>
              <w:widowControl w:val="false"/>
              <w:numPr>
                <w:ilvl w:val="0"/>
                <w:numId w:val="8"/>
              </w:numPr>
              <w:tabs>
                <w:tab w:val="clear" w:pos="708"/>
                <w:tab w:val="left" w:pos="312" w:leader="none"/>
              </w:tabs>
              <w:ind w:left="312" w:hanging="36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сканированные изображения в формате </w:t>
            </w:r>
            <w:r>
              <w:rPr>
                <w:sz w:val="24"/>
                <w:szCs w:val="24"/>
                <w:lang w:val="en-US"/>
              </w:rPr>
              <w:t>Adobe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Acrobat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Document</w:t>
            </w:r>
          </w:p>
        </w:tc>
      </w:tr>
      <w:tr>
        <w:trPr/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bCs/>
                <w:iCs/>
              </w:rPr>
              <w:t>Требования к исполнителю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Indent3"/>
              <w:widowControl w:val="false"/>
              <w:numPr>
                <w:ilvl w:val="0"/>
                <w:numId w:val="9"/>
              </w:numPr>
              <w:spacing w:before="0" w:after="0"/>
              <w:ind w:left="324" w:hanging="36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Оказание услуг осуществляется организациями, для которых данный вид деятельности предусмотрен уставом;</w:t>
            </w:r>
          </w:p>
          <w:p>
            <w:pPr>
              <w:pStyle w:val="BodyTextIndent3"/>
              <w:widowControl w:val="false"/>
              <w:numPr>
                <w:ilvl w:val="0"/>
                <w:numId w:val="9"/>
              </w:numPr>
              <w:spacing w:before="0" w:after="0"/>
              <w:ind w:left="324" w:hanging="36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Исполнитель должен иметь действующий аттестат аккредитации, область аккредитации на соответствие требованием ГОСТ </w:t>
            </w:r>
            <w:r>
              <w:rPr>
                <w:bCs/>
                <w:sz w:val="24"/>
                <w:szCs w:val="24"/>
                <w:lang w:val="en-US"/>
              </w:rPr>
              <w:t>ISO</w:t>
            </w:r>
            <w:r>
              <w:rPr>
                <w:bCs/>
                <w:sz w:val="24"/>
                <w:szCs w:val="24"/>
              </w:rPr>
              <w:t>/</w:t>
            </w:r>
            <w:r>
              <w:rPr>
                <w:bCs/>
                <w:sz w:val="24"/>
                <w:szCs w:val="24"/>
                <w:lang w:val="en-US"/>
              </w:rPr>
              <w:t>IEC</w:t>
            </w:r>
            <w:r>
              <w:rPr>
                <w:bCs/>
                <w:sz w:val="24"/>
                <w:szCs w:val="24"/>
              </w:rPr>
              <w:t xml:space="preserve"> 17025 «Общие требования к компетентности испытательных и калибровочных лабораторий» или свидетельство об оценке состояния измерений, область оценки состояния измерений </w:t>
            </w:r>
            <w:r>
              <w:rPr>
                <w:color w:val="202020"/>
                <w:sz w:val="24"/>
                <w:szCs w:val="24"/>
              </w:rPr>
              <w:t>в соответствии с МИ 2427 – 2026 Государственная система обеспечения единства измерений. Оценка состояния измерений в и испытательных и измерительных лабораториях;</w:t>
            </w:r>
            <w:r>
              <w:rPr>
                <w:bCs/>
                <w:sz w:val="24"/>
                <w:szCs w:val="24"/>
              </w:rPr>
              <w:t xml:space="preserve"> </w:t>
            </w:r>
          </w:p>
          <w:p>
            <w:pPr>
              <w:pStyle w:val="BodyTextIndent3"/>
              <w:widowControl w:val="false"/>
              <w:numPr>
                <w:ilvl w:val="0"/>
                <w:numId w:val="9"/>
              </w:numPr>
              <w:spacing w:before="0" w:after="0"/>
              <w:ind w:left="324" w:hanging="360"/>
              <w:jc w:val="both"/>
              <w:rPr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Оказать услугу в соответствии с действующим законодательством, нормативно-правовыми актами, в полном соответствии с методиками выполнения измерений, указанными в таблице 1.</w:t>
            </w:r>
          </w:p>
        </w:tc>
      </w:tr>
      <w:tr>
        <w:trPr>
          <w:trHeight w:val="2713" w:hRule="atLeast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Cs/>
                <w:iCs/>
              </w:rPr>
            </w:pPr>
            <w:r>
              <w:rPr>
                <w:bCs/>
                <w:iCs/>
              </w:rPr>
              <w:t>Требования к выполнению работ</w:t>
            </w:r>
          </w:p>
        </w:tc>
        <w:tc>
          <w:tcPr>
            <w:tcW w:w="6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keepNext w:val="true"/>
              <w:widowControl w:val="false"/>
              <w:numPr>
                <w:ilvl w:val="0"/>
                <w:numId w:val="10"/>
              </w:numPr>
              <w:ind w:left="322" w:hanging="360"/>
              <w:jc w:val="both"/>
              <w:outlineLvl w:val="0"/>
              <w:rPr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Доставка проб масла на испытание осуществляется Исполнителем, одной партией, самостоятельно и своими средствами;</w:t>
            </w:r>
          </w:p>
          <w:p>
            <w:pPr>
              <w:pStyle w:val="ListParagraph"/>
              <w:keepNext w:val="true"/>
              <w:widowControl w:val="false"/>
              <w:numPr>
                <w:ilvl w:val="0"/>
                <w:numId w:val="10"/>
              </w:numPr>
              <w:ind w:left="322" w:hanging="360"/>
              <w:jc w:val="both"/>
              <w:outlineLvl w:val="0"/>
              <w:rPr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Отбор проб масла производится Заказчиком в тару Исполнителя. Тара для отбора проб должна соответствовать требованиям метода испытаний, указанного в таблице 1 настоящих технических требований;</w:t>
            </w:r>
          </w:p>
          <w:p>
            <w:pPr>
              <w:pStyle w:val="ListParagraph"/>
              <w:keepNext w:val="true"/>
              <w:widowControl w:val="false"/>
              <w:numPr>
                <w:ilvl w:val="0"/>
                <w:numId w:val="10"/>
              </w:numPr>
              <w:ind w:left="322" w:hanging="360"/>
              <w:jc w:val="both"/>
              <w:outlineLvl w:val="0"/>
              <w:rPr>
                <w:sz w:val="24"/>
                <w:szCs w:val="24"/>
              </w:rPr>
            </w:pPr>
            <w:r>
              <w:rPr>
                <w:bCs/>
                <w:kern w:val="2"/>
                <w:sz w:val="24"/>
                <w:szCs w:val="24"/>
              </w:rPr>
              <w:t>Доставка тары для отбора проб Заказчику осуществляется Исполнителем самостоятельно и своими средствами.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11"/>
        </w:numPr>
        <w:rPr>
          <w:b/>
        </w:rPr>
      </w:pPr>
      <w:r>
        <w:rPr>
          <w:b/>
        </w:rPr>
        <w:t>Сроки оказания услуг</w:t>
      </w:r>
    </w:p>
    <w:p>
      <w:pPr>
        <w:pStyle w:val="Normal"/>
        <w:ind w:left="709" w:hanging="0"/>
        <w:rPr/>
      </w:pPr>
      <w:r>
        <w:rPr/>
        <w:t>С момента заключения договора до 30.11.2026</w:t>
      </w:r>
    </w:p>
    <w:p>
      <w:pPr>
        <w:pStyle w:val="Normal"/>
        <w:ind w:left="709" w:hanging="0"/>
        <w:rPr/>
      </w:pPr>
      <w:r>
        <w:rPr/>
      </w:r>
    </w:p>
    <w:p>
      <w:pPr>
        <w:pStyle w:val="ConsPlusNormal"/>
        <w:widowControl/>
        <w:tabs>
          <w:tab w:val="clear" w:pos="708"/>
          <w:tab w:val="left" w:pos="426" w:leader="none"/>
        </w:tabs>
        <w:spacing w:lineRule="auto" w:line="240"/>
        <w:ind w:hanging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tabs>
          <w:tab w:val="clear" w:pos="708"/>
          <w:tab w:val="left" w:pos="567" w:leader="none"/>
        </w:tabs>
        <w:ind w:left="567" w:hanging="0"/>
        <w:jc w:val="both"/>
        <w:rPr>
          <w:bCs/>
          <w:kern w:val="2"/>
        </w:rPr>
      </w:pPr>
      <w:r>
        <w:rPr>
          <w:bCs/>
        </w:rPr>
      </w:r>
    </w:p>
    <w:p>
      <w:pPr>
        <w:pStyle w:val="Normal"/>
        <w:ind w:right="-2" w:hanging="0"/>
        <w:jc w:val="both"/>
        <w:rPr>
          <w:bCs/>
        </w:rPr>
      </w:pPr>
      <w:r>
        <w:rPr>
          <w:bCs/>
        </w:rPr>
      </w:r>
    </w:p>
    <w:p>
      <w:pPr>
        <w:pStyle w:val="Normal"/>
        <w:ind w:right="-2" w:hanging="0"/>
        <w:jc w:val="both"/>
        <w:rPr>
          <w:bCs/>
        </w:rPr>
      </w:pPr>
      <w:r>
        <w:rPr/>
      </w:r>
    </w:p>
    <w:sectPr>
      <w:type w:val="nextPage"/>
      <w:pgSz w:w="11906" w:h="16838"/>
      <w:pgMar w:left="1701" w:right="851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Times New Roman CYR">
    <w:charset w:val="01"/>
    <w:family w:val="roman"/>
    <w:pitch w:val="variable"/>
  </w:font>
  <w:font w:name="Verdana"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2"/>
      <w:numFmt w:val="decimal"/>
      <w:lvlText w:val="%1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/>
    </w:lvl>
  </w:abstractNum>
  <w:abstractNum w:abstractNumId="3"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"/>
      <w:lvlJc w:val="left"/>
      <w:pPr>
        <w:tabs>
          <w:tab w:val="num" w:pos="0"/>
        </w:tabs>
        <w:ind w:left="78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4" w:hanging="360"/>
      </w:pPr>
      <w:rPr>
        <w:rFonts w:ascii="Wingdings" w:hAnsi="Wingdings" w:cs="Wingdings" w:hint="default"/>
      </w:rPr>
    </w:lvl>
  </w:abstractNum>
  <w:abstractNum w:abstractNumId="6">
    <w:lvl w:ilvl="0">
      <w:start w:val="4"/>
      <w:numFmt w:val="decimal"/>
      <w:lvlText w:val="%1"/>
      <w:lvlJc w:val="left"/>
      <w:pPr>
        <w:tabs>
          <w:tab w:val="num" w:pos="0"/>
        </w:tabs>
        <w:ind w:left="360" w:hanging="360"/>
      </w:pPr>
      <w:rPr/>
    </w:lvl>
    <w:lvl w:ilvl="1">
      <w:start w:val="2"/>
      <w:numFmt w:val="decimal"/>
      <w:lvlText w:val="%1.%2"/>
      <w:lvlJc w:val="left"/>
      <w:pPr>
        <w:tabs>
          <w:tab w:val="num" w:pos="0"/>
        </w:tabs>
        <w:ind w:left="360" w:hanging="360"/>
      </w:pPr>
      <w:rPr/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/>
    </w:lvl>
  </w:abstractNum>
  <w:abstractNum w:abstractNumId="7">
    <w:lvl w:ilvl="0">
      <w:start w:val="1"/>
      <w:numFmt w:val="decimal"/>
      <w:lvlText w:val="%1"/>
      <w:lvlJc w:val="center"/>
      <w:pPr>
        <w:tabs>
          <w:tab w:val="num" w:pos="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8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0"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5"/>
      <w:numFmt w:val="decimal"/>
      <w:lvlText w:val="%1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pPr>
      <w:keepNext w:val="true"/>
      <w:jc w:val="center"/>
      <w:outlineLvl w:val="0"/>
    </w:pPr>
    <w:rPr>
      <w:rFonts w:eastAsia="Arial Unicode MS"/>
      <w:b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sid w:val="0051682a"/>
    <w:rPr>
      <w:color w:val="0000FF"/>
      <w:u w:val="single"/>
    </w:rPr>
  </w:style>
  <w:style w:type="character" w:styleId="3" w:customStyle="1">
    <w:name w:val="Основной текст с отступом 3 Знак"/>
    <w:link w:val="BodyTextIndent3"/>
    <w:qFormat/>
    <w:rsid w:val="002058e6"/>
    <w:rPr>
      <w:sz w:val="16"/>
      <w:szCs w:val="16"/>
    </w:rPr>
  </w:style>
  <w:style w:type="character" w:styleId="Annotationreference">
    <w:name w:val="annotation reference"/>
    <w:uiPriority w:val="99"/>
    <w:unhideWhenUsed/>
    <w:qFormat/>
    <w:rsid w:val="00e328f7"/>
    <w:rPr>
      <w:sz w:val="16"/>
      <w:szCs w:val="16"/>
    </w:rPr>
  </w:style>
  <w:style w:type="character" w:styleId="Style8" w:customStyle="1">
    <w:name w:val="Текст примечания Знак"/>
    <w:basedOn w:val="DefaultParagraphFont"/>
    <w:link w:val="Annotationtext"/>
    <w:uiPriority w:val="99"/>
    <w:qFormat/>
    <w:rsid w:val="00e328f7"/>
    <w:rPr/>
  </w:style>
  <w:style w:type="character" w:styleId="Style9" w:customStyle="1">
    <w:name w:val="Текст выноски Знак"/>
    <w:link w:val="BalloonText"/>
    <w:qFormat/>
    <w:rsid w:val="00e328f7"/>
    <w:rPr>
      <w:rFonts w:ascii="Tahoma" w:hAnsi="Tahoma" w:cs="Tahoma"/>
      <w:sz w:val="16"/>
      <w:szCs w:val="16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/>
    <w:rPr>
      <w:szCs w:val="20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BodyTextIndent">
    <w:name w:val="Body Text Indent"/>
    <w:basedOn w:val="Normal"/>
    <w:pPr>
      <w:spacing w:before="0" w:after="120"/>
      <w:ind w:left="283" w:hanging="0"/>
    </w:pPr>
    <w:rPr/>
  </w:style>
  <w:style w:type="paragraph" w:styleId="BodyTextIndent3">
    <w:name w:val="Body Text Indent 3"/>
    <w:basedOn w:val="Normal"/>
    <w:link w:val="3"/>
    <w:qFormat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pPr>
      <w:jc w:val="both"/>
    </w:pPr>
    <w:rPr>
      <w:rFonts w:ascii="Times New Roman CYR" w:hAnsi="Times New Roman CYR" w:cs="Times New Roman CYR"/>
    </w:rPr>
  </w:style>
  <w:style w:type="paragraph" w:styleId="NormalWeb">
    <w:name w:val="Normal (Web)"/>
    <w:basedOn w:val="Normal"/>
    <w:qFormat/>
    <w:rsid w:val="0075223a"/>
    <w:pPr>
      <w:spacing w:beforeAutospacing="1" w:afterAutospacing="1"/>
      <w:ind w:right="150" w:hanging="0"/>
    </w:pPr>
    <w:rPr>
      <w:rFonts w:ascii="Tahoma" w:hAnsi="Tahoma" w:cs="Tahoma"/>
      <w:color w:val="000000"/>
      <w:sz w:val="20"/>
      <w:szCs w:val="20"/>
    </w:rPr>
  </w:style>
  <w:style w:type="paragraph" w:styleId="Style12" w:customStyle="1">
    <w:name w:val="Знак"/>
    <w:basedOn w:val="Normal"/>
    <w:qFormat/>
    <w:rsid w:val="00b90ebc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2" w:customStyle="1">
    <w:name w:val="Знак Знак Знак Знак Знак Знак Знак Знак Знак Знак Знак Знак Знак Знак Знак Знак Знак Знак Знак Знак Знак2 Знак Знак Знак Знак Знак Знак Знак"/>
    <w:basedOn w:val="Normal"/>
    <w:qFormat/>
    <w:rsid w:val="00734ba7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2f394a"/>
    <w:pPr>
      <w:spacing w:before="0" w:after="0"/>
      <w:ind w:left="720" w:hanging="0"/>
      <w:contextualSpacing/>
    </w:pPr>
    <w:rPr>
      <w:sz w:val="28"/>
      <w:szCs w:val="28"/>
    </w:rPr>
  </w:style>
  <w:style w:type="paragraph" w:styleId="Annotationtext">
    <w:name w:val="annotation text"/>
    <w:basedOn w:val="Normal"/>
    <w:link w:val="Style8"/>
    <w:uiPriority w:val="99"/>
    <w:unhideWhenUsed/>
    <w:qFormat/>
    <w:rsid w:val="00e328f7"/>
    <w:pPr/>
    <w:rPr>
      <w:sz w:val="20"/>
      <w:szCs w:val="20"/>
    </w:rPr>
  </w:style>
  <w:style w:type="paragraph" w:styleId="BalloonText">
    <w:name w:val="Balloon Text"/>
    <w:basedOn w:val="Normal"/>
    <w:link w:val="Style9"/>
    <w:qFormat/>
    <w:rsid w:val="00e328f7"/>
    <w:pPr/>
    <w:rPr>
      <w:rFonts w:ascii="Tahoma" w:hAnsi="Tahoma" w:cs="Tahoma"/>
      <w:sz w:val="16"/>
      <w:szCs w:val="16"/>
    </w:rPr>
  </w:style>
  <w:style w:type="paragraph" w:styleId="ConsPlusNormal" w:customStyle="1">
    <w:name w:val="ConsPlusNormal"/>
    <w:qFormat/>
    <w:rsid w:val="00e328f7"/>
    <w:pPr>
      <w:widowControl w:val="false"/>
      <w:suppressAutoHyphens w:val="true"/>
      <w:bidi w:val="0"/>
      <w:spacing w:lineRule="atLeast" w:line="360" w:before="0" w:after="0"/>
      <w:ind w:firstLine="720"/>
      <w:jc w:val="both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Style13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4" w:customStyle="1">
    <w:name w:val="Заголовок таблицы"/>
    <w:basedOn w:val="Style13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4">
    <w:name w:val="Table Grid"/>
    <w:basedOn w:val="a1"/>
    <w:rsid w:val="00a439d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15225</TotalTime>
  <Application>AlterOffice/3.4.0.9$Linux_X86_64 LibreOffice_project/b8daf9e823b1a5463a2f48435ddc2e8696e7d4fc</Application>
  <AppVersion>15.0000</AppVersion>
  <Pages>3</Pages>
  <Words>548</Words>
  <Characters>4078</Characters>
  <CharactersWithSpaces>4624</CharactersWithSpaces>
  <Paragraphs>80</Paragraphs>
  <Company>abcdef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2016-02-10T10:45:00Z</dcterms:created>
  <dc:creator>Umarova</dc:creator>
  <dc:description/>
  <dc:language>ru-RU</dc:language>
  <cp:lastModifiedBy>shvalyukee@corp.gidroogk.com</cp:lastModifiedBy>
  <cp:lastPrinted>2026-08-04T09:58:00Z</cp:lastPrinted>
  <dcterms:modified xsi:type="dcterms:W3CDTF">2026-08-05T10:01:23Z</dcterms:modified>
  <cp:revision>21</cp:revision>
  <dc:subject/>
  <dc:title>Утверждаю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