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tabs>
              <w:tab w:val="clear" w:pos="709"/>
              <w:tab w:val="left" w:pos="6926" w:leader="none"/>
            </w:tabs>
            <w:jc w:val="right"/>
            <w:rPr>
              <w:bCs/>
              <w:sz w:val="22"/>
              <w:szCs w:val="22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keepNext w:val="true"/>
            <w:keepLines/>
            <w:rPr>
              <w:sz w:val="26"/>
              <w:szCs w:val="26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keepNext w:val="true"/>
            <w:keepLines/>
            <w:rPr>
              <w:sz w:val="26"/>
              <w:szCs w:val="26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keepNext w:val="true"/>
            <w:keepLines/>
            <w:rPr>
              <w:sz w:val="26"/>
              <w:szCs w:val="26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rPr>
              <w:sz w:val="26"/>
              <w:szCs w:val="26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rPr>
              <w:sz w:val="26"/>
              <w:szCs w:val="26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rPr>
              <w:sz w:val="26"/>
              <w:szCs w:val="26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keepNext w:val="true"/>
            <w:keepLines/>
            <w:rPr>
              <w:sz w:val="26"/>
              <w:szCs w:val="26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keepNext w:val="true"/>
            <w:keepLines/>
            <w:rPr>
              <w:sz w:val="26"/>
              <w:szCs w:val="26"/>
            </w:rPr>
          </w:pPr>
          <w:r>
            <w:rPr>
              <w:sz w:val="26"/>
              <w:szCs w:val="26"/>
            </w:rPr>
          </w:r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szCs w:val="26"/>
            </w:rPr>
          </w:pPr>
          <w:r>
            <w:rPr>
              <w:rFonts w:eastAsia="Calibri"/>
              <w:b/>
              <w:szCs w:val="26"/>
            </w:rPr>
            <w:t>Технические требования на поставку МТР</w:t>
          </w:r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sz w:val="26"/>
              <w:szCs w:val="26"/>
            </w:rPr>
          </w:pPr>
          <w:r>
            <w:rPr>
              <w:rFonts w:eastAsia="Calibri"/>
              <w:b/>
              <w:sz w:val="26"/>
              <w:szCs w:val="26"/>
            </w:rPr>
          </w:r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sz w:val="26"/>
              <w:szCs w:val="26"/>
            </w:rPr>
          </w:pPr>
          <w:r>
            <w:rPr>
              <w:rFonts w:eastAsia="Calibri"/>
              <w:b/>
              <w:sz w:val="26"/>
              <w:szCs w:val="26"/>
            </w:rPr>
          </w:r>
        </w:p>
        <w:p>
          <w:pPr>
            <w:pStyle w:val="Normal"/>
            <w:jc w:val="center"/>
            <w:rPr>
              <w:b/>
              <w:i/>
              <w:i/>
            </w:rPr>
          </w:pPr>
          <w:r>
            <w:rPr>
              <w:b/>
              <w:i/>
            </w:rPr>
            <w:t xml:space="preserve">ОКПД2 19.20.21 Поставка топлива в </w:t>
          </w:r>
          <w:r>
            <w:rPr>
              <w:b/>
              <w:i/>
            </w:rPr>
            <w:t>пгт Тымовское</w:t>
          </w:r>
          <w:r>
            <w:rPr>
              <w:b/>
              <w:i/>
            </w:rPr>
            <w:t xml:space="preserve"> для транспортных средств Южно-Сахалинского участка Дальневосточного филиала АО "ТК РусГидро".</w:t>
          </w:r>
        </w:p>
        <w:p>
          <w:pPr>
            <w:pStyle w:val="Normal"/>
            <w:jc w:val="center"/>
            <w:rPr>
              <w:b/>
              <w:i/>
              <w:i/>
            </w:rPr>
          </w:pPr>
          <w:r>
            <w:rPr>
              <w:b/>
              <w:i/>
            </w:rPr>
          </w:r>
        </w:p>
        <w:p>
          <w:pPr>
            <w:pStyle w:val="Normal"/>
            <w:jc w:val="center"/>
            <w:rPr>
              <w:rFonts w:eastAsia="Calibri"/>
              <w:b/>
              <w:i/>
              <w:i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</w:r>
        </w:p>
        <w:p>
          <w:pPr>
            <w:pStyle w:val="Normal"/>
            <w:jc w:val="center"/>
            <w:rPr>
              <w:b/>
            </w:rPr>
          </w:pPr>
          <w:r>
            <w:rPr>
              <w:b/>
            </w:rPr>
            <w:t>СОДЕРЖАНИЕ</w:t>
          </w:r>
        </w:p>
        <w:p>
          <w:pPr>
            <w:pStyle w:val="TOC1"/>
            <w:widowControl/>
            <w:suppressAutoHyphens w:val="true"/>
            <w:bidi w:val="0"/>
            <w:spacing w:before="120" w:after="0"/>
            <w:ind w:left="567" w:right="0" w:hanging="0"/>
            <w:jc w:val="left"/>
            <w:rPr>
              <w:rFonts w:cs="Calibri Light (Заголовки)"/>
              <w:b/>
              <w:bCs/>
              <w:sz w:val="24"/>
              <w:szCs w:val="24"/>
            </w:rPr>
          </w:pPr>
          <w:r>
            <w:fldChar w:fldCharType="begin"/>
          </w:r>
          <w:r>
            <w:rPr>
              <w:sz w:val="24"/>
              <w:b/>
              <w:szCs w:val="24"/>
              <w:bCs/>
              <w:rFonts w:cs="Calibri Light (Заголовки)"/>
            </w:rPr>
            <w:instrText xml:space="preserve"> TOC \z \o "1-4" \u \h</w:instrText>
          </w:r>
          <w:r>
            <w:rPr>
              <w:sz w:val="24"/>
              <w:b/>
              <w:szCs w:val="24"/>
              <w:bCs/>
              <w:rFonts w:cs="Calibri Light (Заголовки)"/>
            </w:rPr>
            <w:fldChar w:fldCharType="separate"/>
          </w:r>
          <w:r>
            <w:rPr>
              <w:rFonts w:cs="Calibri Light (Заголовки)"/>
              <w:b/>
              <w:bCs/>
              <w:sz w:val="24"/>
              <w:szCs w:val="24"/>
            </w:rPr>
            <w:t>1. Общие сведения……………………………………………………………………...………..</w:t>
          </w:r>
          <w:r>
            <w:rPr>
              <w:rFonts w:cs="Times New Roman"/>
              <w:b/>
              <w:bCs/>
              <w:iCs/>
              <w:sz w:val="24"/>
              <w:szCs w:val="24"/>
            </w:rPr>
            <w:t>3</w:t>
          </w:r>
        </w:p>
        <w:p>
          <w:pPr>
            <w:pStyle w:val="TOC4"/>
            <w:widowControl/>
            <w:suppressAutoHyphens w:val="true"/>
            <w:bidi w:val="0"/>
            <w:spacing w:before="0" w:after="0"/>
            <w:ind w:left="560" w:hanging="0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>1.1. Обозначения и сокращения…………………………………………………………………….…….</w:t>
          </w:r>
          <w:r>
            <w:rPr>
              <w:rFonts w:cs="Times New Roman"/>
              <w:sz w:val="22"/>
              <w:szCs w:val="22"/>
            </w:rPr>
            <w:t>3</w:t>
          </w:r>
        </w:p>
        <w:p>
          <w:pPr>
            <w:pStyle w:val="TOC4"/>
            <w:widowControl/>
            <w:suppressAutoHyphens w:val="true"/>
            <w:bidi w:val="0"/>
            <w:spacing w:before="0" w:after="0"/>
            <w:ind w:left="560" w:hanging="0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>1.2. Наименование закупаемой продукции……………………………………………………………….3</w:t>
          </w:r>
        </w:p>
        <w:p>
          <w:pPr>
            <w:pStyle w:val="TOC4"/>
            <w:widowControl/>
            <w:suppressAutoHyphens w:val="true"/>
            <w:bidi w:val="0"/>
            <w:spacing w:before="0" w:after="0"/>
            <w:ind w:left="560" w:hanging="0"/>
            <w:jc w:val="left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1.3. Цель </w:t>
          </w:r>
          <w:r>
            <w:rPr>
              <w:sz w:val="22"/>
              <w:szCs w:val="22"/>
            </w:rPr>
            <w:t>использования закупаемой продукции</w:t>
          </w:r>
          <w:r>
            <w:rPr>
              <w:sz w:val="22"/>
              <w:szCs w:val="22"/>
            </w:rPr>
            <w:t>………………………………………………………...3</w:t>
          </w:r>
        </w:p>
        <w:p>
          <w:pPr>
            <w:pStyle w:val="Normal"/>
            <w:ind w:firstLine="560"/>
            <w:rPr>
              <w:sz w:val="22"/>
              <w:szCs w:val="22"/>
            </w:rPr>
          </w:pPr>
          <w:r>
            <w:rPr>
              <w:rFonts w:cs="Calibri" w:cstheme="minorHAnsi"/>
              <w:sz w:val="22"/>
              <w:szCs w:val="22"/>
            </w:rPr>
            <w:t>1.4. Существующее положение……………………….…………………………………………………..3</w:t>
          </w:r>
        </w:p>
        <w:p>
          <w:pPr>
            <w:pStyle w:val="TOC1"/>
            <w:rPr/>
          </w:pPr>
          <w:r>
            <w:rPr>
              <w:rFonts w:eastAsia="Times New Roman" w:cs="Calibri Light (Заголовки)"/>
              <w:b/>
              <w:bCs/>
              <w:vanish w:val="false"/>
              <w:color w:val="auto"/>
              <w:kern w:val="0"/>
              <w:sz w:val="22"/>
              <w:szCs w:val="22"/>
              <w:lang w:val="ru-RU" w:eastAsia="ru-RU" w:bidi="ar-SA"/>
            </w:rPr>
            <w:t>Таблица</w:t>
          </w:r>
          <w:r>
            <w:rPr>
              <w:sz w:val="22"/>
              <w:szCs w:val="22"/>
            </w:rPr>
            <w:t xml:space="preserve"> 1. Перечень объектов заказчика…………………………………………………………….</w:t>
          </w:r>
          <w:r>
            <w:rPr/>
            <w:t>3</w:t>
          </w:r>
        </w:p>
        <w:p>
          <w:pPr>
            <w:pStyle w:val="TOC1"/>
            <w:rPr/>
          </w:pPr>
          <w:hyperlink w:anchor="_Toc54643461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cs="Times New Roman"/>
                <w:vanish w:val="false"/>
              </w:rPr>
              <w:t xml:space="preserve">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продукции</w:t>
              <w:tab/>
              <w:t xml:space="preserve">                                                                                            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/>
          </w:pPr>
          <w:hyperlink w:anchor="_Toc54643464">
            <w:r>
              <w:rPr>
                <w:webHidden/>
                <w:rStyle w:val="Style14"/>
                <w:rFonts w:cs="Calibri" w:cstheme="minorHAnsi"/>
                <w:b w:val="false"/>
                <w:bCs w:val="false"/>
                <w:vanish w:val="false"/>
                <w:sz w:val="22"/>
                <w:szCs w:val="22"/>
              </w:rPr>
              <w:t xml:space="preserve">2.1. Требования к объемам и срокам </w:t>
            </w:r>
            <w:r>
              <w:rPr>
                <w:rStyle w:val="Style14"/>
                <w:rFonts w:cs="Calibri" w:cstheme="minorHAnsi"/>
                <w:b w:val="false"/>
                <w:bCs w:val="false"/>
                <w:vanish w:val="false"/>
                <w:sz w:val="22"/>
                <w:szCs w:val="22"/>
              </w:rPr>
              <w:t>поставки……….…………..................................……………..…</w:t>
            </w:r>
          </w:hyperlink>
          <w:r>
            <w:rPr>
              <w:rFonts w:cs="Calibri" w:cstheme="minorHAnsi"/>
              <w:b w:val="false"/>
              <w:bCs w:val="false"/>
              <w:sz w:val="22"/>
              <w:szCs w:val="22"/>
            </w:rPr>
            <w:t>.</w:t>
          </w:r>
          <w:r>
            <w:rPr>
              <w:rFonts w:cs="Calibri" w:cstheme="minorHAnsi"/>
              <w:b w:val="false"/>
              <w:bCs w:val="false"/>
              <w:sz w:val="22"/>
              <w:szCs w:val="22"/>
            </w:rPr>
            <w:t>3</w:t>
          </w:r>
        </w:p>
        <w:p>
          <w:pPr>
            <w:pStyle w:val="TOC3"/>
            <w:rPr/>
          </w:pPr>
          <w:hyperlink w:anchor="_Toc54643465">
            <w:r>
              <w:rPr>
                <w:webHidden/>
                <w:rStyle w:val="Style14"/>
                <w:vanish w:val="false"/>
                <w:sz w:val="22"/>
                <w:szCs w:val="22"/>
              </w:rPr>
              <w:t xml:space="preserve">2.1.1 </w:t>
            </w:r>
            <w:r>
              <w:rPr>
                <w:rStyle w:val="Style14"/>
                <w:sz w:val="22"/>
                <w:szCs w:val="22"/>
              </w:rPr>
              <w:t xml:space="preserve">Требования к перечню и объему </w:t>
            </w:r>
            <w:r>
              <w:rPr>
                <w:rStyle w:val="Style14"/>
                <w:sz w:val="22"/>
                <w:szCs w:val="22"/>
              </w:rPr>
              <w:t>закупаемой продукции…………………………………………</w:t>
            </w:r>
            <w:r>
              <w:rPr>
                <w:rStyle w:val="Style14"/>
                <w:sz w:val="22"/>
                <w:szCs w:val="22"/>
              </w:rPr>
              <w:t>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_Toc54643465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2"/>
                <w:szCs w:val="22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ind w:firstLine="567"/>
            <w:rPr/>
          </w:pPr>
          <w:r>
            <w:rPr>
              <w:rFonts w:eastAsia="Times New Roman" w:cs="Calibri Light (Заголовки)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 xml:space="preserve">Таблица 2 Перечень и объем </w:t>
          </w:r>
          <w:r>
            <w:rPr>
              <w:rFonts w:eastAsia="Times New Roman" w:cs="Calibri Light (Заголовки)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>закупаемой продукции……………………....………...……</w:t>
          </w:r>
          <w:r>
            <w:rPr>
              <w:rFonts w:eastAsia="Times New Roman" w:cs="Calibri" w:cstheme="minorHAnsi"/>
              <w:b/>
              <w:bCs/>
              <w:vanish w:val="false"/>
              <w:color w:val="auto"/>
              <w:kern w:val="0"/>
              <w:sz w:val="22"/>
              <w:szCs w:val="22"/>
              <w:lang w:val="ru-RU" w:eastAsia="ru-RU" w:bidi="ar-SA"/>
            </w:rPr>
            <w:t>.3</w:t>
          </w:r>
        </w:p>
        <w:p>
          <w:pPr>
            <w:pStyle w:val="Normal"/>
            <w:ind w:firstLine="567"/>
            <w:rPr>
              <w:sz w:val="22"/>
              <w:szCs w:val="22"/>
            </w:rPr>
          </w:pPr>
          <w:r>
            <w:rPr>
              <w:rFonts w:cs="Calibri" w:cstheme="minorHAnsi"/>
              <w:sz w:val="22"/>
              <w:szCs w:val="22"/>
            </w:rPr>
            <w:t xml:space="preserve">2.1.2 Требования к срокам </w:t>
          </w:r>
          <w:r>
            <w:rPr>
              <w:rFonts w:cs="Calibri" w:cstheme="minorHAnsi"/>
              <w:sz w:val="22"/>
              <w:szCs w:val="22"/>
            </w:rPr>
            <w:t>поставки……………………………………….………………………..……</w:t>
          </w:r>
          <w:r>
            <w:rPr>
              <w:rFonts w:cs="Calibri" w:cstheme="minorHAnsi"/>
              <w:sz w:val="22"/>
              <w:szCs w:val="22"/>
            </w:rPr>
            <w:t>.</w:t>
          </w:r>
          <w:r>
            <w:rPr>
              <w:rFonts w:cs="Calibri" w:cstheme="minorHAnsi"/>
              <w:sz w:val="22"/>
              <w:szCs w:val="22"/>
            </w:rPr>
            <w:t>4</w:t>
          </w:r>
        </w:p>
        <w:p>
          <w:pPr>
            <w:pStyle w:val="TOC1"/>
            <w:rPr/>
          </w:pPr>
          <w:hyperlink w:anchor="_Toc54643466">
            <w:r>
              <w:rPr>
                <w:webHidden/>
                <w:rStyle w:val="Style14"/>
                <w:vanish w:val="false"/>
              </w:rPr>
              <w:t xml:space="preserve">Таблица 3. Требования </w:t>
            </w:r>
            <w:r>
              <w:rPr>
                <w:rStyle w:val="Style14"/>
                <w:vanish w:val="false"/>
              </w:rPr>
              <w:t>по срокам поставки продукции………………………………..….4</w:t>
            </w:r>
          </w:hyperlink>
          <w:r>
            <w:rPr>
              <w:vanish w:val="false"/>
            </w:rPr>
            <w:t xml:space="preserve"> </w:t>
          </w:r>
          <w:r>
            <w:rPr>
              <w:rFonts w:cs="Calibri" w:cstheme="minorHAnsi"/>
              <w:sz w:val="22"/>
              <w:szCs w:val="22"/>
            </w:rPr>
            <w:t xml:space="preserve">2.2 Требования к качеству </w:t>
          </w:r>
          <w:r>
            <w:rPr>
              <w:rFonts w:cs="Calibri" w:cstheme="minorHAnsi"/>
              <w:sz w:val="22"/>
              <w:szCs w:val="22"/>
            </w:rPr>
            <w:t>продукции..……………………………...………….…..……………….…5</w:t>
          </w:r>
        </w:p>
        <w:p>
          <w:pPr>
            <w:pStyle w:val="Normal"/>
            <w:widowControl/>
            <w:tabs>
              <w:tab w:val="clear" w:pos="709"/>
              <w:tab w:val="left" w:pos="911" w:leader="none"/>
            </w:tabs>
            <w:suppressAutoHyphens w:val="true"/>
            <w:bidi w:val="0"/>
            <w:spacing w:before="0" w:after="0"/>
            <w:ind w:left="567" w:right="0" w:hanging="0"/>
            <w:jc w:val="left"/>
            <w:rPr/>
          </w:pPr>
          <w:r>
            <w:rPr>
              <w:b/>
              <w:bCs/>
              <w:vanish w:val="false"/>
              <w:sz w:val="24"/>
              <w:szCs w:val="24"/>
            </w:rPr>
            <w:t>Таблица </w:t>
          </w:r>
          <w:r>
            <w:rPr>
              <w:b/>
              <w:bCs/>
              <w:vanish w:val="false"/>
              <w:sz w:val="24"/>
              <w:szCs w:val="24"/>
              <w:lang w:val="ru-RU"/>
            </w:rPr>
            <w:t>4</w:t>
          </w:r>
          <w:r>
            <w:rPr>
              <w:b/>
              <w:bCs/>
              <w:vanish w:val="false"/>
              <w:sz w:val="24"/>
              <w:szCs w:val="24"/>
            </w:rPr>
            <w:t xml:space="preserve">. Требования к </w:t>
          </w:r>
          <w:r>
            <w:rPr>
              <w:b/>
              <w:bCs/>
              <w:vanish w:val="false"/>
              <w:sz w:val="24"/>
              <w:szCs w:val="24"/>
              <w:lang w:val="ru-RU"/>
            </w:rPr>
            <w:t>продукции…………………………………………………………</w:t>
          </w:r>
          <w:r>
            <w:rPr>
              <w:vanish w:val="false"/>
              <w:sz w:val="24"/>
              <w:szCs w:val="24"/>
            </w:rPr>
            <w:t>.</w:t>
          </w:r>
          <w:r>
            <w:rPr>
              <w:vanish w:val="false"/>
              <w:sz w:val="22"/>
              <w:szCs w:val="22"/>
            </w:rPr>
            <w:t>5</w:t>
          </w:r>
        </w:p>
        <w:p>
          <w:pPr>
            <w:pStyle w:val="TOC1"/>
            <w:widowControl/>
            <w:suppressAutoHyphens w:val="true"/>
            <w:bidi w:val="0"/>
            <w:spacing w:before="120" w:after="0"/>
            <w:ind w:firstLine="567"/>
            <w:jc w:val="left"/>
            <w:rPr>
              <w:rFonts w:ascii="Times New Roman" w:hAnsi="Times New Roman" w:eastAsia="Times New Roman" w:cs="Times New Roman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</w:pPr>
          <w:r>
            <w:rPr>
              <w:rFonts w:eastAsia="Times New Roman" w:cs="Times New Roman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 xml:space="preserve">3. Требования к документации по ценообразованию на этапе </w:t>
          </w:r>
          <w:r>
            <w:rPr>
              <w:rFonts w:eastAsia="Times New Roman" w:cs="Times New Roman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>выполнения договора…</w:t>
          </w:r>
          <w:r>
            <w:rPr>
              <w:rFonts w:eastAsia="Times New Roman" w:cs="Times New Roman"/>
              <w:b/>
              <w:bCs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>8</w:t>
          </w:r>
          <w:r>
            <w:rPr>
              <w:sz w:val="24"/>
              <w:b/>
              <w:kern w:val="0"/>
              <w:szCs w:val="24"/>
              <w:bCs/>
              <w:vanish w:val="false"/>
              <w:rFonts w:eastAsia="Times New Roman" w:cs="Times New Roman"/>
              <w:color w:val="auto"/>
              <w:lang w:val="ru-RU" w:eastAsia="ru-RU" w:bidi="ar-SA"/>
            </w:rPr>
            <w:fldChar w:fldCharType="end"/>
          </w:r>
        </w:p>
      </w:sdtContent>
    </w:sdt>
    <w:p>
      <w:pPr>
        <w:pStyle w:val="ListParagraph"/>
        <w:ind w:left="360" w:hanging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</w:p>
    <w:p>
      <w:pPr>
        <w:pStyle w:val="ListParagraph"/>
        <w:ind w:left="1080" w:hang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before="0" w:after="0"/>
        <w:ind w:left="0" w:hanging="0"/>
        <w:jc w:val="center"/>
        <w:rPr>
          <w:sz w:val="24"/>
          <w:szCs w:val="24"/>
        </w:rPr>
      </w:pPr>
      <w:bookmarkStart w:id="0" w:name="_Toc51339692"/>
      <w:bookmarkStart w:id="1" w:name="_Toc222118092"/>
      <w:r>
        <w:rPr>
          <w:sz w:val="24"/>
          <w:szCs w:val="24"/>
        </w:rPr>
        <w:t>Общие сведения</w:t>
      </w:r>
      <w:bookmarkEnd w:id="0"/>
      <w:bookmarkEnd w:id="1"/>
    </w:p>
    <w:p>
      <w:pPr>
        <w:pStyle w:val="Heading1"/>
        <w:numPr>
          <w:ilvl w:val="0"/>
          <w:numId w:val="0"/>
        </w:numPr>
        <w:spacing w:before="0" w:after="0"/>
        <w:ind w:left="0" w:hanging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1.1. </w:t>
      </w:r>
      <w:bookmarkStart w:id="2" w:name="_Toc46743505"/>
      <w:bookmarkStart w:id="3" w:name="_Toc54646396"/>
      <w:r>
        <w:rPr>
          <w:b/>
          <w:bCs/>
          <w:sz w:val="24"/>
          <w:szCs w:val="24"/>
        </w:rPr>
        <w:t>Обозначения и сокращения</w:t>
      </w:r>
      <w:bookmarkEnd w:id="2"/>
      <w:bookmarkEnd w:id="3"/>
    </w:p>
    <w:p>
      <w:pPr>
        <w:pStyle w:val="Normal"/>
        <w:spacing w:before="0" w:after="0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82"/>
        <w:gridCol w:w="7694"/>
      </w:tblGrid>
      <w:tr>
        <w:trPr>
          <w:trHeight w:val="565" w:hRule="atLeast"/>
          <w:cantSplit w:val="true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 xml:space="preserve">ТР ТС 013/2011 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Технически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 xml:space="preserve">й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регламент таможенного союза</w:t>
            </w:r>
          </w:p>
        </w:tc>
      </w:tr>
      <w:tr>
        <w:trPr>
          <w:trHeight w:val="508" w:hRule="atLeast"/>
          <w:cantSplit w:val="true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ГСМ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Горюче-смазочные материалы</w:t>
            </w:r>
          </w:p>
        </w:tc>
      </w:tr>
      <w:tr>
        <w:trPr>
          <w:trHeight w:val="396" w:hRule="atLeast"/>
          <w:cantSplit w:val="true"/>
        </w:trPr>
        <w:tc>
          <w:tcPr>
            <w:tcW w:w="2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</w:t>
            </w:r>
          </w:p>
        </w:tc>
        <w:tc>
          <w:tcPr>
            <w:tcW w:w="7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Поселок городского типа</w:t>
            </w:r>
          </w:p>
        </w:tc>
      </w:tr>
    </w:tbl>
    <w:p>
      <w:pPr>
        <w:pStyle w:val="Normal"/>
        <w:spacing w:before="0" w:after="0"/>
        <w:ind w:left="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left="0" w:hanging="0"/>
        <w:jc w:val="center"/>
        <w:rPr>
          <w:sz w:val="26"/>
          <w:szCs w:val="26"/>
        </w:rPr>
      </w:pPr>
      <w:r>
        <w:rPr/>
      </w:r>
    </w:p>
    <w:p>
      <w:pPr>
        <w:pStyle w:val="Heading4"/>
        <w:numPr>
          <w:ilvl w:val="0"/>
          <w:numId w:val="0"/>
        </w:numPr>
        <w:tabs>
          <w:tab w:val="left" w:pos="0" w:leader="none"/>
          <w:tab w:val="left" w:pos="851" w:leader="none"/>
          <w:tab w:val="left" w:pos="1134" w:leader="none"/>
        </w:tabs>
        <w:spacing w:before="0" w:after="0"/>
        <w:ind w:left="0" w:hanging="0"/>
        <w:rPr/>
      </w:pPr>
      <w:r>
        <w:rPr/>
        <w:t xml:space="preserve">1.2. </w:t>
      </w:r>
      <w:bookmarkStart w:id="4" w:name="_Toc46743506"/>
      <w:bookmarkStart w:id="5" w:name="_Toc222118093"/>
      <w:r>
        <w:rPr/>
        <w:t>Наименование закупаемой продукции</w:t>
      </w:r>
      <w:bookmarkEnd w:id="4"/>
      <w:bookmarkEnd w:id="5"/>
    </w:p>
    <w:p>
      <w:pPr>
        <w:pStyle w:val="Normal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32"/>
        <w:jc w:val="both"/>
        <w:rPr>
          <w:sz w:val="24"/>
          <w:szCs w:val="24"/>
        </w:rPr>
      </w:pPr>
      <w:bookmarkStart w:id="6" w:name="_Toc222118094"/>
      <w:r>
        <w:rPr>
          <w:sz w:val="24"/>
          <w:szCs w:val="24"/>
        </w:rPr>
        <w:t>ОКПД2 19.20.21 Поставка топлива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в пгт Тымовское для</w:t>
      </w:r>
      <w:r>
        <w:rPr>
          <w:sz w:val="24"/>
          <w:szCs w:val="24"/>
        </w:rPr>
        <w:t xml:space="preserve"> транспортных средств Южно-Сахалинского участка Дальневосточного филиала АО "ТК РусГидро".</w:t>
      </w:r>
    </w:p>
    <w:p>
      <w:pPr>
        <w:pStyle w:val="Heading4"/>
        <w:numPr>
          <w:ilvl w:val="0"/>
          <w:numId w:val="0"/>
        </w:numPr>
        <w:tabs>
          <w:tab w:val="left" w:pos="0" w:leader="none"/>
          <w:tab w:val="left" w:pos="1134" w:leader="none"/>
        </w:tabs>
        <w:ind w:left="0" w:hanging="0"/>
        <w:rPr/>
      </w:pPr>
      <w:r>
        <w:rPr/>
        <w:t xml:space="preserve">1.3. </w:t>
      </w:r>
      <w:bookmarkStart w:id="7" w:name="_Toc46743507"/>
      <w:r>
        <w:rPr/>
        <w:t xml:space="preserve">Цель </w:t>
      </w:r>
      <w:bookmarkEnd w:id="7"/>
      <w:r>
        <w:rPr/>
        <w:t>использования закупаемой продукции</w:t>
      </w:r>
      <w:bookmarkEnd w:id="6"/>
      <w:r>
        <w:rPr/>
        <w:t xml:space="preserve">  </w:t>
      </w:r>
    </w:p>
    <w:p>
      <w:pPr>
        <w:pStyle w:val="Normal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8" w:name="_Toc50125126"/>
      <w:bookmarkStart w:id="9" w:name="_Toc50125126"/>
      <w:bookmarkEnd w:id="9"/>
    </w:p>
    <w:p>
      <w:pPr>
        <w:pStyle w:val="Normal"/>
        <w:ind w:firstLine="432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бензином и дизельным топливом транспортных средств в целях организации бесперебойной работы Южно-Сахалинского транспортного участка Дальневосточного филиала АО «ТК РусГидро» на АЗС расположенно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й в пгт Тымовское, </w:t>
      </w:r>
      <w:r>
        <w:rPr>
          <w:sz w:val="24"/>
          <w:szCs w:val="24"/>
        </w:rPr>
        <w:t xml:space="preserve">Сахалинской области. </w:t>
      </w:r>
    </w:p>
    <w:p>
      <w:pPr>
        <w:pStyle w:val="Heading4"/>
        <w:numPr>
          <w:ilvl w:val="0"/>
          <w:numId w:val="0"/>
        </w:numPr>
        <w:ind w:hanging="0"/>
        <w:rPr>
          <w:b w:val="false"/>
          <w:i/>
          <w:i/>
        </w:rPr>
      </w:pPr>
      <w:r>
        <w:rPr/>
        <w:t xml:space="preserve">1.4. </w:t>
      </w:r>
      <w:bookmarkStart w:id="10" w:name="_Toc222118095"/>
      <w:r>
        <w:rPr/>
        <w:t>Существующее положение</w:t>
      </w:r>
      <w:bookmarkEnd w:id="10"/>
    </w:p>
    <w:p>
      <w:pPr>
        <w:pStyle w:val="Normal"/>
        <w:ind w:firstLine="432"/>
        <w:jc w:val="both"/>
        <w:rPr/>
      </w:pPr>
      <w:r>
        <w:rPr>
          <w:sz w:val="24"/>
          <w:szCs w:val="24"/>
        </w:rPr>
        <w:t xml:space="preserve">Транспортные средства эксплуатируются </w:t>
      </w:r>
      <w:r>
        <w:rPr>
          <w:sz w:val="24"/>
          <w:lang w:eastAsia="x-none"/>
        </w:rPr>
        <w:t xml:space="preserve">в рамках исполнения обязательств по доходному </w:t>
      </w:r>
      <w:r>
        <w:rPr>
          <w:sz w:val="24"/>
          <w:szCs w:val="24"/>
          <w:lang w:eastAsia="x-none"/>
        </w:rPr>
        <w:t xml:space="preserve">договору № </w:t>
      </w:r>
      <w:r>
        <w:rPr>
          <w:sz w:val="24"/>
          <w:szCs w:val="24"/>
        </w:rPr>
        <w:t>САХ-25/0175 от 27.02.2025 г.</w:t>
      </w:r>
      <w:r>
        <w:rPr>
          <w:lang w:eastAsia="x-none"/>
        </w:rPr>
        <w:t xml:space="preserve"> </w:t>
      </w:r>
      <w:r>
        <w:rPr>
          <w:sz w:val="24"/>
          <w:lang w:eastAsia="x-none"/>
        </w:rPr>
        <w:t>на выполнение работ по расчистке просек ВЛ филиала “Распределительные сети” ПАО “Сахалинэнерго”, в рамках ремонтной деятельности.</w:t>
      </w:r>
    </w:p>
    <w:p>
      <w:pPr>
        <w:pStyle w:val="Normal"/>
        <w:ind w:firstLine="432"/>
        <w:jc w:val="both"/>
        <w:rPr>
          <w:sz w:val="24"/>
          <w:lang w:eastAsia="x-none"/>
        </w:rPr>
      </w:pPr>
      <w:r>
        <w:rPr/>
      </w:r>
    </w:p>
    <w:p>
      <w:pPr>
        <w:pStyle w:val="Normal"/>
        <w:ind w:firstLine="432"/>
        <w:jc w:val="both"/>
        <w:rPr>
          <w:b/>
          <w:bCs/>
        </w:rPr>
      </w:pPr>
      <w:r>
        <w:rPr>
          <w:b/>
          <w:bCs/>
          <w:sz w:val="24"/>
          <w:lang w:eastAsia="x-none"/>
        </w:rPr>
        <w:t>Таблица 1. Перечень объектов заказчика</w:t>
      </w:r>
    </w:p>
    <w:p>
      <w:pPr>
        <w:pStyle w:val="Normal"/>
        <w:ind w:firstLine="432"/>
        <w:jc w:val="both"/>
        <w:rPr>
          <w:sz w:val="24"/>
          <w:lang w:eastAsia="x-none"/>
        </w:rPr>
      </w:pPr>
      <w:r>
        <w:rPr/>
      </w:r>
    </w:p>
    <w:tbl>
      <w:tblPr>
        <w:tblW w:w="99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5"/>
        <w:gridCol w:w="2255"/>
        <w:gridCol w:w="2220"/>
        <w:gridCol w:w="2715"/>
        <w:gridCol w:w="2162"/>
      </w:tblGrid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i/>
                <w:iCs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580" w:hRule="atLeast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топлива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в пгт Тымовское для</w:t>
            </w:r>
            <w:r>
              <w:rPr>
                <w:sz w:val="24"/>
                <w:szCs w:val="24"/>
              </w:rPr>
              <w:t xml:space="preserve"> транспортных средств Южно-Сахалинского участка Дальневосточного филиала АО "ТК РусГидро".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32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пгт Тымовское</w:t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Дизельное топливо Евро (лето)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Бензин АИ-92 К5</w:t>
            </w:r>
          </w:p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Передача топлива на АЗС в пгт Тымовское по топливным картам или заправочным ведомостям</w:t>
            </w:r>
          </w:p>
        </w:tc>
      </w:tr>
    </w:tbl>
    <w:p>
      <w:pPr>
        <w:pStyle w:val="Heading1"/>
        <w:numPr>
          <w:ilvl w:val="0"/>
          <w:numId w:val="3"/>
        </w:numPr>
        <w:ind w:left="0" w:firstLine="567"/>
        <w:jc w:val="center"/>
        <w:rPr>
          <w:sz w:val="26"/>
          <w:szCs w:val="26"/>
        </w:rPr>
      </w:pPr>
      <w:bookmarkStart w:id="11" w:name="_Toc51339693"/>
      <w:bookmarkStart w:id="12" w:name="_Toc754465721"/>
      <w:bookmarkStart w:id="13" w:name="_Toc222118096"/>
      <w:bookmarkEnd w:id="12"/>
      <w:r>
        <w:rPr>
          <w:sz w:val="26"/>
          <w:szCs w:val="26"/>
        </w:rPr>
        <w:t>Требования к продукции</w:t>
      </w:r>
      <w:bookmarkEnd w:id="11"/>
      <w:bookmarkEnd w:id="13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134" w:leader="none"/>
        </w:tabs>
        <w:spacing w:before="0" w:after="0"/>
        <w:ind w:left="567" w:hanging="0"/>
        <w:rPr/>
      </w:pPr>
      <w:bookmarkStart w:id="14" w:name="_Toc222118097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tabs>
          <w:tab w:val="left" w:pos="0" w:leader="none"/>
          <w:tab w:val="left" w:pos="1134" w:leader="none"/>
        </w:tabs>
        <w:spacing w:before="0" w:after="0"/>
        <w:ind w:left="567" w:hanging="567"/>
        <w:rPr/>
      </w:pPr>
      <w:bookmarkStart w:id="15" w:name="_Toc222118098"/>
      <w:r>
        <w:rPr/>
        <w:t>Перечень и объем закупаемой продукции</w:t>
      </w:r>
      <w:bookmarkEnd w:id="15"/>
    </w:p>
    <w:p>
      <w:pPr>
        <w:pStyle w:val="Heading1"/>
        <w:tabs>
          <w:tab w:val="clear" w:pos="0"/>
        </w:tabs>
        <w:ind w:left="567" w:hanging="0"/>
        <w:rPr>
          <w:sz w:val="24"/>
          <w:szCs w:val="24"/>
        </w:rPr>
      </w:pPr>
      <w:bookmarkStart w:id="16" w:name="_Toc51339695"/>
      <w:bookmarkStart w:id="17" w:name="_Toc222118099"/>
      <w:r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2.</w:t>
      </w:r>
      <w:r>
        <w:rPr>
          <w:sz w:val="24"/>
          <w:szCs w:val="24"/>
        </w:rPr>
        <w:t xml:space="preserve"> Перечень </w:t>
      </w:r>
      <w:bookmarkEnd w:id="16"/>
      <w:r>
        <w:rPr>
          <w:sz w:val="24"/>
          <w:szCs w:val="24"/>
        </w:rPr>
        <w:t>и объем закупаемой продукции</w:t>
      </w:r>
      <w:bookmarkEnd w:id="17"/>
    </w:p>
    <w:tbl>
      <w:tblPr>
        <w:tblW w:w="996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6"/>
        <w:gridCol w:w="5224"/>
        <w:gridCol w:w="2325"/>
        <w:gridCol w:w="1694"/>
      </w:tblGrid>
      <w:tr>
        <w:trPr>
          <w:trHeight w:val="83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Количество*</w:t>
            </w:r>
          </w:p>
        </w:tc>
      </w:tr>
      <w:tr>
        <w:trPr>
          <w:trHeight w:val="44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38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right="-421" w:hanging="0"/>
              <w:rPr/>
            </w:pPr>
            <w:r>
              <w:rPr/>
              <w:t>1.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Бензин АИ-92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</w:tr>
      <w:tr>
        <w:trPr>
          <w:trHeight w:val="38" w:hRule="atLeast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right="-421" w:hanging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Дизельное топливо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л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4000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6"/>
          <w:szCs w:val="26"/>
          <w:shd w:fill="FFFF99" w:val="clear"/>
        </w:rPr>
      </w:pPr>
      <w:r>
        <w:rPr>
          <w:bCs/>
          <w:sz w:val="26"/>
          <w:szCs w:val="26"/>
          <w:shd w:fill="FFFF99" w:val="clear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rPr>
          <w:i/>
          <w:i/>
          <w:sz w:val="24"/>
          <w:szCs w:val="26"/>
          <w:lang w:eastAsia="x-none"/>
        </w:rPr>
      </w:pPr>
      <w:r>
        <w:rPr>
          <w:i/>
          <w:sz w:val="24"/>
          <w:szCs w:val="26"/>
          <w:lang w:eastAsia="x-none"/>
        </w:rPr>
        <w:t>*Объем продукции является ориентировочным, Заказчик не несет ответственности за неполную выборку продукции на общую сумму договора.</w:t>
      </w:r>
      <w:r>
        <w:rPr/>
        <w:t xml:space="preserve"> </w:t>
      </w:r>
      <w:r>
        <w:rPr>
          <w:i/>
          <w:sz w:val="24"/>
          <w:szCs w:val="26"/>
          <w:lang w:eastAsia="x-none"/>
        </w:rPr>
        <w:t xml:space="preserve">Количество поставляемой Продукции может быть изменено с учетом потребности Заказчика в пределах цены договора. 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6"/>
          <w:szCs w:val="26"/>
          <w:shd w:fill="FFFF99" w:val="clear"/>
        </w:rPr>
      </w:pPr>
      <w:r>
        <w:rPr>
          <w:bCs/>
          <w:sz w:val="26"/>
          <w:szCs w:val="26"/>
          <w:shd w:fill="FFFF99" w:val="clear"/>
        </w:rPr>
      </w:r>
    </w:p>
    <w:p>
      <w:pPr>
        <w:pStyle w:val="Heading3"/>
        <w:numPr>
          <w:ilvl w:val="2"/>
          <w:numId w:val="3"/>
        </w:numPr>
        <w:spacing w:before="0" w:after="0"/>
        <w:ind w:left="0" w:firstLine="567"/>
        <w:jc w:val="center"/>
        <w:rPr/>
      </w:pPr>
      <w:bookmarkStart w:id="18" w:name="_Toc75446578"/>
      <w:bookmarkStart w:id="19" w:name="_Toc51339696"/>
      <w:bookmarkStart w:id="20" w:name="_Toc222118100"/>
      <w:r>
        <w:rPr/>
        <w:t xml:space="preserve">Требования </w:t>
      </w:r>
      <w:bookmarkEnd w:id="19"/>
      <w:r>
        <w:rPr/>
        <w:t>к срокам поставки продукции и оказания сопутствующих услуг</w:t>
      </w:r>
      <w:bookmarkEnd w:id="18"/>
      <w:bookmarkEnd w:id="20"/>
    </w:p>
    <w:p>
      <w:pPr>
        <w:pStyle w:val="Heading1"/>
        <w:tabs>
          <w:tab w:val="clear" w:pos="0"/>
        </w:tabs>
        <w:ind w:left="567" w:hanging="0"/>
        <w:rPr>
          <w:sz w:val="24"/>
          <w:szCs w:val="24"/>
          <w:lang w:val="ru-RU"/>
        </w:rPr>
      </w:pPr>
      <w:bookmarkStart w:id="21" w:name="_Toc222118101"/>
      <w:bookmarkStart w:id="22" w:name="_Toc51339697"/>
      <w:bookmarkStart w:id="23" w:name="_Toc50125127"/>
      <w:bookmarkStart w:id="24" w:name="_Toc501251261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3.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3099"/>
        <w:gridCol w:w="3280"/>
        <w:gridCol w:w="3114"/>
      </w:tblGrid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продукции*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0" w:after="0"/>
              <w:jc w:val="center"/>
              <w:rPr>
                <w:b/>
                <w:szCs w:val="22"/>
              </w:rPr>
            </w:pPr>
            <w:bookmarkStart w:id="26" w:name="_Toc46743510"/>
            <w:r>
              <w:rPr>
                <w:b/>
                <w:szCs w:val="22"/>
              </w:rPr>
              <w:t>4</w:t>
            </w:r>
            <w:bookmarkEnd w:id="26"/>
          </w:p>
        </w:tc>
      </w:tr>
      <w:tr>
        <w:trPr>
          <w:trHeight w:val="41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Поставка топлива в </w:t>
            </w:r>
            <w:r>
              <w:rPr>
                <w:sz w:val="22"/>
                <w:szCs w:val="22"/>
              </w:rPr>
              <w:t xml:space="preserve">пгт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Тымовское</w:t>
            </w:r>
            <w:r>
              <w:rPr>
                <w:sz w:val="22"/>
                <w:szCs w:val="22"/>
              </w:rPr>
              <w:t xml:space="preserve"> для транспортных средств Южно-Сахалинского участка  Дальневосточного филиала АО "ТК РусГидро".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 момента (даты) заключения договора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Общий срок поставки по 31.12.2026 г.</w:t>
            </w:r>
          </w:p>
        </w:tc>
      </w:tr>
    </w:tbl>
    <w:p>
      <w:pPr>
        <w:pStyle w:val="Normal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ab/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239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left" w:pos="1171" w:leader="none"/>
        </w:tabs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ab/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</w:tabs>
        <w:ind w:left="567" w:hanging="6"/>
        <w:rPr/>
      </w:pPr>
      <w:bookmarkStart w:id="27" w:name="_Toc51339698"/>
      <w:bookmarkStart w:id="28" w:name="_Toc75446581"/>
      <w:bookmarkStart w:id="29" w:name="_Toc222118102"/>
      <w:bookmarkStart w:id="30" w:name="_Toc46743511"/>
      <w:r>
        <w:rPr/>
        <w:t xml:space="preserve">Требования к </w:t>
      </w:r>
      <w:bookmarkEnd w:id="30"/>
      <w:r>
        <w:rPr/>
        <w:t>качеству продукции</w:t>
      </w:r>
      <w:bookmarkEnd w:id="28"/>
      <w:bookmarkEnd w:id="29"/>
    </w:p>
    <w:p>
      <w:pPr>
        <w:pStyle w:val="Heading1"/>
        <w:tabs>
          <w:tab w:val="clear" w:pos="0"/>
          <w:tab w:val="left" w:pos="851" w:leader="none"/>
        </w:tabs>
        <w:ind w:left="0" w:firstLine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 </w:t>
      </w:r>
      <w:bookmarkStart w:id="31" w:name="_Toc22211810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7"/>
    </w:p>
    <w:p>
      <w:pPr>
        <w:pStyle w:val="Normal"/>
        <w:tabs>
          <w:tab w:val="clear" w:pos="709"/>
          <w:tab w:val="left" w:pos="851" w:leader="none"/>
        </w:tabs>
        <w:ind w:hanging="6"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Наименование продукции: </w:t>
      </w:r>
    </w:p>
    <w:p>
      <w:pPr>
        <w:pStyle w:val="Normal"/>
        <w:tabs>
          <w:tab w:val="clear" w:pos="709"/>
          <w:tab w:val="left" w:pos="851" w:leader="none"/>
        </w:tabs>
        <w:ind w:hanging="6"/>
        <w:jc w:val="both"/>
        <w:rPr/>
      </w:pPr>
      <w:r>
        <w:rPr>
          <w:rStyle w:val="Style8"/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Поставка топлива в </w:t>
      </w:r>
      <w:r>
        <w:rPr>
          <w:rStyle w:val="Style8"/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пгт </w:t>
      </w:r>
      <w:r>
        <w:rPr>
          <w:rStyle w:val="Style8"/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 </w:t>
      </w:r>
      <w:r>
        <w:rPr>
          <w:rStyle w:val="Style8"/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</w:rPr>
        <w:t>Тымовское</w:t>
      </w:r>
      <w:r>
        <w:rPr>
          <w:rStyle w:val="Style8"/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auto" w:val="clear"/>
        </w:rPr>
        <w:t xml:space="preserve"> для транспортных средств Южно-Сахалинского участка  Дальневосточного филиала АО "ТК РусГидро".</w:t>
      </w:r>
    </w:p>
    <w:tbl>
      <w:tblPr>
        <w:tblStyle w:val="1d"/>
        <w:tblW w:w="15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6"/>
        <w:gridCol w:w="3117"/>
        <w:gridCol w:w="4820"/>
        <w:gridCol w:w="3341"/>
        <w:gridCol w:w="1620"/>
      </w:tblGrid>
      <w:tr>
        <w:trPr>
          <w:trHeight w:val="311" w:hRule="atLeast"/>
        </w:trPr>
        <w:tc>
          <w:tcPr>
            <w:tcW w:w="8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31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48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заказчика</w:t>
            </w:r>
          </w:p>
        </w:tc>
        <w:tc>
          <w:tcPr>
            <w:tcW w:w="496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70" w:hRule="atLeast"/>
        </w:trPr>
        <w:tc>
          <w:tcPr>
            <w:tcW w:w="8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8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3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2"/>
                <w:szCs w:val="22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16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70" w:hRule="atLeast"/>
        </w:trPr>
        <w:tc>
          <w:tcPr>
            <w:tcW w:w="8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</w:t>
            </w:r>
          </w:p>
        </w:tc>
        <w:tc>
          <w:tcPr>
            <w:tcW w:w="793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3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Calibri" w:hAnsi="Calibri"/>
                <w:b w:val="false"/>
                <w:bCs w:val="false"/>
                <w:i/>
                <w:iCs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6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en-US" w:eastAsia="en-US" w:bidi="ar-SA"/>
              </w:rPr>
              <w:t>1.</w:t>
            </w: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3117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color w:themeColor="text1"/>
                <w:highlight w:val="none"/>
                <w:shd w:fill="auto" w:val="clear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Бензин АИ-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92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ЕВРО не ниже К5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70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en-US" w:eastAsia="en-US" w:bidi="ar-SA"/>
              </w:rPr>
              <w:t>1.</w:t>
            </w: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3117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Дизельное топливо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ЕВРО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(лето)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Качество поставляемой Продукции должно соответствовать требованиям, определенным ТР ТС 013/2011 «О требованиях к автомобильному и авиационному бензину, дизельному и судовому топливу, топливу для реактивных двигателей и топочному мазуту», ГОСТ 32511-2013 (EN 590:2009) «Межгосударственный стандарт. Топливо дизельное ЕВРО. Технические условия», ГОСТ 32513-2013 «Топлива моторные. Бензин неэтилированный. Технические условия»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2.2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Качество каждой партии Продукции должно быть подтверждено паспортом Продукции или товара, и/или декларацией/сертификатом соответствия. Партией считают любое количество топлива, однородного по показателям качества, сопровождаемое паспортом, оформленным в соответствии с требованиями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утвержденным Правительством Российской Федерации от 27 февраля 2008 г. N 118, и ГОСТ 1510-2022 «Межгосударственный стандарт. Нефть и нефтепродукты. Маркировка, упаковка, транспортирование и хранение».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56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3.1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Отпуск дизельного топлива должен соответствовать сезону согласно регламента о температурных нормах для ГСМ («Летнее»/«Межсезонное»/«Зимнее»).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Отпуск бензина АИ-92 производится без учета сезона.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33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Times New Roman" w:cs="Times New Roman" w:ascii="Calibri" w:hAnsi="Calibri"/>
                <w:b w:val="false"/>
                <w:bCs w:val="false"/>
                <w:i/>
                <w:iCs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62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424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4.1</w:t>
            </w:r>
          </w:p>
        </w:tc>
        <w:tc>
          <w:tcPr>
            <w:tcW w:w="311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Arial" w:ascii="Times New Roman" w:hAnsi="Times New Roman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Отпуск топлива с автозаправочной станции расположен</w:t>
            </w:r>
            <w:r>
              <w:rPr>
                <w:rFonts w:eastAsia="Calibri" w:cs="Arial" w:ascii="Times New Roman" w:hAnsi="Times New Roman"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ной в пгт Тымовское Сахалинской области по топливным картам или заправочным ведомостям.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highlight w:val="none"/>
                <w:shd w:fill="FFFF00" w:val="clear"/>
                <w:lang w:val="ru-RU" w:eastAsia="en-US" w:bidi="ar-SA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84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4.2</w:t>
            </w:r>
          </w:p>
        </w:tc>
        <w:tc>
          <w:tcPr>
            <w:tcW w:w="311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Требования к поставке 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Поставка осуществляется на условиях самовывоза. Отпуск топлива производится путем заправки в топливный бак/емкость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Покупателя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Отпуск топлива производится в рабочее время АЗС.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Calibri" w:hAnsi="Calibri"/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Отпуск топлива в топливные баки/емкости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Покупателя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 осуществляется силами Поставщика.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/>
            </w:r>
          </w:p>
        </w:tc>
      </w:tr>
      <w:tr>
        <w:trPr>
          <w:trHeight w:val="572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5.1</w:t>
            </w:r>
          </w:p>
        </w:tc>
        <w:tc>
          <w:tcPr>
            <w:tcW w:w="3117" w:type="dxa"/>
            <w:vMerge w:val="restart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Гарантии качества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Поставщик гарантирует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Покупателю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 соответствие качества поставляемой им Продукции действующим стандартам и требованиям, установленным на данный вид топлива, указанные в п.2, таблицы 3.</w:t>
            </w:r>
            <w:bookmarkStart w:id="32" w:name="_GoBack"/>
            <w:bookmarkEnd w:id="32"/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При возникновении между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Покупателем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 и Поставщиком спора о качестве Продукции или вследствие иных причин по требованию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Покупателя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или Поставщика может быть назначена экспертиза качества Продукции.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Расходы по проведению экспертизы несет сторона, потребовавшая назначение экспертизы. Если экспертиза назначена по требованию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Покупателя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 и экспертиза подтвердила некачественность Продукции, то расходы по экспертизе несет Поставщик.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В случаях выявления несоответствия качеству поставляемого топлива, 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Покупатель</w:t>
            </w: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 для предъявления претензий, предоставляет Поставщику следующие документы: акт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Росстандарте России), подтверждающий факт ненадлежащего качества топлива. Экспертная организация проводит отбор арбитражных проб топлива согласно Приказа Росстандарта от 29.11.2012 № 1448-ст «ГОСТ 2517-2012. Межгосударственный стандарт. Нефть и нефтепродукты. Методы отбора проб». Поставщик в случае выявления некачественного топлива в течение 5 (пяти) дней с момента поступления претензии осуществляет его замену.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3117" w:type="dxa"/>
            <w:vMerge w:val="continue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В случае если причиной поломки и/или порчи принадлежащих Заказчику транспортных средств явилось использование отпущенного Поставщиком топлива (определяется независимой экспертизой), Поставщик обязан компенсировать все затраты по ремонту и доставке транспортного средства с места поломки по указанному Заказчиком адресу.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562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6. </w:t>
            </w:r>
          </w:p>
        </w:tc>
        <w:tc>
          <w:tcPr>
            <w:tcW w:w="793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  <w:tr>
        <w:trPr>
          <w:trHeight w:val="688" w:hRule="atLeast"/>
        </w:trPr>
        <w:tc>
          <w:tcPr>
            <w:tcW w:w="8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6.1</w:t>
            </w:r>
          </w:p>
        </w:tc>
        <w:tc>
          <w:tcPr>
            <w:tcW w:w="3117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Calibri" w:cs="Arial" w:ascii="Times New Roman" w:hAnsi="Times New Roman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Поставщик ежемесячно передает Заказчику ведомость заправок, акт сверки, товарную накладную (ТОРГ-12)/УПД, счет-фактуру</w:t>
            </w:r>
          </w:p>
        </w:tc>
        <w:tc>
          <w:tcPr>
            <w:tcW w:w="33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  <w:tc>
          <w:tcPr>
            <w:tcW w:w="162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/>
              </w:rPr>
            </w:pPr>
            <w:r>
              <w:rPr/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851" w:right="851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ind w:left="360" w:hanging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3.Требования к документации по ценообразованию на этапе исполнения договора</w:t>
      </w:r>
    </w:p>
    <w:p>
      <w:pPr>
        <w:pStyle w:val="ListParagraph"/>
        <w:ind w:left="1080" w:hanging="0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ListParagraph"/>
        <w:numPr>
          <w:ilvl w:val="1"/>
          <w:numId w:val="10"/>
        </w:numPr>
        <w:ind w:left="0" w:firstLine="567"/>
        <w:jc w:val="both"/>
        <w:rPr>
          <w:iCs/>
          <w:color w:val="000000" w:themeColor="text1"/>
          <w:lang w:eastAsia="x-none"/>
        </w:rPr>
      </w:pPr>
      <w:r>
        <w:rPr>
          <w:rFonts w:eastAsia="Times New Roman"/>
        </w:rPr>
        <w:t>В стоимость Продукции должны быть включены все затраты, связанные с исполнением обязательств по поставке Продукции, расходы на погрузку, разгрузку и доставку Продукции в баки транспортных средств Поставщика, иные расходы, связанные с исполнением обязательств по Договору, в том числе, все налоги, сборы, пошлины при этом сумма НДС (в случае его уплаты) выделяется отдельно.</w:t>
      </w:r>
    </w:p>
    <w:p>
      <w:pPr>
        <w:pStyle w:val="ListParagraph"/>
        <w:numPr>
          <w:ilvl w:val="1"/>
          <w:numId w:val="11"/>
        </w:numPr>
        <w:ind w:left="0" w:firstLine="567"/>
        <w:jc w:val="both"/>
        <w:rPr>
          <w:iCs/>
          <w:color w:val="000000" w:themeColor="text1"/>
          <w:lang w:eastAsia="x-none"/>
        </w:rPr>
      </w:pPr>
      <w:r>
        <w:rPr>
          <w:iCs/>
          <w:color w:val="000000" w:themeColor="text1"/>
          <w:lang w:eastAsia="x-none"/>
        </w:rPr>
        <w:t xml:space="preserve"> </w:t>
      </w:r>
      <w:r>
        <w:rPr>
          <w:iCs/>
          <w:color w:val="000000" w:themeColor="text1"/>
          <w:lang w:eastAsia="x-none"/>
        </w:rPr>
        <w:t>Цена каждой партии нефтепродуктов, может быть изменена Поставщиком в случае принятия органами государственной власти правовых актов, которые прямо или косвенно смогут оказать влияние на стоимость нефтепродуктов, а также в случае изменения ценовой конъюнктуры на нефтепродукты, изменения закупочных цен, транспортных тарифов, увеличения портовых и других сборов, а также наступления других обстоятельств, независящих от воли Поставщика.</w:t>
      </w:r>
    </w:p>
    <w:p>
      <w:pPr>
        <w:pStyle w:val="ListParagraph"/>
        <w:numPr>
          <w:ilvl w:val="1"/>
          <w:numId w:val="12"/>
        </w:numPr>
        <w:ind w:left="0" w:firstLine="567"/>
        <w:jc w:val="both"/>
        <w:rPr>
          <w:iCs/>
          <w:color w:val="000000" w:themeColor="text1"/>
          <w:lang w:eastAsia="x-none"/>
        </w:rPr>
      </w:pPr>
      <w:r>
        <w:rPr>
          <w:iCs/>
          <w:color w:val="000000" w:themeColor="text1"/>
          <w:lang w:eastAsia="x-none"/>
        </w:rPr>
        <w:t>В случае изменения цены за периодом выборки она отражается в соответствующих ТТН и счетах-фактурах.</w:t>
      </w:r>
    </w:p>
    <w:p>
      <w:pPr>
        <w:pStyle w:val="Normal"/>
        <w:ind w:left="720" w:firstLine="851"/>
        <w:rPr>
          <w:iCs/>
          <w:sz w:val="24"/>
          <w:szCs w:val="24"/>
          <w:lang w:eastAsia="x-none"/>
        </w:rPr>
      </w:pPr>
      <w:r>
        <w:rPr>
          <w:iCs/>
          <w:sz w:val="24"/>
          <w:szCs w:val="24"/>
          <w:lang w:eastAsia="x-none"/>
        </w:rPr>
      </w:r>
    </w:p>
    <w:p>
      <w:pPr>
        <w:pStyle w:val="ListParagraph"/>
        <w:ind w:left="567" w:hanging="0"/>
        <w:jc w:val="both"/>
        <w:rPr>
          <w:iCs/>
          <w:color w:val="000000" w:themeColor="text1"/>
          <w:lang w:eastAsia="x-none"/>
        </w:rPr>
      </w:pPr>
      <w:r>
        <w:rPr>
          <w:iCs/>
          <w:color w:val="000000" w:themeColor="text1"/>
          <w:lang w:eastAsia="x-none"/>
        </w:rPr>
      </w:r>
    </w:p>
    <w:p>
      <w:pPr>
        <w:pStyle w:val="Normal"/>
        <w:ind w:firstLine="851"/>
        <w:rPr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ind w:firstLine="851"/>
        <w:rPr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ind w:firstLine="851"/>
        <w:rPr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Ведущий инженер ГКЭиРТС</w:t>
      </w:r>
    </w:p>
    <w:p>
      <w:pPr>
        <w:pStyle w:val="Normal"/>
        <w:rPr>
          <w:color w:val="1F4E79"/>
        </w:rPr>
      </w:pPr>
      <w:r>
        <w:rPr>
          <w:sz w:val="24"/>
          <w:szCs w:val="24"/>
        </w:rPr>
        <w:t xml:space="preserve">Дальневосточного филиала </w:t>
        <w:tab/>
        <w:tab/>
        <w:tab/>
        <w:tab/>
        <w:tab/>
        <w:t xml:space="preserve">                         </w:t>
      </w:r>
      <w:r>
        <w:rPr>
          <w:sz w:val="24"/>
          <w:szCs w:val="24"/>
        </w:rPr>
        <w:t>В.Н. Хижн</w:t>
      </w:r>
      <w:r>
        <w:rPr/>
        <w:t>як</w:t>
      </w:r>
      <w:r>
        <w:rPr/>
        <w:t xml:space="preserve"> </w:t>
      </w:r>
    </w:p>
    <w:sectPr>
      <w:headerReference w:type="default" r:id="rId5"/>
      <w:headerReference w:type="first" r:id="rId6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5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8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u w:val="none"/>
        <w:b/>
        <w:kern w:val="0"/>
        <w:effect w:val="none"/>
        <w:szCs w:val="26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6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8"/>
    <w:lvlOverride w:ilvl="0">
      <w:startOverride w:val="3"/>
    </w:lvlOverride>
    <w:lvlOverride w:ilvl="1">
      <w:startOverride w:val="1"/>
    </w:lvlOverride>
  </w:num>
  <w:num w:numId="11">
    <w:abstractNumId w:val="8"/>
  </w:num>
  <w:num w:numId="12">
    <w:abstractNumId w:val="8"/>
  </w:num>
</w:numbering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tabs>
        <w:tab w:val="clear" w:pos="709"/>
        <w:tab w:val="left" w:pos="0" w:leader="none"/>
      </w:tabs>
      <w:spacing w:before="120" w:after="0"/>
      <w:ind w:left="567" w:hanging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4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widowControl/>
      <w:suppressAutoHyphens w:val="true"/>
      <w:bidi w:val="0"/>
      <w:spacing w:before="120" w:after="0"/>
      <w:ind w:left="567" w:right="0" w:hanging="0"/>
      <w:jc w:val="left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 w:customStyle="1">
    <w:name w:val="[РГ] Текст"/>
    <w:basedOn w:val="Normal"/>
    <w:qFormat/>
    <w:rsid w:val="00ce338e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E76C2-8D35-4829-8229-EC7C853A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AlterOffice/3.4.0.9$Linux_X86_64 LibreOffice_project/b8daf9e823b1a5463a2f48435ddc2e8696e7d4fc</Application>
  <AppVersion>15.0000</AppVersion>
  <Pages>8</Pages>
  <Words>1104</Words>
  <Characters>8178</Characters>
  <CharactersWithSpaces>9267</CharactersWithSpaces>
  <Paragraphs>155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2026-02-11T02:52:00Z</dcterms:created>
  <dc:creator>Быстров Олег Геннадьевич</dc:creator>
  <dc:description/>
  <dc:language>ru-RU</dc:language>
  <cp:lastModifiedBy>khizhnyakvn@corp.gidroogk.com</cp:lastModifiedBy>
  <cp:lastPrinted>2026-03-19T08:08:00Z</cp:lastPrinted>
  <dcterms:modified xsi:type="dcterms:W3CDTF">2026-08-05T19:14:19Z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