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r>
        <w:rPr>
          <w:rStyle w:val="FootnoteReference"/>
          <w:b/>
          <w:bCs/>
          <w:sz w:val="24"/>
          <w:szCs w:val="24"/>
        </w:rPr>
        <w:footnoteReference w:id="2"/>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bCs/>
          <w:sz w:val="24"/>
          <w:szCs w:val="24"/>
          <w:shd w:fill="FFFFFF" w:val="clear"/>
          <w:lang w:val="ru-RU"/>
        </w:rPr>
        <w:t>Акционерное общество «Транспортная компания РусГидро» (АО «ТК РусГидро»)</w:t>
      </w:r>
      <w:r>
        <w:rPr>
          <w:b w:val="false"/>
          <w:bCs w:val="false"/>
          <w:sz w:val="24"/>
          <w:szCs w:val="24"/>
          <w:shd w:fill="FFFFFF" w:val="clear"/>
          <w:lang w:val="ru-RU"/>
        </w:rPr>
        <w:t>,</w:t>
      </w:r>
      <w:r>
        <w:rPr>
          <w:spacing w:val="2"/>
          <w:sz w:val="24"/>
          <w:szCs w:val="24"/>
        </w:rPr>
        <w:t xml:space="preserve"> (далее – </w:t>
      </w:r>
      <w:r>
        <w:rPr>
          <w:sz w:val="24"/>
          <w:szCs w:val="24"/>
        </w:rPr>
        <w:t xml:space="preserve">«Покупатель»), </w:t>
      </w:r>
      <w:r>
        <w:rPr>
          <w:b w:val="false"/>
          <w:bCs w:val="false"/>
          <w:sz w:val="24"/>
          <w:szCs w:val="24"/>
          <w:shd w:fill="FFFFFF" w:val="clear"/>
          <w:lang w:val="ru-RU"/>
        </w:rPr>
        <w:t xml:space="preserve">в лице директора Дальневосточного филиала </w:t>
      </w:r>
      <w:r>
        <w:rPr>
          <w:b/>
          <w:bCs/>
          <w:sz w:val="24"/>
          <w:szCs w:val="24"/>
          <w:shd w:fill="FFFFFF" w:val="clear"/>
          <w:lang w:val="ru-RU"/>
        </w:rPr>
        <w:t xml:space="preserve">АО «ТК РусГидро» </w:t>
      </w:r>
      <w:r>
        <w:rPr>
          <w:b w:val="false"/>
          <w:bCs w:val="false"/>
          <w:kern w:val="0"/>
          <w:sz w:val="24"/>
          <w:szCs w:val="24"/>
          <w:shd w:fill="FFFFFF" w:val="clear"/>
          <w:lang w:val="ru-RU" w:eastAsia="en-US" w:bidi="ar-SA"/>
        </w:rPr>
        <w:t>Золотарёва Василия Юрьевича</w:t>
      </w:r>
      <w:r>
        <w:rPr>
          <w:b w:val="false"/>
          <w:bCs w:val="false"/>
          <w:sz w:val="24"/>
          <w:szCs w:val="24"/>
          <w:shd w:fill="FFFFFF" w:val="clear"/>
          <w:lang w:val="ru-RU"/>
        </w:rPr>
        <w:t>, действующего на основании д</w:t>
      </w:r>
      <w:r>
        <w:rPr>
          <w:b w:val="false"/>
          <w:bCs w:val="false"/>
          <w:kern w:val="0"/>
          <w:sz w:val="24"/>
          <w:szCs w:val="24"/>
          <w:shd w:fill="FFFFFF" w:val="clear"/>
          <w:lang w:val="ru-RU" w:eastAsia="en-US" w:bidi="ar-SA"/>
        </w:rPr>
        <w:t>оверенности № 816 от 01.12.2025</w:t>
      </w:r>
      <w:r>
        <w:rPr>
          <w:b w:val="false"/>
          <w:bCs w:val="false"/>
          <w:sz w:val="24"/>
          <w:szCs w:val="24"/>
          <w:shd w:fill="FFFFFF" w:val="clear"/>
          <w:lang w:val="ru-RU"/>
        </w:rPr>
        <w:t>, с одной стороны</w:t>
      </w:r>
      <w:r>
        <w:rPr>
          <w:spacing w:val="4"/>
          <w:sz w:val="24"/>
          <w:szCs w:val="24"/>
        </w:rPr>
        <w:t>, 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совместно в дальнейшем именуемые «Стороны», а по отдельности – «Сторона», </w:t>
        <w:b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0"/>
          <w:numId w:val="2"/>
        </w:numPr>
        <w:shd w:val="clear" w:color="auto" w:fill="FFFFFF"/>
        <w:tabs>
          <w:tab w:val="clear" w:pos="709"/>
          <w:tab w:val="left" w:pos="1134" w:leader="none"/>
        </w:tabs>
        <w:ind w:left="0" w:firstLine="709"/>
        <w:jc w:val="both"/>
        <w:rPr>
          <w:sz w:val="24"/>
          <w:szCs w:val="24"/>
        </w:rPr>
      </w:pPr>
      <w:r>
        <w:rPr>
          <w:bCs/>
          <w:sz w:val="24"/>
          <w:szCs w:val="24"/>
        </w:rPr>
        <w:t xml:space="preserve">Поставщик обязуется в порядке и сроки, установленные Договором, передать в собственность Покупателю топливо в селе </w:t>
      </w:r>
      <w:r>
        <w:rPr>
          <w:bCs/>
          <w:sz w:val="24"/>
          <w:szCs w:val="24"/>
        </w:rPr>
        <w:t>в пгт Тымовское</w:t>
      </w:r>
      <w:r>
        <w:rPr>
          <w:bCs/>
          <w:sz w:val="24"/>
          <w:szCs w:val="24"/>
        </w:rPr>
        <w:t xml:space="preserve"> для транспортных средств Южно-Сахалинского участка Дальневосточного филиала АО "ТК РусГидро".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Южно-Сахалинского участка Дальневосточного филиала АО "ТК РусГидро"</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Общий срок поставки Товара: </w:t>
      </w:r>
      <w:r>
        <w:rPr>
          <w:bCs/>
          <w:sz w:val="24"/>
          <w:szCs w:val="24"/>
        </w:rPr>
        <w:t>до 31.12.2026 г.</w:t>
      </w:r>
    </w:p>
    <w:p>
      <w:pPr>
        <w:pStyle w:val="Normal"/>
        <w:numPr>
          <w:ilvl w:val="0"/>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Начало – с даты подачи заявки на поставку товара г.;</w:t>
      </w:r>
    </w:p>
    <w:p>
      <w:pPr>
        <w:pStyle w:val="Normal"/>
        <w:numPr>
          <w:ilvl w:val="0"/>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Окончание – «___» _________ 20__ г.</w:t>
      </w:r>
    </w:p>
    <w:p>
      <w:pPr>
        <w:pStyle w:val="Normal"/>
        <w:numPr>
          <w:ilvl w:val="0"/>
          <w:numId w:val="2"/>
        </w:numPr>
        <w:shd w:val="clear" w:color="auto" w:fill="FFFFFF"/>
        <w:tabs>
          <w:tab w:val="clear" w:pos="709"/>
          <w:tab w:val="left" w:pos="540" w:leader="none"/>
        </w:tabs>
        <w:ind w:firstLine="709"/>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4"/>
      </w:r>
      <w:r>
        <w:rPr>
          <w:sz w:val="24"/>
          <w:szCs w:val="24"/>
          <w:highlight w:val="lightGray"/>
        </w:rPr>
        <w:t xml:space="preserve"> / 45 (сорока пяти) календарных дней</w:t>
      </w:r>
      <w:r>
        <w:rPr>
          <w:rStyle w:val="FootnoteReference"/>
          <w:sz w:val="24"/>
          <w:szCs w:val="24"/>
          <w:highlight w:val="lightGray"/>
        </w:rPr>
        <w:footnoteReference w:id="5"/>
      </w:r>
      <w:r>
        <w:rPr>
          <w:sz w:val="24"/>
          <w:szCs w:val="24"/>
          <w:highlight w:val="lightGray"/>
        </w:rPr>
        <w:t xml:space="preserve"> 7 (семи) рабочих дней</w:t>
      </w:r>
      <w:r>
        <w:rPr>
          <w:rStyle w:val="FootnoteReference"/>
          <w:sz w:val="24"/>
          <w:szCs w:val="24"/>
          <w:highlight w:val="lightGray"/>
        </w:rPr>
        <w:footnoteReference w:id="6"/>
      </w:r>
      <w:r>
        <w:rPr>
          <w:sz w:val="24"/>
          <w:szCs w:val="24"/>
          <w:vertAlign w:val="superscript"/>
        </w:rPr>
        <w:t xml:space="preserve"> </w:t>
      </w:r>
      <w:r>
        <w:rPr>
          <w:bCs/>
          <w:sz w:val="24"/>
        </w:rPr>
        <w:t>с даты подписания Сторонами Накладной ТОРГ-12/УПД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фактуры/УПД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7"/>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сертификат качества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упаковочный лист в __(____) экз.;</w:t>
      </w:r>
    </w:p>
    <w:p>
      <w:pPr>
        <w:pStyle w:val="Normal"/>
        <w:numPr>
          <w:ilvl w:val="0"/>
          <w:numId w:val="3"/>
        </w:numPr>
        <w:tabs>
          <w:tab w:val="clear" w:pos="709"/>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highlight w:val="lightGray"/>
        </w:rPr>
      </w:pPr>
      <w:r>
        <w:rPr>
          <w:sz w:val="24"/>
          <w:szCs w:val="24"/>
          <w:highlight w:val="lightGray"/>
        </w:rPr>
        <w:t>Накладная ТОРГ-12/УПД в __(____)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8"/>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br/>
        <w:t>ТОРГ-12/УПД.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9"/>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10"/>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FootnoteReference"/>
          <w:bCs/>
          <w:sz w:val="24"/>
          <w:szCs w:val="24"/>
          <w:highlight w:val="lightGray"/>
        </w:rPr>
        <w:footnoteReference w:id="11"/>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2"/>
      </w:r>
      <w:r>
        <w:rPr>
          <w:sz w:val="24"/>
          <w:szCs w:val="24"/>
          <w:highlight w:val="lightGray"/>
        </w:rPr>
        <w:t>.</w:t>
      </w:r>
    </w:p>
    <w:p>
      <w:pPr>
        <w:pStyle w:val="Normal"/>
        <w:snapToGrid w:val="false"/>
        <w:ind w:firstLine="709"/>
        <w:jc w:val="both"/>
        <w:rPr>
          <w:i/>
          <w:i/>
          <w:sz w:val="24"/>
          <w:szCs w:val="24"/>
          <w:highlight w:val="lightGray"/>
        </w:rPr>
      </w:pPr>
      <w:r>
        <w:rPr>
          <w:i/>
          <w:sz w:val="24"/>
          <w:szCs w:val="24"/>
          <w:highlight w:val="lightGray"/>
        </w:rPr>
        <w:t>Либо</w:t>
      </w:r>
    </w:p>
    <w:p>
      <w:pPr>
        <w:pStyle w:val="Normal"/>
        <w:snapToGrid w:val="false"/>
        <w:ind w:firstLine="709"/>
        <w:jc w:val="both"/>
        <w:rPr>
          <w:i/>
          <w:i/>
          <w:sz w:val="24"/>
          <w:szCs w:val="24"/>
          <w:highlight w:val="lightGray"/>
        </w:rPr>
      </w:pPr>
      <w:r>
        <w:rPr>
          <w:sz w:val="24"/>
          <w:szCs w:val="24"/>
          <w:highlight w:val="lightGray"/>
        </w:rPr>
        <w:t>Договор заключается в электронной форме с</w:t>
      </w:r>
      <w:r>
        <w:rPr>
          <w:i/>
          <w:sz w:val="24"/>
          <w:szCs w:val="24"/>
          <w:highlight w:val="lightGray"/>
        </w:rPr>
        <w:t xml:space="preserve"> </w:t>
      </w:r>
      <w:r>
        <w:rPr>
          <w:sz w:val="24"/>
          <w:szCs w:val="24"/>
          <w:highlight w:val="lightGray"/>
        </w:rPr>
        <w:t>использованием программно-аппаратных средств</w:t>
      </w:r>
      <w:r>
        <w:rPr>
          <w:i/>
          <w:sz w:val="24"/>
          <w:szCs w:val="24"/>
          <w:highlight w:val="lightGray"/>
        </w:rPr>
        <w:t xml:space="preserve"> информационной системы электронного документооборота общего пользования</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3"/>
      </w:r>
      <w:r>
        <w:rPr>
          <w:sz w:val="24"/>
          <w:szCs w:val="24"/>
          <w:highlight w:val="lightGray"/>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4"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4"/>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tabs>
          <w:tab w:val="clear" w:pos="709"/>
          <w:tab w:val="left" w:pos="2940" w:leader="none"/>
        </w:tabs>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4"/>
      </w:r>
      <w:r>
        <w:rPr>
          <w:sz w:val="24"/>
          <w:szCs w:val="24"/>
          <w:highlight w:val="lightGray"/>
        </w:rPr>
        <w:t>.</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5"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5"/>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0"/>
        <w:gridCol w:w="142"/>
        <w:gridCol w:w="4633"/>
        <w:gridCol w:w="236"/>
      </w:tblGrid>
      <w:tr>
        <w:trPr/>
        <w:tc>
          <w:tcPr>
            <w:tcW w:w="4912" w:type="dxa"/>
            <w:gridSpan w:val="2"/>
            <w:tcBorders/>
          </w:tcPr>
          <w:p>
            <w:pPr>
              <w:pStyle w:val="Normal"/>
              <w:widowControl w:val="false"/>
              <w:rPr>
                <w:b/>
                <w:sz w:val="24"/>
                <w:szCs w:val="24"/>
              </w:rPr>
            </w:pPr>
            <w:r>
              <w:rPr>
                <w:b/>
                <w:sz w:val="24"/>
                <w:szCs w:val="24"/>
              </w:rPr>
              <w:t>Покупатель:</w:t>
            </w:r>
          </w:p>
        </w:tc>
        <w:tc>
          <w:tcPr>
            <w:tcW w:w="4869" w:type="dxa"/>
            <w:gridSpan w:val="2"/>
            <w:tcBorders/>
          </w:tcPr>
          <w:p>
            <w:pPr>
              <w:pStyle w:val="Normal"/>
              <w:widowControl w:val="false"/>
              <w:rPr>
                <w:b/>
                <w:sz w:val="24"/>
                <w:szCs w:val="24"/>
              </w:rPr>
            </w:pPr>
            <w:r>
              <w:rPr>
                <w:b/>
                <w:sz w:val="24"/>
                <w:szCs w:val="24"/>
              </w:rPr>
              <w:t>Поставщик:</w:t>
            </w:r>
          </w:p>
        </w:tc>
      </w:tr>
      <w:tr>
        <w:trPr/>
        <w:tc>
          <w:tcPr>
            <w:tcW w:w="4912" w:type="dxa"/>
            <w:gridSpan w:val="2"/>
            <w:tcBorders/>
          </w:tcPr>
          <w:p>
            <w:pPr>
              <w:pStyle w:val="Normal"/>
              <w:widowControl w:val="false"/>
              <w:rPr>
                <w:sz w:val="24"/>
                <w:szCs w:val="24"/>
                <w:highlight w:val="none"/>
                <w:shd w:fill="auto" w:val="clear"/>
              </w:rPr>
            </w:pPr>
            <w:r>
              <w:rPr>
                <w:b/>
                <w:bCs/>
                <w:sz w:val="24"/>
                <w:szCs w:val="24"/>
                <w:shd w:fill="auto" w:val="clear"/>
                <w:lang w:val="ru-RU"/>
              </w:rPr>
              <w:t>Акционерное общество</w:t>
            </w:r>
          </w:p>
          <w:p>
            <w:pPr>
              <w:pStyle w:val="Normal"/>
              <w:widowControl w:val="false"/>
              <w:rPr>
                <w:sz w:val="24"/>
                <w:szCs w:val="24"/>
                <w:highlight w:val="none"/>
                <w:shd w:fill="auto" w:val="clear"/>
              </w:rPr>
            </w:pPr>
            <w:r>
              <w:rPr>
                <w:b/>
                <w:bCs/>
                <w:sz w:val="24"/>
                <w:szCs w:val="24"/>
                <w:shd w:fill="auto" w:val="clear"/>
                <w:lang w:val="ru-RU"/>
              </w:rPr>
              <w:t>«Транспортная компания РусГидро»</w:t>
            </w:r>
          </w:p>
          <w:p>
            <w:pPr>
              <w:pStyle w:val="Normal"/>
              <w:widowControl w:val="false"/>
              <w:rPr>
                <w:sz w:val="24"/>
                <w:szCs w:val="24"/>
                <w:highlight w:val="none"/>
                <w:shd w:fill="auto" w:val="clear"/>
              </w:rPr>
            </w:pPr>
            <w:r>
              <w:rPr>
                <w:b/>
                <w:bCs/>
                <w:sz w:val="24"/>
                <w:szCs w:val="24"/>
                <w:shd w:fill="auto" w:val="clear"/>
                <w:lang w:val="ru-RU"/>
              </w:rPr>
              <w:t>(АО «ТК РусГидро»)</w:t>
            </w:r>
          </w:p>
          <w:p>
            <w:pPr>
              <w:pStyle w:val="Normal"/>
              <w:widowControl w:val="false"/>
              <w:spacing w:before="0" w:after="0"/>
              <w:jc w:val="left"/>
              <w:rPr>
                <w:bCs/>
                <w:sz w:val="24"/>
                <w:szCs w:val="24"/>
              </w:rPr>
            </w:pPr>
            <w:r>
              <w:rPr>
                <w:bCs/>
                <w:sz w:val="24"/>
                <w:szCs w:val="24"/>
              </w:rPr>
              <w:t>655619, Хакасия Республика, Саяногорск город, Черемушки рабочий поселок, стр. 101</w:t>
            </w:r>
          </w:p>
          <w:p>
            <w:pPr>
              <w:pStyle w:val="Normal"/>
              <w:widowControl w:val="false"/>
              <w:rPr>
                <w:bCs/>
                <w:sz w:val="24"/>
                <w:szCs w:val="24"/>
              </w:rPr>
            </w:pPr>
            <w:r>
              <w:rPr>
                <w:bCs/>
                <w:sz w:val="24"/>
                <w:szCs w:val="24"/>
              </w:rPr>
              <w:t>Дальневосточный филиал АО «ТК РусГидро»</w:t>
            </w:r>
          </w:p>
          <w:p>
            <w:pPr>
              <w:pStyle w:val="Normal"/>
              <w:widowControl w:val="false"/>
              <w:rPr>
                <w:bCs/>
                <w:sz w:val="24"/>
                <w:szCs w:val="24"/>
              </w:rPr>
            </w:pPr>
            <w:r>
              <w:rPr>
                <w:bCs/>
                <w:sz w:val="24"/>
                <w:szCs w:val="24"/>
              </w:rPr>
              <w:t>Почтовый адрес: 680021, Хабаровский край, г. Хабаровск, ул. Ленинградская, д. 46</w:t>
            </w:r>
          </w:p>
          <w:p>
            <w:pPr>
              <w:pStyle w:val="Normal"/>
              <w:widowControl w:val="false"/>
              <w:rPr>
                <w:bCs/>
                <w:sz w:val="24"/>
                <w:szCs w:val="24"/>
              </w:rPr>
            </w:pPr>
            <w:r>
              <w:rPr>
                <w:bCs/>
                <w:sz w:val="24"/>
                <w:szCs w:val="24"/>
              </w:rPr>
              <w:t>ИНН: 1902018248; КПП: 272443001;</w:t>
            </w:r>
          </w:p>
          <w:p>
            <w:pPr>
              <w:pStyle w:val="Normal"/>
              <w:widowControl w:val="false"/>
              <w:rPr>
                <w:bCs/>
                <w:sz w:val="24"/>
                <w:szCs w:val="24"/>
              </w:rPr>
            </w:pPr>
            <w:r>
              <w:rPr>
                <w:bCs/>
                <w:sz w:val="24"/>
                <w:szCs w:val="24"/>
              </w:rPr>
              <w:t>ОГРН: 1031900676356;</w:t>
            </w:r>
          </w:p>
          <w:p>
            <w:pPr>
              <w:pStyle w:val="Normal"/>
              <w:widowControl w:val="false"/>
              <w:rPr>
                <w:bCs/>
                <w:sz w:val="24"/>
                <w:szCs w:val="24"/>
              </w:rPr>
            </w:pPr>
            <w:r>
              <w:rPr>
                <w:bCs/>
                <w:sz w:val="24"/>
                <w:szCs w:val="24"/>
              </w:rPr>
              <w:t>Р/счет: 40702810903000031136;</w:t>
            </w:r>
          </w:p>
          <w:p>
            <w:pPr>
              <w:pStyle w:val="Normal"/>
              <w:widowControl w:val="false"/>
              <w:rPr>
                <w:bCs/>
                <w:sz w:val="24"/>
                <w:szCs w:val="24"/>
              </w:rPr>
            </w:pPr>
            <w:r>
              <w:rPr>
                <w:bCs/>
                <w:sz w:val="24"/>
                <w:szCs w:val="24"/>
              </w:rPr>
              <w:t>Банк: Дальневосточный филиал</w:t>
            </w:r>
          </w:p>
          <w:p>
            <w:pPr>
              <w:pStyle w:val="Normal"/>
              <w:widowControl w:val="false"/>
              <w:rPr>
                <w:bCs/>
                <w:sz w:val="24"/>
                <w:szCs w:val="24"/>
              </w:rPr>
            </w:pPr>
            <w:r>
              <w:rPr>
                <w:bCs/>
                <w:sz w:val="24"/>
                <w:szCs w:val="24"/>
              </w:rPr>
              <w:t>ПАО «Сбербанк России» г. Хабаровск;</w:t>
            </w:r>
          </w:p>
          <w:p>
            <w:pPr>
              <w:pStyle w:val="Normal"/>
              <w:widowControl w:val="false"/>
              <w:rPr>
                <w:bCs/>
                <w:sz w:val="24"/>
                <w:szCs w:val="24"/>
              </w:rPr>
            </w:pPr>
            <w:r>
              <w:rPr>
                <w:bCs/>
                <w:sz w:val="24"/>
                <w:szCs w:val="24"/>
              </w:rPr>
              <w:t>К/счет: 30101810600000000608;</w:t>
            </w:r>
          </w:p>
          <w:p>
            <w:pPr>
              <w:pStyle w:val="Normal"/>
              <w:widowControl w:val="false"/>
              <w:rPr>
                <w:bCs/>
                <w:sz w:val="24"/>
                <w:szCs w:val="24"/>
              </w:rPr>
            </w:pPr>
            <w:r>
              <w:rPr>
                <w:bCs/>
                <w:sz w:val="24"/>
                <w:szCs w:val="24"/>
              </w:rPr>
              <w:t>БИК: 040813608.</w:t>
            </w:r>
          </w:p>
          <w:p>
            <w:pPr>
              <w:pStyle w:val="Normal"/>
              <w:widowControl w:val="false"/>
              <w:rPr>
                <w:bCs/>
                <w:sz w:val="24"/>
                <w:szCs w:val="24"/>
              </w:rPr>
            </w:pPr>
            <w:r>
              <w:rPr>
                <w:bCs/>
                <w:sz w:val="24"/>
                <w:szCs w:val="24"/>
              </w:rPr>
            </w:r>
          </w:p>
          <w:p>
            <w:pPr>
              <w:pStyle w:val="Normal"/>
              <w:widowControl w:val="false"/>
              <w:rPr>
                <w:highlight w:val="none"/>
                <w:shd w:fill="auto" w:val="clear"/>
                <w:lang w:val="ru-RU"/>
              </w:rPr>
            </w:pPr>
            <w:r>
              <w:rPr>
                <w:shd w:fill="auto" w:val="clear"/>
                <w:lang w:val="ru-RU"/>
              </w:rPr>
            </w:r>
          </w:p>
        </w:tc>
        <w:tc>
          <w:tcPr>
            <w:tcW w:w="4869"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0" w:type="dxa"/>
            <w:tcBorders/>
          </w:tcPr>
          <w:p>
            <w:pPr>
              <w:pStyle w:val="Normal"/>
              <w:widowControl w:val="false"/>
              <w:rPr>
                <w:highlight w:val="none"/>
                <w:shd w:fill="auto" w:val="clear"/>
              </w:rPr>
            </w:pPr>
            <w:r>
              <w:rPr>
                <w:b/>
                <w:bCs/>
                <w:sz w:val="24"/>
                <w:szCs w:val="24"/>
                <w:shd w:fill="auto" w:val="clear"/>
                <w:lang w:val="ru-RU"/>
              </w:rPr>
              <w:t>Директор Дальневосточного филиала АО «ТК РусГидро»</w:t>
            </w:r>
          </w:p>
          <w:p>
            <w:pPr>
              <w:pStyle w:val="Normal"/>
              <w:widowControl w:val="false"/>
              <w:rPr>
                <w:highlight w:val="none"/>
                <w:shd w:fill="auto" w:val="clear"/>
                <w:lang w:val="ru-RU"/>
              </w:rPr>
            </w:pPr>
            <w:r>
              <w:rPr>
                <w:shd w:fill="auto" w:val="clear"/>
                <w:lang w:val="ru-RU"/>
              </w:rPr>
            </w:r>
          </w:p>
          <w:p>
            <w:pPr>
              <w:pStyle w:val="Normal"/>
              <w:widowControl w:val="false"/>
              <w:rPr/>
            </w:pPr>
            <w:r>
              <w:rPr>
                <w:shd w:fill="auto" w:val="clear"/>
              </w:rPr>
              <w:t>____________</w:t>
            </w:r>
            <w:r>
              <w:rPr>
                <w:shd w:fill="auto" w:val="clear"/>
              </w:rPr>
              <w:t>___________</w:t>
            </w:r>
            <w:r>
              <w:rPr>
                <w:shd w:fill="auto" w:val="clear"/>
              </w:rPr>
              <w:t>___ /</w:t>
            </w:r>
            <w:r>
              <w:rPr>
                <w:b/>
                <w:bCs/>
                <w:sz w:val="24"/>
                <w:szCs w:val="24"/>
                <w:shd w:fill="auto" w:val="clear"/>
                <w:lang w:val="ru-RU"/>
              </w:rPr>
              <w:t xml:space="preserve"> Золотарёв В.Ю.</w:t>
            </w:r>
          </w:p>
        </w:tc>
        <w:tc>
          <w:tcPr>
            <w:tcW w:w="4775"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36" w:type="dxa"/>
            <w:tcBorders/>
          </w:tcPr>
          <w:p>
            <w:pPr>
              <w:pStyle w:val="Normal"/>
              <w:widowControl w:val="false"/>
              <w:rPr/>
            </w:pPr>
            <w:r>
              <w:rPr/>
            </w:r>
          </w:p>
        </w:tc>
      </w:tr>
    </w:tbl>
    <w:p>
      <w:pPr>
        <w:sectPr>
          <w:headerReference w:type="even" r:id="rId5"/>
          <w:headerReference w:type="default" r:id="rId6"/>
          <w:headerReference w:type="first" r:id="rId7"/>
          <w:footerReference w:type="even" r:id="rId8"/>
          <w:footerReference w:type="default" r:id="rId9"/>
          <w:footerReference w:type="first" r:id="rId10"/>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6384"/>
        </w:sectPr>
      </w:pPr>
    </w:p>
    <w:p>
      <w:pPr>
        <w:pStyle w:val="Normal"/>
        <w:ind w:firstLine="4820"/>
        <w:rPr>
          <w:sz w:val="22"/>
          <w:szCs w:val="22"/>
        </w:rPr>
      </w:pPr>
      <w:r>
        <w:rPr>
          <w:sz w:val="22"/>
          <w:szCs w:val="22"/>
        </w:rPr>
        <w:t>Приложение № 1</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_____20 _ г. № 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4"/>
        <w:gridCol w:w="390"/>
        <w:gridCol w:w="602"/>
        <w:gridCol w:w="612"/>
        <w:gridCol w:w="612"/>
        <w:gridCol w:w="774"/>
        <w:gridCol w:w="726"/>
        <w:gridCol w:w="623"/>
        <w:gridCol w:w="730"/>
        <w:gridCol w:w="689"/>
        <w:gridCol w:w="514"/>
        <w:gridCol w:w="648"/>
        <w:gridCol w:w="552"/>
        <w:gridCol w:w="515"/>
        <w:gridCol w:w="716"/>
        <w:gridCol w:w="477"/>
      </w:tblGrid>
      <w:tr>
        <w:trPr>
          <w:trHeight w:val="526" w:hRule="atLeast"/>
        </w:trPr>
        <w:tc>
          <w:tcPr>
            <w:tcW w:w="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5"/>
            </w:r>
          </w:p>
        </w:tc>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6"/>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1"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1"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1"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9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ind w:left="-680" w:right="680" w:hanging="0"/>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680" w:right="680" w:hanging="0"/>
        <w:jc w:val="both"/>
        <w:rPr>
          <w:i/>
          <w:i/>
          <w:highlight w:val="yellow"/>
        </w:rPr>
      </w:pPr>
      <w:r>
        <w:rPr>
          <w:i/>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b/>
          <w:sz w:val="24"/>
          <w:szCs w:val="24"/>
          <w:lang w:eastAsia="en-US"/>
        </w:rPr>
      </w:pPr>
      <w:r>
        <w:rPr>
          <w:rFonts w:eastAsia="Calibri"/>
          <w:b/>
          <w:sz w:val="24"/>
          <w:szCs w:val="24"/>
          <w:lang w:eastAsia="en-US"/>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widowControl/>
        <w:ind w:firstLine="709"/>
        <w:rPr>
          <w:rFonts w:eastAsia="Calibri"/>
          <w:b/>
          <w:sz w:val="24"/>
          <w:szCs w:val="24"/>
          <w:lang w:eastAsia="en-US"/>
        </w:rPr>
      </w:pPr>
      <w:r>
        <w:rPr>
          <w:rFonts w:eastAsia="Calibri"/>
          <w:b/>
          <w:sz w:val="24"/>
          <w:szCs w:val="24"/>
          <w:lang w:eastAsia="en-US"/>
        </w:rPr>
      </w:r>
    </w:p>
    <w:p>
      <w:pPr>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709" w:top="1134" w:footer="709" w:bottom="1134"/>
          <w:pgNumType w:fmt="decimal"/>
          <w:formProt w:val="false"/>
          <w:textDirection w:val="lrTb"/>
          <w:docGrid w:type="default" w:linePitch="299" w:charSpace="16384"/>
        </w:sectPr>
        <w:pStyle w:val="Normal"/>
        <w:widowControl/>
        <w:ind w:firstLine="709"/>
        <w:rPr>
          <w:rFonts w:eastAsia="Calibri"/>
          <w:b/>
          <w:sz w:val="24"/>
          <w:szCs w:val="24"/>
          <w:lang w:eastAsia="en-US"/>
        </w:rPr>
      </w:pPr>
      <w:r>
        <w:rPr>
          <w:rFonts w:eastAsia="Calibri"/>
          <w:b/>
          <w:sz w:val="24"/>
          <w:szCs w:val="24"/>
          <w:lang w:eastAsia="en-US"/>
        </w:rPr>
      </w:r>
    </w:p>
    <w:p>
      <w:pPr>
        <w:pStyle w:val="Normal"/>
        <w:ind w:firstLine="4820"/>
        <w:rPr>
          <w:sz w:val="22"/>
          <w:szCs w:val="22"/>
        </w:rPr>
      </w:pPr>
      <w:r>
        <w:rPr>
          <w:sz w:val="22"/>
          <w:szCs w:val="22"/>
        </w:rPr>
        <w:t>Приложение № 2</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__________ 20 _ г. № ____</w:t>
      </w:r>
    </w:p>
    <w:p>
      <w:pPr>
        <w:pStyle w:val="Normal"/>
        <w:ind w:firstLine="5812"/>
        <w:jc w:val="center"/>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7"/>
        <w:gridCol w:w="705"/>
        <w:gridCol w:w="1066"/>
        <w:gridCol w:w="1174"/>
        <w:gridCol w:w="982"/>
        <w:gridCol w:w="1406"/>
        <w:gridCol w:w="836"/>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ind w:firstLine="4820"/>
        <w:rPr>
          <w:sz w:val="22"/>
          <w:szCs w:val="22"/>
        </w:rPr>
      </w:pPr>
      <w:r>
        <w:rPr>
          <w:sz w:val="22"/>
          <w:szCs w:val="22"/>
        </w:rPr>
        <w:t>Приложение № 3</w:t>
      </w:r>
    </w:p>
    <w:p>
      <w:pPr>
        <w:pStyle w:val="Normal"/>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4"/>
        </w:rPr>
      </w:pPr>
      <w:r>
        <w:rPr>
          <w:rStyle w:val="Style14"/>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4"/>
        </w:rPr>
        <w:t xml:space="preserve">  </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5">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6">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8">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9">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10">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11">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2">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13">
    <w:p>
      <w:pPr>
        <w:pStyle w:val="FootnoteText"/>
        <w:jc w:val="both"/>
        <w:rPr/>
      </w:pPr>
      <w:r>
        <w:rPr>
          <w:rStyle w:val="Style14"/>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4">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5">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6">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bookmarkStart w:id="16" w:name="_GoBack"/>
    <w:bookmarkEnd w:id="16"/>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Linenumber">
    <w:name w:val="line number"/>
    <w:qFormat/>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Relationship Id="rId26" Type="http://schemas.openxmlformats.org/officeDocument/2006/relationships/customXml" Target="../customXml/item3.xml"/><Relationship Id="rId2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E5EC59-ECD0-4993-B31A-9F9D24FD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Application>AlterOffice/3.4.0.9$Linux_X86_64 LibreOffice_project/b8daf9e823b1a5463a2f48435ddc2e8696e7d4fc</Application>
  <AppVersion>15.0000</AppVersion>
  <Pages>21</Pages>
  <Words>7322</Words>
  <Characters>51903</Characters>
  <CharactersWithSpaces>58938</CharactersWithSpaces>
  <Paragraphs>382</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khizhnyakvn@corp.gidroogk.com</cp:lastModifiedBy>
  <cp:lastPrinted>2018-05-22T09:46:00Z</cp:lastPrinted>
  <dcterms:modified xsi:type="dcterms:W3CDTF">2026-08-05T17:38:10Z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