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_rels/document.xml.rels" ContentType="application/vnd.openxmlformats-package.relationships+xml"/>
  <Override PartName="/word/header6.xml" ContentType="application/vnd.openxmlformats-officedocument.wordprocessingml.header+xml"/>
  <Override PartName="/word/header9.xml" ContentType="application/vnd.openxmlformats-officedocument.wordprocessingml.header+xml"/>
  <Override PartName="/word/fontTable.xml" ContentType="application/vnd.openxmlformats-officedocument.wordprocessingml.fontTable+xml"/>
  <Override PartName="/word/header8.xml" ContentType="application/vnd.openxmlformats-officedocument.wordprocessingml.header+xml"/>
  <Override PartName="/word/theme/theme1.xml" ContentType="application/vnd.openxmlformats-officedocument.theme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header7.xml" ContentType="application/vnd.openxmlformats-officedocument.wordprocessingml.header+xml"/>
  <Override PartName="/word/styles.xml" ContentType="application/vnd.openxmlformats-officedocument.wordprocessingml.styles+xml"/>
  <Override PartName="/word/header4.xml" ContentType="application/vnd.openxmlformats-officedocument.wordprocessingml.header+xml"/>
  <Override PartName="/word/numbering.xml" ContentType="application/vnd.openxmlformats-officedocument.wordprocessingml.numbering+xml"/>
  <Override PartName="/word/header10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righ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sz w:val="32"/>
          <w:szCs w:val="32"/>
        </w:rPr>
      </w:pPr>
      <w:r>
        <w:rPr>
          <w:rFonts w:eastAsia="Calibri"/>
          <w:b/>
          <w:sz w:val="32"/>
          <w:szCs w:val="32"/>
        </w:rPr>
        <w:t>Технические требования на поставку ТМЦ</w:t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BlockText"/>
        <w:shd w:val="clear" w:color="auto" w:fill="FFFFFF"/>
        <w:ind w:left="0" w:right="-2" w:hanging="0"/>
        <w:rPr>
          <w:sz w:val="28"/>
          <w:szCs w:val="28"/>
        </w:rPr>
      </w:pPr>
      <w:r>
        <w:rPr>
          <w:sz w:val="26"/>
          <w:szCs w:val="26"/>
        </w:rPr>
        <w:t>ОКПД2 28.13.11.110 Поставка мобильных насосов для перекачки дизельного топлива</w:t>
      </w:r>
    </w:p>
    <w:p>
      <w:pPr>
        <w:pStyle w:val="BlockText"/>
        <w:shd w:val="clear" w:color="auto" w:fill="FFFFFF"/>
        <w:ind w:left="0" w:right="-2" w:hanging="0"/>
        <w:rPr>
          <w:sz w:val="28"/>
          <w:szCs w:val="28"/>
        </w:rPr>
      </w:pPr>
      <w:r>
        <w:rPr>
          <w:sz w:val="26"/>
          <w:szCs w:val="26"/>
        </w:rPr>
        <w:t>ОКПД2 27.11.32.120 Поставка мобильных бензиновых генераторов (инверторных), для нужд Филиала ПАО «РусГидро»- «Карачаево-Черкесский филиал»</w:t>
      </w:r>
    </w:p>
    <w:p>
      <w:pPr>
        <w:pStyle w:val="BlockText"/>
        <w:shd w:val="clear" w:color="auto" w:fill="FFFFFF"/>
        <w:ind w:left="0" w:right="-2" w:hanging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numPr>
          <w:ilvl w:val="0"/>
          <w:numId w:val="0"/>
        </w:numPr>
        <w:ind w:left="0" w:hanging="0"/>
        <w:jc w:val="center"/>
        <w:outlineLvl w:val="0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numPr>
          <w:ilvl w:val="0"/>
          <w:numId w:val="0"/>
        </w:numPr>
        <w:ind w:left="0" w:hanging="0"/>
        <w:jc w:val="center"/>
        <w:outlineLvl w:val="0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numPr>
          <w:ilvl w:val="0"/>
          <w:numId w:val="0"/>
        </w:numPr>
        <w:ind w:left="0" w:hanging="0"/>
        <w:jc w:val="center"/>
        <w:outlineLvl w:val="0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numPr>
          <w:ilvl w:val="0"/>
          <w:numId w:val="0"/>
        </w:numPr>
        <w:ind w:left="0" w:hanging="0"/>
        <w:jc w:val="center"/>
        <w:outlineLvl w:val="0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numPr>
          <w:ilvl w:val="0"/>
          <w:numId w:val="0"/>
        </w:numPr>
        <w:ind w:left="0" w:hanging="0"/>
        <w:jc w:val="center"/>
        <w:outlineLvl w:val="0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numPr>
          <w:ilvl w:val="0"/>
          <w:numId w:val="0"/>
        </w:numPr>
        <w:ind w:left="0" w:hanging="0"/>
        <w:jc w:val="center"/>
        <w:outlineLvl w:val="0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numPr>
          <w:ilvl w:val="0"/>
          <w:numId w:val="0"/>
        </w:numPr>
        <w:ind w:left="0" w:hanging="0"/>
        <w:jc w:val="center"/>
        <w:outlineLvl w:val="0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numPr>
          <w:ilvl w:val="0"/>
          <w:numId w:val="0"/>
        </w:numPr>
        <w:ind w:left="0" w:hanging="0"/>
        <w:jc w:val="center"/>
        <w:outlineLvl w:val="0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numPr>
          <w:ilvl w:val="0"/>
          <w:numId w:val="0"/>
        </w:numPr>
        <w:ind w:left="0" w:hanging="0"/>
        <w:jc w:val="center"/>
        <w:outlineLvl w:val="0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numPr>
          <w:ilvl w:val="0"/>
          <w:numId w:val="0"/>
        </w:numPr>
        <w:ind w:left="0" w:hanging="0"/>
        <w:jc w:val="center"/>
        <w:outlineLvl w:val="0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numPr>
          <w:ilvl w:val="0"/>
          <w:numId w:val="0"/>
        </w:numPr>
        <w:ind w:left="0" w:hanging="0"/>
        <w:jc w:val="center"/>
        <w:outlineLvl w:val="0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numPr>
          <w:ilvl w:val="0"/>
          <w:numId w:val="0"/>
        </w:numPr>
        <w:ind w:left="0" w:hanging="0"/>
        <w:jc w:val="center"/>
        <w:outlineLvl w:val="0"/>
        <w:rPr>
          <w:sz w:val="24"/>
          <w:szCs w:val="24"/>
        </w:rPr>
      </w:pPr>
      <w:r>
        <w:rPr>
          <w:sz w:val="24"/>
          <w:szCs w:val="24"/>
        </w:rPr>
        <w:t>пгт. Правокубанский 2026</w:t>
      </w:r>
      <w:r>
        <w:br w:type="page"/>
      </w:r>
    </w:p>
    <w:p>
      <w:pPr>
        <w:pStyle w:val="Normal"/>
        <w:jc w:val="center"/>
        <w:rPr>
          <w:b/>
        </w:rPr>
      </w:pPr>
      <w:r>
        <w:rPr>
          <w:b/>
        </w:rPr>
        <w:t>СОДЕРЖАНИЕ</w:t>
      </w:r>
    </w:p>
    <w:sdt>
      <w:sdtPr>
        <w:docPartObj>
          <w:docPartGallery w:val="Table of Contents"/>
          <w:docPartUnique w:val="true"/>
        </w:docPartObj>
      </w:sdtPr>
      <w:sdtContent>
        <w:p>
          <w:pPr>
            <w:pStyle w:val="TOC1"/>
            <w:tabs>
              <w:tab w:val="clear" w:pos="708"/>
              <w:tab w:val="left" w:pos="560" w:leader="none"/>
              <w:tab w:val="right" w:pos="9911" w:leader="dot"/>
            </w:tabs>
            <w:rPr/>
          </w:pPr>
          <w:r>
            <w:fldChar w:fldCharType="begin"/>
          </w:r>
          <w:r>
            <w:rPr>
              <w:rStyle w:val="Style14"/>
            </w:rPr>
            <w:instrText xml:space="preserve"> TOC \o "1-4" \h</w:instrText>
          </w:r>
          <w:r>
            <w:rPr>
              <w:rStyle w:val="Style14"/>
            </w:rPr>
            <w:fldChar w:fldCharType="separate"/>
          </w:r>
          <w:hyperlink w:anchor="_Toc75446566">
            <w:r>
              <w:rPr>
                <w:rStyle w:val="Style14"/>
              </w:rPr>
              <w:t>1.</w:t>
            </w:r>
            <w:r>
              <w:rPr>
                <w:rStyle w:val="Style14"/>
                <w:rFonts w:eastAsia="PMingLiU" w:cs="Arial" w:ascii="Calibri" w:hAnsi="Calibri"/>
                <w:b w:val="false"/>
                <w:bCs w:val="false"/>
                <w:sz w:val="22"/>
                <w:szCs w:val="22"/>
              </w:rPr>
              <w:tab/>
            </w:r>
            <w:r>
              <w:rPr>
                <w:rStyle w:val="Style14"/>
              </w:rPr>
              <w:t>Общие сведения</w:t>
              <w:tab/>
            </w:r>
          </w:hyperlink>
          <w:r>
            <w:rPr/>
            <w:t>3</w:t>
          </w:r>
        </w:p>
        <w:p>
          <w:pPr>
            <w:pStyle w:val="TOC4"/>
            <w:tabs>
              <w:tab w:val="clear" w:pos="708"/>
              <w:tab w:val="left" w:pos="1120" w:leader="none"/>
              <w:tab w:val="right" w:pos="9911" w:leader="dot"/>
            </w:tabs>
            <w:rPr>
              <w:sz w:val="24"/>
              <w:szCs w:val="24"/>
            </w:rPr>
          </w:pPr>
          <w:r>
            <w:rPr>
              <w:sz w:val="24"/>
              <w:szCs w:val="24"/>
            </w:rPr>
            <w:t>1.1.</w:t>
            <w:tab/>
            <w:t>Обозначения и сокращения</w:t>
            <w:tab/>
            <w:t>3</w:t>
          </w:r>
        </w:p>
        <w:p>
          <w:pPr>
            <w:pStyle w:val="TOC4"/>
            <w:tabs>
              <w:tab w:val="clear" w:pos="708"/>
              <w:tab w:val="left" w:pos="1120" w:leader="none"/>
              <w:tab w:val="right" w:pos="9911" w:leader="dot"/>
            </w:tabs>
            <w:rPr>
              <w:sz w:val="24"/>
              <w:szCs w:val="24"/>
            </w:rPr>
          </w:pPr>
          <w:r>
            <w:rPr>
              <w:sz w:val="24"/>
              <w:szCs w:val="24"/>
            </w:rPr>
            <w:t>1.2.</w:t>
            <w:tab/>
            <w:t>Наименование закупаемого Товара</w:t>
            <w:tab/>
            <w:t>4</w:t>
          </w:r>
        </w:p>
        <w:p>
          <w:pPr>
            <w:pStyle w:val="TOC4"/>
            <w:tabs>
              <w:tab w:val="clear" w:pos="708"/>
              <w:tab w:val="left" w:pos="1120" w:leader="none"/>
              <w:tab w:val="right" w:pos="9911" w:leader="dot"/>
            </w:tabs>
            <w:rPr>
              <w:sz w:val="24"/>
              <w:szCs w:val="24"/>
            </w:rPr>
          </w:pPr>
          <w:r>
            <w:rPr>
              <w:sz w:val="24"/>
              <w:szCs w:val="24"/>
            </w:rPr>
            <w:t>1.3.</w:t>
            <w:tab/>
            <w:t xml:space="preserve">Цель использования закупаемого Товара </w:t>
            <w:tab/>
            <w:t>4</w:t>
          </w:r>
        </w:p>
        <w:p>
          <w:pPr>
            <w:pStyle w:val="TOC4"/>
            <w:tabs>
              <w:tab w:val="clear" w:pos="708"/>
              <w:tab w:val="left" w:pos="1120" w:leader="none"/>
              <w:tab w:val="right" w:pos="9911" w:leader="dot"/>
            </w:tabs>
            <w:rPr>
              <w:sz w:val="24"/>
              <w:szCs w:val="24"/>
            </w:rPr>
          </w:pPr>
          <w:r>
            <w:rPr>
              <w:sz w:val="24"/>
              <w:szCs w:val="24"/>
            </w:rPr>
            <w:t>1.4.</w:t>
            <w:tab/>
            <w:t xml:space="preserve">Существующее положение </w:t>
            <w:tab/>
            <w:t>4</w:t>
          </w:r>
        </w:p>
        <w:p>
          <w:pPr>
            <w:pStyle w:val="TOC4"/>
            <w:tabs>
              <w:tab w:val="clear" w:pos="708"/>
              <w:tab w:val="left" w:pos="1120" w:leader="none"/>
              <w:tab w:val="right" w:pos="9911" w:leader="dot"/>
            </w:tabs>
            <w:rPr>
              <w:sz w:val="24"/>
              <w:szCs w:val="24"/>
            </w:rPr>
          </w:pPr>
          <w:r>
            <w:rPr>
              <w:sz w:val="24"/>
              <w:szCs w:val="24"/>
            </w:rPr>
            <w:t>1.5.</w:t>
            <w:tab/>
            <w:t xml:space="preserve">Информация в отношении исполнения договора, которая должна быть учтена при подготовке заявки (в том числе перечень ресурсов, услуг и документов, предоставляемых заказчиком на этапе исполнения договора) </w:t>
            <w:tab/>
            <w:t>5</w:t>
          </w:r>
        </w:p>
        <w:p>
          <w:pPr>
            <w:pStyle w:val="TOC4"/>
            <w:tabs>
              <w:tab w:val="clear" w:pos="708"/>
              <w:tab w:val="left" w:pos="1120" w:leader="none"/>
              <w:tab w:val="right" w:pos="9911" w:leader="dot"/>
            </w:tabs>
            <w:rPr/>
          </w:pPr>
          <w:hyperlink w:anchor="_Toc75446572">
            <w:r>
              <w:rPr>
                <w:rStyle w:val="Style14"/>
                <w:iCs/>
                <w:sz w:val="24"/>
                <w:szCs w:val="24"/>
              </w:rPr>
              <w:t>1.6.</w:t>
            </w:r>
            <w:r>
              <w:rPr>
                <w:rStyle w:val="Style14"/>
                <w:rFonts w:eastAsia="PMingLiU" w:cs="Arial"/>
                <w:sz w:val="24"/>
                <w:szCs w:val="24"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_Toc75446572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sz w:val="24"/>
                <w:szCs w:val="24"/>
              </w:rPr>
              <w:t xml:space="preserve">Иные требования и сведения общего характера </w:t>
              <w:tab/>
              <w:t>5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8"/>
              <w:tab w:val="left" w:pos="560" w:leader="none"/>
              <w:tab w:val="right" w:pos="9911" w:leader="dot"/>
            </w:tabs>
            <w:rPr/>
          </w:pPr>
          <w:hyperlink w:anchor="_Toc75446573">
            <w:r>
              <w:rPr>
                <w:rStyle w:val="Style14"/>
              </w:rPr>
              <w:t>2.</w:t>
            </w:r>
            <w:r>
              <w:rPr>
                <w:rStyle w:val="Style14"/>
                <w:rFonts w:eastAsia="PMingLiU" w:cs="Arial"/>
                <w:b w:val="false"/>
                <w:bCs w:val="false"/>
              </w:rPr>
              <w:tab/>
            </w:r>
            <w:r>
              <w:rPr>
                <w:rStyle w:val="Style14"/>
                <w:iCs/>
              </w:rPr>
              <w:t xml:space="preserve">Требования к </w:t>
            </w:r>
            <w:r>
              <w:rPr>
                <w:rStyle w:val="Style14"/>
                <w:iCs/>
                <w:lang w:val="en-US"/>
              </w:rPr>
              <w:t>Товару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_Toc75446573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</w:rPr>
              <w:tab/>
              <w:t>5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tabs>
              <w:tab w:val="clear" w:pos="708"/>
              <w:tab w:val="left" w:pos="1120" w:leader="none"/>
              <w:tab w:val="right" w:pos="9911" w:leader="dot"/>
            </w:tabs>
            <w:rPr/>
          </w:pPr>
          <w:hyperlink w:anchor="_Toc75446574">
            <w:r>
              <w:rPr>
                <w:rStyle w:val="Style14"/>
                <w:iCs/>
                <w:sz w:val="24"/>
                <w:szCs w:val="24"/>
              </w:rPr>
              <w:t>2.1.</w:t>
            </w:r>
            <w:r>
              <w:rPr>
                <w:rStyle w:val="Style14"/>
                <w:rFonts w:eastAsia="PMingLiU" w:cs="Arial"/>
                <w:sz w:val="24"/>
                <w:szCs w:val="24"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_Toc75446574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sz w:val="24"/>
                <w:szCs w:val="24"/>
              </w:rPr>
              <w:t>Требования к объемам и срокам поставки</w:t>
              <w:tab/>
              <w:t>5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3"/>
            <w:tabs>
              <w:tab w:val="clear" w:pos="708"/>
              <w:tab w:val="left" w:pos="1120" w:leader="none"/>
              <w:tab w:val="right" w:pos="9911" w:leader="dot"/>
            </w:tabs>
            <w:rPr/>
          </w:pPr>
          <w:hyperlink w:anchor="_Toc75446575">
            <w:r>
              <w:rPr>
                <w:rStyle w:val="Style14"/>
                <w:sz w:val="24"/>
                <w:szCs w:val="24"/>
              </w:rPr>
              <w:t>2.1.1.</w:t>
            </w:r>
            <w:r>
              <w:rPr>
                <w:rStyle w:val="Style14"/>
                <w:rFonts w:eastAsia="PMingLiU" w:cs="Arial"/>
                <w:sz w:val="24"/>
                <w:szCs w:val="24"/>
              </w:rPr>
              <w:tab/>
            </w:r>
            <w:r>
              <w:rPr>
                <w:rStyle w:val="Style14"/>
                <w:sz w:val="24"/>
                <w:szCs w:val="24"/>
              </w:rPr>
              <w:t xml:space="preserve">Перечень и объем закупаемого </w:t>
            </w:r>
            <w:r>
              <w:rPr>
                <w:rStyle w:val="Style14"/>
                <w:sz w:val="24"/>
                <w:szCs w:val="24"/>
                <w:lang w:val="en-US"/>
              </w:rPr>
              <w:t>Товара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_Toc75446575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sz w:val="24"/>
                <w:szCs w:val="24"/>
              </w:rPr>
              <w:tab/>
              <w:t>5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8"/>
              <w:tab w:val="right" w:pos="9911" w:leader="dot"/>
            </w:tabs>
            <w:rPr/>
          </w:pPr>
          <w:hyperlink w:anchor="_Toc75446576">
            <w:r>
              <w:rPr>
                <w:rStyle w:val="Style14"/>
              </w:rPr>
              <w:t xml:space="preserve">Таблица 1.1 Перечень и объем закупаемого </w:t>
            </w:r>
            <w:r>
              <w:rPr>
                <w:rStyle w:val="Style14"/>
                <w:lang w:val="en-US"/>
              </w:rPr>
              <w:t>Товара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_Toc75446576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</w:rPr>
              <w:tab/>
              <w:t>5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8"/>
              <w:tab w:val="right" w:pos="9911" w:leader="dot"/>
            </w:tabs>
            <w:rPr/>
          </w:pPr>
          <w:hyperlink w:anchor="_Toc75446577">
            <w:r>
              <w:rPr>
                <w:rStyle w:val="Style14"/>
              </w:rPr>
              <w:t>Таблица 1.2 Перечень и объем закупаемых сопутствующих услуг</w:t>
              <w:tab/>
            </w:r>
          </w:hyperlink>
          <w:r>
            <w:rPr/>
            <w:t>5</w:t>
          </w:r>
        </w:p>
        <w:p>
          <w:pPr>
            <w:pStyle w:val="TOC3"/>
            <w:tabs>
              <w:tab w:val="clear" w:pos="708"/>
              <w:tab w:val="left" w:pos="1120" w:leader="none"/>
              <w:tab w:val="right" w:pos="9911" w:leader="dot"/>
            </w:tabs>
            <w:rPr>
              <w:sz w:val="24"/>
              <w:szCs w:val="24"/>
            </w:rPr>
          </w:pPr>
          <w:r>
            <w:rPr>
              <w:sz w:val="24"/>
              <w:szCs w:val="24"/>
            </w:rPr>
            <w:t>2.1.2.</w:t>
            <w:tab/>
            <w:t>Требования к срокам поставки Товара и оказания сопутствующих услуг</w:t>
            <w:tab/>
            <w:t>6</w:t>
          </w:r>
        </w:p>
        <w:p>
          <w:pPr>
            <w:pStyle w:val="TOC1"/>
            <w:tabs>
              <w:tab w:val="clear" w:pos="708"/>
              <w:tab w:val="right" w:pos="9911" w:leader="dot"/>
            </w:tabs>
            <w:rPr/>
          </w:pPr>
          <w:hyperlink w:anchor="_Toc75446579">
            <w:r>
              <w:rPr>
                <w:rStyle w:val="Style14"/>
              </w:rPr>
              <w:t xml:space="preserve">Таблица 2.1 Требования по срокам поставки </w:t>
            </w:r>
            <w:r>
              <w:rPr>
                <w:rStyle w:val="Style14"/>
                <w:lang w:val="en-US"/>
              </w:rPr>
              <w:t>Товара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_Toc75446579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</w:rPr>
              <w:tab/>
              <w:t>6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8"/>
              <w:tab w:val="right" w:pos="9911" w:leader="dot"/>
            </w:tabs>
            <w:rPr/>
          </w:pPr>
          <w:hyperlink w:anchor="_Toc75446580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_Toc75446580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</w:rPr>
              <w:t>Таблица 2.2 Требования по срокам оказания сопутствующих услуг</w:t>
              <w:tab/>
              <w:t>6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tabs>
              <w:tab w:val="clear" w:pos="708"/>
              <w:tab w:val="left" w:pos="1120" w:leader="none"/>
              <w:tab w:val="right" w:pos="9911" w:leader="dot"/>
            </w:tabs>
            <w:rPr>
              <w:sz w:val="24"/>
              <w:szCs w:val="24"/>
            </w:rPr>
          </w:pPr>
          <w:r>
            <w:rPr>
              <w:sz w:val="24"/>
              <w:szCs w:val="24"/>
            </w:rPr>
            <w:t>2.2.</w:t>
            <w:tab/>
            <w:t>Требования к качеству Товара</w:t>
            <w:tab/>
            <w:t>7</w:t>
          </w:r>
        </w:p>
        <w:p>
          <w:pPr>
            <w:pStyle w:val="TOC1"/>
            <w:tabs>
              <w:tab w:val="clear" w:pos="708"/>
              <w:tab w:val="right" w:pos="9911" w:leader="dot"/>
            </w:tabs>
            <w:rPr/>
          </w:pPr>
          <w:hyperlink w:anchor="_Toc75446582">
            <w:r>
              <w:rPr>
                <w:rStyle w:val="Style14"/>
              </w:rPr>
              <w:t>Таблица</w:t>
            </w:r>
          </w:hyperlink>
          <w:r>
            <w:rPr>
              <w:color w:val="000000"/>
            </w:rPr>
            <w:t> </w:t>
          </w:r>
          <w:hyperlink w:anchor="_Toc75446582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_Toc75446582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</w:rPr>
              <w:t>3. Требования к Товару</w:t>
              <w:tab/>
              <w:t>7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8"/>
              <w:tab w:val="left" w:pos="560" w:leader="none"/>
              <w:tab w:val="right" w:pos="9911" w:leader="dot"/>
            </w:tabs>
            <w:rPr/>
          </w:pPr>
          <w:hyperlink w:anchor="_Toc75446583">
            <w:r>
              <w:rPr>
                <w:rStyle w:val="Style14"/>
              </w:rPr>
              <w:t>3.</w:t>
            </w:r>
            <w:r>
              <w:rPr>
                <w:rStyle w:val="Style14"/>
                <w:rFonts w:eastAsia="PMingLiU" w:cs="Arial"/>
                <w:b w:val="false"/>
                <w:bCs w:val="false"/>
              </w:rPr>
              <w:tab/>
            </w:r>
            <w:r>
              <w:rPr>
                <w:rStyle w:val="Style14"/>
              </w:rPr>
              <w:t>Требования к документации по ценообразованию на этапе закупки</w:t>
              <w:tab/>
            </w:r>
          </w:hyperlink>
          <w:r>
            <w:rPr/>
            <w:t>78</w:t>
          </w:r>
        </w:p>
        <w:p>
          <w:pPr>
            <w:pStyle w:val="TOC1"/>
            <w:tabs>
              <w:tab w:val="clear" w:pos="708"/>
              <w:tab w:val="left" w:pos="560" w:leader="none"/>
              <w:tab w:val="right" w:pos="9911" w:leader="dot"/>
            </w:tabs>
            <w:rPr/>
          </w:pPr>
          <w:r>
            <w:rPr/>
            <w:t>4</w:t>
          </w:r>
          <w:hyperlink w:anchor="_Toc75446585">
            <w:r>
              <w:rPr>
                <w:rStyle w:val="Style14"/>
              </w:rPr>
              <w:t>.</w:t>
            </w:r>
            <w:r>
              <w:rPr>
                <w:rStyle w:val="Style14"/>
                <w:rFonts w:eastAsia="PMingLiU" w:cs="Arial"/>
                <w:b w:val="false"/>
                <w:bCs w:val="false"/>
              </w:rPr>
              <w:tab/>
            </w:r>
            <w:r>
              <w:rPr>
                <w:rStyle w:val="Style14"/>
                <w:iCs/>
              </w:rPr>
              <w:t>Приложения</w:t>
            </w:r>
            <w:r>
              <w:rPr>
                <w:rStyle w:val="Style14"/>
              </w:rPr>
              <w:tab/>
            </w:r>
          </w:hyperlink>
          <w:r>
            <w:rPr/>
            <w:t>79</w:t>
          </w:r>
          <w:r>
            <w:rPr/>
            <w:fldChar w:fldCharType="end"/>
          </w:r>
        </w:p>
      </w:sdtContent>
    </w:sdt>
    <w:p>
      <w:pPr>
        <w:pStyle w:val="Heading2"/>
        <w:tabs>
          <w:tab w:val="clear" w:pos="0"/>
        </w:tabs>
        <w:ind w:left="0" w:hanging="0"/>
        <w:rPr>
          <w:b w:val="false"/>
          <w:i/>
          <w:i/>
        </w:rPr>
      </w:pPr>
      <w:r>
        <w:rPr/>
        <w:t>4.1.Приложение №1 к ТТ…………………………………………………………………………</w:t>
      </w:r>
      <w:r>
        <w:rPr>
          <w:b w:val="false"/>
          <w:i/>
        </w:rPr>
        <w:t>...</w:t>
      </w:r>
      <w:r>
        <w:rPr/>
        <w:t>80</w:t>
      </w:r>
    </w:p>
    <w:p>
      <w:pPr>
        <w:pStyle w:val="Normal"/>
        <w:keepNext w:val="true"/>
        <w:keepLines/>
        <w:jc w:val="center"/>
        <w:rPr>
          <w:rFonts w:eastAsia="Calibri"/>
          <w:b/>
          <w:i/>
          <w:i/>
          <w:sz w:val="24"/>
          <w:szCs w:val="24"/>
        </w:rPr>
      </w:pPr>
      <w:r>
        <w:rPr>
          <w:rFonts w:eastAsia="Calibri"/>
          <w:b/>
          <w:i/>
          <w:sz w:val="24"/>
          <w:szCs w:val="24"/>
        </w:rPr>
      </w:r>
      <w:r>
        <w:br w:type="page"/>
      </w:r>
    </w:p>
    <w:p>
      <w:pPr>
        <w:pStyle w:val="Heading1"/>
        <w:keepLines/>
        <w:numPr>
          <w:ilvl w:val="0"/>
          <w:numId w:val="3"/>
        </w:numPr>
        <w:ind w:left="357" w:hanging="357"/>
        <w:jc w:val="center"/>
        <w:rPr>
          <w:caps/>
          <w:lang w:val="ru-RU"/>
        </w:rPr>
      </w:pPr>
      <w:bookmarkStart w:id="0" w:name="_Toc75446566"/>
      <w:bookmarkStart w:id="1" w:name="_Toc51339692"/>
      <w:r>
        <w:rPr>
          <w:lang w:val="ru-RU"/>
        </w:rPr>
        <w:t>Общие сведения</w:t>
      </w:r>
      <w:bookmarkEnd w:id="0"/>
      <w:bookmarkEnd w:id="1"/>
    </w:p>
    <w:p>
      <w:pPr>
        <w:pStyle w:val="Heading4"/>
        <w:numPr>
          <w:ilvl w:val="1"/>
          <w:numId w:val="3"/>
        </w:numPr>
        <w:rPr/>
      </w:pPr>
      <w:bookmarkStart w:id="2" w:name="_Toc75446567"/>
      <w:bookmarkStart w:id="3" w:name="_Toc46743505"/>
      <w:r>
        <w:rPr/>
        <w:t>Обозначения и сокращения</w:t>
      </w:r>
      <w:bookmarkEnd w:id="2"/>
      <w:bookmarkEnd w:id="3"/>
    </w:p>
    <w:p>
      <w:pPr>
        <w:pStyle w:val="Normal"/>
        <w:rPr>
          <w:rStyle w:val="Style8"/>
          <w:b w:val="false"/>
          <w:bCs/>
          <w:iCs/>
          <w:sz w:val="26"/>
          <w:szCs w:val="26"/>
        </w:rPr>
      </w:pPr>
      <w:r>
        <w:rPr>
          <w:b w:val="false"/>
          <w:bCs/>
          <w:iCs/>
          <w:sz w:val="26"/>
          <w:szCs w:val="26"/>
        </w:rPr>
      </w:r>
    </w:p>
    <w:tbl>
      <w:tblPr>
        <w:tblW w:w="5000" w:type="pct"/>
        <w:jc w:val="left"/>
        <w:tblInd w:w="-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noVBand="0" w:val="0000" w:noHBand="0" w:lastColumn="0" w:firstColumn="0" w:lastRow="0" w:firstRow="0"/>
      </w:tblPr>
      <w:tblGrid>
        <w:gridCol w:w="1522"/>
        <w:gridCol w:w="8398"/>
      </w:tblGrid>
      <w:tr>
        <w:trPr/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ТТ</w:t>
            </w:r>
          </w:p>
        </w:tc>
        <w:tc>
          <w:tcPr>
            <w:tcW w:w="8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>
                <w:bCs/>
                <w:i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Технические требования</w:t>
            </w:r>
            <w:r>
              <w:rPr>
                <w:rStyle w:val="Style8"/>
                <w:bCs/>
                <w:i w:val="false"/>
                <w:sz w:val="24"/>
                <w:szCs w:val="24"/>
                <w:shd w:fill="FFFFFF" w:val="clear"/>
              </w:rPr>
              <w:t xml:space="preserve"> </w:t>
            </w:r>
          </w:p>
        </w:tc>
      </w:tr>
      <w:tr>
        <w:trPr/>
        <w:tc>
          <w:tcPr>
            <w:tcW w:w="152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СТО</w:t>
            </w:r>
          </w:p>
        </w:tc>
        <w:tc>
          <w:tcPr>
            <w:tcW w:w="83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jc w:val="both"/>
              <w:rPr/>
            </w:pPr>
            <w:r>
              <w:rPr>
                <w:sz w:val="24"/>
                <w:szCs w:val="24"/>
              </w:rPr>
              <w:t>стандарт организации</w:t>
            </w:r>
            <w:r>
              <w:rPr>
                <w:rStyle w:val="Style8"/>
                <w:b w:val="false"/>
                <w:bCs/>
                <w:i w:val="false"/>
                <w:sz w:val="24"/>
                <w:szCs w:val="24"/>
              </w:rPr>
              <w:t xml:space="preserve"> </w:t>
            </w:r>
          </w:p>
        </w:tc>
      </w:tr>
      <w:tr>
        <w:trPr/>
        <w:tc>
          <w:tcPr>
            <w:tcW w:w="152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/>
            </w:pPr>
            <w:r>
              <w:rPr>
                <w:rStyle w:val="Style8"/>
                <w:b w:val="false"/>
                <w:i w:val="false"/>
                <w:sz w:val="24"/>
                <w:szCs w:val="24"/>
                <w:shd w:fill="FFFFFF" w:val="clear"/>
              </w:rPr>
              <w:t>ГЭС</w:t>
            </w:r>
          </w:p>
        </w:tc>
        <w:tc>
          <w:tcPr>
            <w:tcW w:w="83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/>
            </w:pPr>
            <w:r>
              <w:rPr>
                <w:rStyle w:val="Style8"/>
                <w:b w:val="false"/>
                <w:i w:val="false"/>
                <w:sz w:val="24"/>
                <w:szCs w:val="24"/>
                <w:shd w:fill="FFFFFF" w:val="clear"/>
              </w:rPr>
              <w:t>Гидроэлектростанция</w:t>
            </w:r>
          </w:p>
        </w:tc>
      </w:tr>
      <w:tr>
        <w:trPr/>
        <w:tc>
          <w:tcPr>
            <w:tcW w:w="152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/>
            </w:pPr>
            <w:r>
              <w:rPr>
                <w:rStyle w:val="Style8"/>
                <w:b w:val="false"/>
                <w:i w:val="false"/>
                <w:sz w:val="24"/>
                <w:szCs w:val="24"/>
                <w:shd w:fill="FFFFFF" w:val="clear"/>
              </w:rPr>
              <w:t>ГАЭС</w:t>
            </w:r>
          </w:p>
        </w:tc>
        <w:tc>
          <w:tcPr>
            <w:tcW w:w="83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/>
            </w:pPr>
            <w:r>
              <w:rPr>
                <w:rStyle w:val="Style8"/>
                <w:b w:val="false"/>
                <w:i w:val="false"/>
                <w:sz w:val="24"/>
                <w:szCs w:val="24"/>
                <w:shd w:fill="FFFFFF" w:val="clear"/>
              </w:rPr>
              <w:t>Гидро-акк</w:t>
            </w:r>
            <w:r>
              <w:rPr>
                <w:rStyle w:val="Style8"/>
                <w:b w:val="false"/>
                <w:i w:val="false"/>
                <w:sz w:val="24"/>
                <w:szCs w:val="24"/>
                <w:shd w:fill="FFFFFF" w:val="clear"/>
                <w:lang w:val="en-US"/>
              </w:rPr>
              <w:t>у</w:t>
            </w:r>
            <w:r>
              <w:rPr>
                <w:rStyle w:val="Style8"/>
                <w:b w:val="false"/>
                <w:i w:val="false"/>
                <w:sz w:val="24"/>
                <w:szCs w:val="24"/>
                <w:shd w:fill="FFFFFF" w:val="clear"/>
              </w:rPr>
              <w:t>мулирующая электростанция</w:t>
            </w:r>
          </w:p>
        </w:tc>
      </w:tr>
    </w:tbl>
    <w:p>
      <w:pPr>
        <w:pStyle w:val="Normal"/>
        <w:keepNext w:val="true"/>
        <w:keepLines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keepNext w:val="true"/>
        <w:keepLines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keepNext w:val="true"/>
        <w:keepLines/>
        <w:rPr>
          <w:sz w:val="24"/>
          <w:szCs w:val="24"/>
        </w:rPr>
      </w:pPr>
      <w:r>
        <w:rPr>
          <w:sz w:val="24"/>
          <w:szCs w:val="24"/>
        </w:rPr>
      </w:r>
      <w:r>
        <w:br w:type="page"/>
      </w:r>
    </w:p>
    <w:p>
      <w:pPr>
        <w:pStyle w:val="Heading4"/>
        <w:numPr>
          <w:ilvl w:val="1"/>
          <w:numId w:val="3"/>
        </w:numPr>
        <w:rPr/>
      </w:pPr>
      <w:bookmarkStart w:id="4" w:name="_Toc46743506"/>
      <w:bookmarkStart w:id="5" w:name="_Toc75446568"/>
      <w:r>
        <w:rPr/>
        <w:t xml:space="preserve">Наименование закупаемого </w:t>
      </w:r>
      <w:bookmarkEnd w:id="4"/>
      <w:bookmarkEnd w:id="5"/>
      <w:r>
        <w:rPr>
          <w:lang w:val="ru-RU"/>
        </w:rPr>
        <w:t>Товара</w:t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both"/>
        <w:rPr>
          <w:sz w:val="24"/>
          <w:szCs w:val="24"/>
        </w:rPr>
      </w:pPr>
      <w:r>
        <w:rPr>
          <w:rFonts w:eastAsia="Calibri"/>
          <w:sz w:val="24"/>
          <w:szCs w:val="24"/>
          <w:lang w:eastAsia="x-none"/>
        </w:rPr>
        <w:t xml:space="preserve"> </w:t>
      </w:r>
      <w:r>
        <w:rPr>
          <w:rFonts w:eastAsia="Calibri"/>
          <w:sz w:val="24"/>
          <w:szCs w:val="24"/>
          <w:lang w:eastAsia="x-none"/>
        </w:rPr>
        <w:t xml:space="preserve">Поставка мобильных насосов для перекачки дизельного топлива, и мобильных бензиновых генераторов (инверторных) для нужд Филиала ПАО «РусГидро»- «Карачаево-Черкесский филиал» </w:t>
      </w:r>
    </w:p>
    <w:p>
      <w:pPr>
        <w:pStyle w:val="Heading4"/>
        <w:numPr>
          <w:ilvl w:val="1"/>
          <w:numId w:val="3"/>
        </w:numPr>
        <w:spacing w:before="240" w:after="60"/>
        <w:ind w:left="431" w:hanging="431"/>
        <w:rPr/>
      </w:pPr>
      <w:bookmarkStart w:id="6" w:name="_Toc75446569"/>
      <w:bookmarkStart w:id="7" w:name="_Toc46743507"/>
      <w:r>
        <w:rPr/>
        <w:t xml:space="preserve">Цель </w:t>
      </w:r>
      <w:bookmarkEnd w:id="7"/>
      <w:r>
        <w:rPr>
          <w:lang w:val="ru-RU"/>
        </w:rPr>
        <w:t xml:space="preserve">использования закупаемого </w:t>
      </w:r>
      <w:bookmarkEnd w:id="6"/>
      <w:r>
        <w:rPr>
          <w:lang w:val="ru-RU"/>
        </w:rPr>
        <w:t>Товара</w:t>
      </w:r>
    </w:p>
    <w:p>
      <w:pPr>
        <w:pStyle w:val="Normal"/>
        <w:ind w:firstLine="567"/>
        <w:jc w:val="both"/>
        <w:rPr/>
      </w:pPr>
      <w:r>
        <w:rPr>
          <w:rStyle w:val="Style8"/>
          <w:b w:val="false"/>
          <w:bCs/>
          <w:i w:val="false"/>
          <w:sz w:val="24"/>
          <w:szCs w:val="24"/>
          <w:shd w:fill="auto" w:val="clear"/>
        </w:rPr>
        <w:t>Закупка осуществляется с целю обеспечения защиты персонала от поражающих факторов БПЛА в процессе тушения пожара.</w:t>
      </w:r>
    </w:p>
    <w:p>
      <w:pPr>
        <w:pStyle w:val="Heading4"/>
        <w:numPr>
          <w:ilvl w:val="1"/>
          <w:numId w:val="3"/>
        </w:numPr>
        <w:rPr/>
      </w:pPr>
      <w:bookmarkStart w:id="8" w:name="_Toc75446570"/>
      <w:bookmarkStart w:id="9" w:name="_Toc46743508"/>
      <w:r>
        <w:rPr/>
        <w:t>Существующее положение</w:t>
      </w:r>
      <w:bookmarkEnd w:id="9"/>
      <w:r>
        <w:rPr>
          <w:lang w:val="ru-RU"/>
        </w:rPr>
        <w:t xml:space="preserve"> </w:t>
      </w:r>
      <w:bookmarkEnd w:id="8"/>
    </w:p>
    <w:p>
      <w:pPr>
        <w:pStyle w:val="Normal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1.4.1. Зеленчукская ГЭС - ГАЭС – деривационная гидроэлектростанция, расположена около поселка Правокубанский и аула Сары-Тюз Карачаевского района Карачаево-Черкесской Республики, в 42 км южнее г. Черкесска.</w:t>
      </w:r>
    </w:p>
    <w:p>
      <w:pPr>
        <w:pStyle w:val="BodyTextIndent"/>
        <w:ind w:left="0" w:firstLine="567"/>
        <w:jc w:val="both"/>
        <w:rPr/>
      </w:pPr>
      <w:r>
        <w:rPr>
          <w:rStyle w:val="Style8"/>
          <w:b w:val="false"/>
          <w:i w:val="false"/>
          <w:shd w:fill="auto" w:val="clear"/>
        </w:rPr>
        <w:t xml:space="preserve">1.4.2. </w:t>
      </w:r>
      <w:r>
        <w:rPr>
          <w:rStyle w:val="Style8"/>
          <w:b w:val="false"/>
          <w:bCs/>
          <w:i w:val="false"/>
          <w:shd w:fill="auto" w:val="clear"/>
        </w:rPr>
        <w:t>Техническая схема Зеленчукской ГЭС- ГАЭС построена на объединении части стока рек Большой и Малый Зеленчуки и переброске объединенного стока в р. Кубань. Забор воды осуществляется из водохранилищ трех однотипных водозаборных гидроузлов, расположенных последовательно на реках Большой Зеленчук, Маруха и Аксаут. По деривационным сооружениям вода из водозаборных гидроузлов поступает в бассейн суточного регулирования (БСР) и из бассейна по напорным трубопроводам и туннелям подается на гидроагрегаты в здание ГЭС-ГАЭС, расположенное вблизи русла р. Кубань. Общая площадь гидротехнического комплекса Зеленчукской ГЭС-ГАЭС по проекту составляет 957 га (согласно актам отвода земельных участков). Комплекс предназначен для энергетических целей.</w:t>
      </w:r>
    </w:p>
    <w:p>
      <w:pPr>
        <w:pStyle w:val="BodyTextIndent"/>
        <w:ind w:left="0" w:firstLine="567"/>
        <w:jc w:val="both"/>
        <w:rPr/>
      </w:pPr>
      <w:r>
        <w:rPr>
          <w:rStyle w:val="Style8"/>
          <w:b w:val="false"/>
          <w:bCs/>
          <w:i w:val="false"/>
          <w:shd w:fill="auto" w:val="clear"/>
        </w:rPr>
        <w:t xml:space="preserve">1.4.3. Площадки существующих сооружений Зеленчукской ГЭС-ГАЭС расположены на высотах 740-1012 м между метеостанциями г. Карачаевск (высота 861 м) и г. Черкесск (высота 525 м). 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>Сейсмичность площадки демонтажа здания – 8 баллов (карта общего сейсмического районирования ОСР-2015).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>Климатические условия в месте расположения Зеленчукской ГЭС-ГАЭС: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>а) Температура воздуха в районе строительства: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максимальная, º С                           </w:t>
        <w:tab/>
        <w:tab/>
        <w:tab/>
        <w:tab/>
        <w:t>+38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минимальная, º С                                            </w:t>
        <w:tab/>
        <w:t xml:space="preserve">            </w:t>
        <w:tab/>
        <w:t>- 31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>- среднегодовая º С                                                                         +8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б) Относительная влажность, %  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среднемесячная максимальная,               </w:t>
        <w:tab/>
        <w:tab/>
        <w:tab/>
        <w:t xml:space="preserve"> </w:t>
        <w:tab/>
        <w:t xml:space="preserve"> 73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среднемесячная минимальная,                </w:t>
        <w:tab/>
        <w:tab/>
        <w:t xml:space="preserve">          </w:t>
        <w:tab/>
        <w:t xml:space="preserve"> </w:t>
        <w:tab/>
        <w:t xml:space="preserve"> 66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в) Среднегодовая скорость ветра, м/с                                </w:t>
        <w:tab/>
        <w:tab/>
        <w:t xml:space="preserve"> 3,1</w:t>
      </w:r>
    </w:p>
    <w:p>
      <w:pPr>
        <w:pStyle w:val="Style37"/>
        <w:tabs>
          <w:tab w:val="clear" w:pos="708"/>
          <w:tab w:val="left" w:pos="6270" w:leader="none"/>
        </w:tabs>
        <w:spacing w:before="0" w:after="0"/>
        <w:ind w:firstLine="567"/>
        <w:jc w:val="both"/>
        <w:rPr/>
      </w:pPr>
      <w:r>
        <w:rPr/>
        <w:t>Согласно СП 131.13330.2020 «Строительная климатология» (с Изменением №1)</w:t>
      </w:r>
      <w:r>
        <w:rPr>
          <w:rStyle w:val="Hyperlink"/>
          <w:color w:val="BF2F1C"/>
        </w:rPr>
        <w:t xml:space="preserve"> </w:t>
      </w:r>
      <w:r>
        <w:rPr/>
        <w:t>актуализированная редакция СНиП 23-01-99* , район реконструкции сооружений Зеленчукской ГЭС-ГАЭС  характеризуется следующими климатическими характеристиками:</w:t>
      </w:r>
    </w:p>
    <w:p>
      <w:pPr>
        <w:pStyle w:val="Style37"/>
        <w:tabs>
          <w:tab w:val="clear" w:pos="708"/>
          <w:tab w:val="left" w:pos="6270" w:leader="none"/>
        </w:tabs>
        <w:spacing w:before="0" w:after="0"/>
        <w:ind w:hanging="0"/>
        <w:rPr/>
      </w:pPr>
      <w:r>
        <w:rPr/>
        <w:t xml:space="preserve">- климатический район строительства – </w:t>
      </w:r>
      <w:r>
        <w:rPr>
          <w:lang w:val="en-US"/>
        </w:rPr>
        <w:t>III</w:t>
      </w:r>
      <w:r>
        <w:rPr/>
        <w:t xml:space="preserve"> - климатический подрайон строительства – </w:t>
      </w:r>
      <w:r>
        <w:rPr>
          <w:lang w:val="en-US"/>
        </w:rPr>
        <w:t>III</w:t>
      </w:r>
      <w:r>
        <w:rPr/>
        <w:t xml:space="preserve"> Б;</w:t>
      </w:r>
    </w:p>
    <w:p>
      <w:pPr>
        <w:pStyle w:val="Style37"/>
        <w:tabs>
          <w:tab w:val="clear" w:pos="708"/>
          <w:tab w:val="left" w:pos="6270" w:leader="none"/>
        </w:tabs>
        <w:spacing w:before="0" w:after="0"/>
        <w:ind w:hanging="0"/>
        <w:rPr/>
      </w:pPr>
      <w:r>
        <w:rPr/>
        <w:t xml:space="preserve">- температура воздуха наиболее холодной пятидневки при обеспеченности 0,92 </w:t>
      </w:r>
      <w:r>
        <w:rPr>
          <w:lang w:val="en-US"/>
        </w:rPr>
        <w:t>t</w:t>
      </w:r>
      <w:r>
        <w:rPr/>
        <w:t xml:space="preserve"> </w:t>
      </w:r>
      <w:r>
        <w:rPr>
          <w:vertAlign w:val="subscript"/>
        </w:rPr>
        <w:t>н</w:t>
      </w:r>
      <w:r>
        <w:rPr/>
        <w:t>= минус 18</w:t>
      </w:r>
      <w:r>
        <w:rPr>
          <w:vertAlign w:val="superscript"/>
        </w:rPr>
        <w:t>0</w:t>
      </w:r>
      <w:r>
        <w:rPr/>
        <w:t>С;</w:t>
      </w:r>
    </w:p>
    <w:p>
      <w:pPr>
        <w:pStyle w:val="Style37"/>
        <w:tabs>
          <w:tab w:val="clear" w:pos="708"/>
          <w:tab w:val="left" w:pos="6270" w:leader="none"/>
        </w:tabs>
        <w:spacing w:before="0" w:after="0"/>
        <w:ind w:hanging="0"/>
        <w:rPr/>
      </w:pPr>
      <w:r>
        <w:rPr/>
        <w:t>- средняя температура периода со среднесуточной температурой наружного воздуха не более минус 8</w:t>
      </w:r>
      <w:r>
        <w:rPr>
          <w:vertAlign w:val="superscript"/>
        </w:rPr>
        <w:t>0</w:t>
      </w:r>
      <w:r>
        <w:rPr/>
        <w:t xml:space="preserve">С – </w:t>
      </w:r>
      <w:r>
        <w:rPr>
          <w:lang w:val="en-US"/>
        </w:rPr>
        <w:t>t</w:t>
      </w:r>
      <w:r>
        <w:rPr>
          <w:vertAlign w:val="subscript"/>
        </w:rPr>
        <w:t xml:space="preserve">ср </w:t>
      </w:r>
      <w:r>
        <w:rPr/>
        <w:t>= минус 0,6</w:t>
      </w:r>
      <w:r>
        <w:rPr>
          <w:vertAlign w:val="superscript"/>
        </w:rPr>
        <w:t>0</w:t>
      </w:r>
      <w:r>
        <w:rPr/>
        <w:t>С;</w:t>
      </w:r>
    </w:p>
    <w:p>
      <w:pPr>
        <w:pStyle w:val="BodyTextIndent"/>
        <w:ind w:left="0" w:hanging="0"/>
        <w:jc w:val="both"/>
        <w:rPr/>
      </w:pPr>
      <w:r>
        <w:rPr>
          <w:rStyle w:val="Style8"/>
          <w:b w:val="false"/>
          <w:bCs/>
          <w:i w:val="false"/>
          <w:shd w:fill="auto" w:val="clear"/>
        </w:rPr>
        <w:t xml:space="preserve">- по расчетному значению веса снегового покрова для </w:t>
      </w:r>
      <w:r>
        <w:rPr>
          <w:rStyle w:val="Style8"/>
          <w:b w:val="false"/>
          <w:bCs/>
          <w:i w:val="false"/>
          <w:shd w:fill="auto" w:val="clear"/>
          <w:lang w:val="en-US"/>
        </w:rPr>
        <w:t>II</w:t>
      </w:r>
      <w:r>
        <w:rPr>
          <w:rStyle w:val="Style8"/>
          <w:b w:val="false"/>
          <w:bCs/>
          <w:i w:val="false"/>
          <w:shd w:fill="auto" w:val="clear"/>
        </w:rPr>
        <w:t xml:space="preserve"> района по СП 20.13330.2016 (с изменением №4), актуализированная редакция СНиП 2.01.07-85* «Нагрузки и воздействия»- кПа=120кгс/м</w:t>
      </w:r>
      <w:r>
        <w:rPr>
          <w:rStyle w:val="Style8"/>
          <w:b w:val="false"/>
          <w:bCs/>
          <w:i w:val="false"/>
          <w:shd w:fill="auto" w:val="clear"/>
          <w:vertAlign w:val="superscript"/>
        </w:rPr>
        <w:t>2.</w:t>
      </w:r>
    </w:p>
    <w:p>
      <w:pPr>
        <w:pStyle w:val="Heading4"/>
        <w:numPr>
          <w:ilvl w:val="1"/>
          <w:numId w:val="3"/>
        </w:numPr>
        <w:rPr/>
      </w:pPr>
      <w:bookmarkStart w:id="10" w:name="_Toc75446571"/>
      <w:bookmarkStart w:id="11" w:name="_Hlk49857604"/>
      <w:bookmarkStart w:id="12" w:name="_Toc46743509"/>
      <w:r>
        <w:rPr/>
        <w:t xml:space="preserve">Информация в отношении исполнения договора, </w:t>
      </w:r>
      <w:bookmarkStart w:id="13" w:name="_Hlk46492347"/>
      <w:r>
        <w:rPr/>
        <w:t xml:space="preserve">которая должна быть учтена при подготовке заявки </w:t>
      </w:r>
      <w:bookmarkEnd w:id="13"/>
      <w:r>
        <w:rPr/>
        <w:t xml:space="preserve">(в том числе перечень ресурсов, услуг и документов, предоставляемых </w:t>
      </w:r>
      <w:r>
        <w:rPr>
          <w:lang w:val="ru-RU"/>
        </w:rPr>
        <w:t>заказчиком</w:t>
      </w:r>
      <w:r>
        <w:rPr/>
        <w:t xml:space="preserve"> на этапе исполнения договора)</w:t>
      </w:r>
      <w:bookmarkEnd w:id="11"/>
      <w:bookmarkEnd w:id="12"/>
      <w:r>
        <w:rPr>
          <w:lang w:val="ru-RU"/>
        </w:rPr>
        <w:t xml:space="preserve"> </w:t>
      </w:r>
      <w:bookmarkEnd w:id="10"/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240"/>
        <w:ind w:firstLine="567"/>
        <w:jc w:val="both"/>
        <w:rPr/>
      </w:pPr>
      <w:r>
        <w:rPr>
          <w:rStyle w:val="Style8"/>
          <w:b w:val="false"/>
          <w:i w:val="false"/>
          <w:sz w:val="24"/>
          <w:szCs w:val="24"/>
          <w:shd w:fill="FFFFFF" w:val="clear"/>
        </w:rPr>
        <w:t>1.5.1. При необходимости, Поставщику предоставляется возможность работы с технической документацией (по заявке) в архиве Зеленчукской ГЭС-ГАЭС (если запрашиваемая</w:t>
      </w:r>
      <w:r>
        <w:rPr>
          <w:rStyle w:val="Style8"/>
          <w:b w:val="false"/>
          <w:iCs/>
          <w:sz w:val="24"/>
          <w:szCs w:val="24"/>
          <w:shd w:fill="FFFFFF" w:val="clear"/>
        </w:rPr>
        <w:t xml:space="preserve"> </w:t>
      </w:r>
      <w:r>
        <w:rPr>
          <w:rStyle w:val="Style8"/>
          <w:b w:val="false"/>
          <w:i w:val="false"/>
          <w:sz w:val="24"/>
          <w:szCs w:val="24"/>
          <w:shd w:fill="FFFFFF" w:val="clear"/>
        </w:rPr>
        <w:t>документация не является ДСП).</w:t>
      </w:r>
    </w:p>
    <w:p>
      <w:pPr>
        <w:pStyle w:val="Heading4"/>
        <w:numPr>
          <w:ilvl w:val="1"/>
          <w:numId w:val="3"/>
        </w:numPr>
        <w:rPr/>
      </w:pPr>
      <w:bookmarkStart w:id="14" w:name="_Toc75446572"/>
      <w:bookmarkStart w:id="15" w:name="_Toc46743510"/>
      <w:bookmarkStart w:id="16" w:name="_Hlk48209761_Копия_1"/>
      <w:bookmarkStart w:id="17" w:name="_Toc50125126"/>
      <w:bookmarkEnd w:id="15"/>
      <w:bookmarkEnd w:id="16"/>
      <w:bookmarkEnd w:id="17"/>
      <w:r>
        <w:rPr/>
        <w:t>Иные требования и сведения общего характера</w:t>
      </w:r>
      <w:r>
        <w:rPr>
          <w:lang w:val="ru-RU"/>
        </w:rPr>
        <w:t xml:space="preserve"> </w:t>
      </w:r>
      <w:bookmarkEnd w:id="14"/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240"/>
        <w:ind w:firstLine="567"/>
        <w:jc w:val="both"/>
        <w:rPr/>
      </w:pPr>
      <w:r>
        <w:rPr>
          <w:rStyle w:val="Style8"/>
          <w:b w:val="false"/>
          <w:bCs/>
          <w:i w:val="false"/>
          <w:sz w:val="24"/>
          <w:szCs w:val="24"/>
          <w:shd w:fill="FFFFFF" w:val="clear"/>
        </w:rPr>
        <w:t xml:space="preserve">1.6.1. </w:t>
      </w:r>
      <w:r>
        <w:rPr>
          <w:rStyle w:val="Style8"/>
          <w:b w:val="false"/>
          <w:bCs/>
          <w:i w:val="false"/>
          <w:sz w:val="24"/>
          <w:szCs w:val="24"/>
          <w:shd w:fill="auto" w:val="clear"/>
        </w:rPr>
        <w:t>Выполняются следующие услуги: поставка Товара и разгрузка в указанном Заказчиком месте (на территории Филиала).</w:t>
      </w:r>
      <w:r>
        <w:rPr>
          <w:rStyle w:val="Style8"/>
          <w:b w:val="false"/>
          <w:bCs/>
          <w:i w:val="false"/>
          <w:sz w:val="24"/>
          <w:szCs w:val="24"/>
          <w:shd w:fill="FFFFFF" w:val="clear"/>
        </w:rPr>
        <w:t xml:space="preserve"> </w:t>
      </w:r>
    </w:p>
    <w:p>
      <w:pPr>
        <w:pStyle w:val="Heading1"/>
        <w:keepLines/>
        <w:numPr>
          <w:ilvl w:val="0"/>
          <w:numId w:val="3"/>
        </w:numPr>
        <w:ind w:left="357" w:hanging="357"/>
        <w:jc w:val="center"/>
        <w:rPr>
          <w:iCs/>
          <w:caps/>
          <w:lang w:val="ru-RU"/>
        </w:rPr>
      </w:pPr>
      <w:bookmarkStart w:id="18" w:name="_Toc51339693"/>
      <w:bookmarkStart w:id="19" w:name="_Toc75446573"/>
      <w:r>
        <w:rPr>
          <w:iCs/>
        </w:rPr>
        <w:t xml:space="preserve">Требования к </w:t>
      </w:r>
      <w:bookmarkEnd w:id="18"/>
      <w:bookmarkEnd w:id="19"/>
      <w:r>
        <w:rPr>
          <w:iCs/>
          <w:lang w:val="en-US"/>
        </w:rPr>
        <w:t>Товару</w:t>
      </w:r>
    </w:p>
    <w:p>
      <w:pPr>
        <w:pStyle w:val="Heading4"/>
        <w:numPr>
          <w:ilvl w:val="1"/>
          <w:numId w:val="3"/>
        </w:numPr>
        <w:rPr/>
      </w:pPr>
      <w:bookmarkStart w:id="20" w:name="_Toc75446574"/>
      <w:r>
        <w:rPr/>
        <w:t xml:space="preserve">Требования к объемам и срокам </w:t>
      </w:r>
      <w:r>
        <w:rPr>
          <w:lang w:val="ru-RU"/>
        </w:rPr>
        <w:t>поставки</w:t>
      </w:r>
      <w:bookmarkEnd w:id="20"/>
    </w:p>
    <w:p>
      <w:pPr>
        <w:pStyle w:val="Heading3"/>
        <w:numPr>
          <w:ilvl w:val="2"/>
          <w:numId w:val="3"/>
        </w:numPr>
        <w:rPr/>
      </w:pPr>
      <w:bookmarkStart w:id="21" w:name="_Toc75446575"/>
      <w:r>
        <w:rPr>
          <w:lang w:val="ru-RU"/>
        </w:rPr>
        <w:t xml:space="preserve">Перечень и объем закупаемого </w:t>
      </w:r>
      <w:bookmarkEnd w:id="21"/>
      <w:r>
        <w:rPr>
          <w:lang w:val="en-US"/>
        </w:rPr>
        <w:t>Товара</w:t>
      </w:r>
    </w:p>
    <w:p>
      <w:pPr>
        <w:pStyle w:val="Heading1"/>
        <w:keepLines/>
        <w:tabs>
          <w:tab w:val="clear" w:pos="0"/>
        </w:tabs>
        <w:spacing w:before="240" w:after="60"/>
        <w:ind w:left="0" w:hanging="0"/>
        <w:jc w:val="right"/>
        <w:rPr>
          <w:sz w:val="24"/>
          <w:szCs w:val="24"/>
        </w:rPr>
      </w:pPr>
      <w:bookmarkStart w:id="22" w:name="_Toc75446576"/>
      <w:bookmarkStart w:id="23" w:name="_Toc51339695"/>
      <w:r>
        <w:rPr>
          <w:sz w:val="24"/>
          <w:szCs w:val="24"/>
        </w:rPr>
        <w:t xml:space="preserve">Таблица </w:t>
      </w:r>
      <w:r>
        <w:rPr>
          <w:sz w:val="24"/>
          <w:szCs w:val="24"/>
          <w:lang w:val="ru-RU"/>
        </w:rPr>
        <w:t>1.1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 xml:space="preserve">Перечень </w:t>
      </w:r>
      <w:bookmarkEnd w:id="23"/>
      <w:r>
        <w:rPr>
          <w:sz w:val="24"/>
          <w:szCs w:val="24"/>
          <w:lang w:val="ru-RU"/>
        </w:rPr>
        <w:t xml:space="preserve">и объем закупаемого </w:t>
      </w:r>
      <w:bookmarkEnd w:id="22"/>
      <w:r>
        <w:rPr>
          <w:sz w:val="24"/>
          <w:szCs w:val="24"/>
          <w:lang w:val="ru-RU"/>
        </w:rPr>
        <w:t>Товара</w:t>
      </w:r>
    </w:p>
    <w:tbl>
      <w:tblPr>
        <w:tblW w:w="9812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0" w:val="0000" w:noHBand="0" w:lastColumn="0" w:firstColumn="0" w:lastRow="0" w:firstRow="0"/>
      </w:tblPr>
      <w:tblGrid>
        <w:gridCol w:w="514"/>
        <w:gridCol w:w="1630"/>
        <w:gridCol w:w="5923"/>
        <w:gridCol w:w="877"/>
        <w:gridCol w:w="868"/>
      </w:tblGrid>
      <w:tr>
        <w:trPr/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ОКДП2</w:t>
            </w:r>
          </w:p>
        </w:tc>
        <w:tc>
          <w:tcPr>
            <w:tcW w:w="5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Товара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</w:t>
            </w:r>
          </w:p>
        </w:tc>
      </w:tr>
      <w:tr>
        <w:trPr>
          <w:trHeight w:val="348" w:hRule="atLeast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rPr/>
            </w:pPr>
            <w:r>
              <w:rPr/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BlockText"/>
              <w:widowControl w:val="false"/>
              <w:shd w:val="clear" w:color="auto" w:fill="FFFFFF"/>
              <w:ind w:left="0" w:right="-2" w:hanging="0"/>
              <w:rPr>
                <w:rFonts w:ascii="Times New Roman" w:hAnsi="Times New Roman" w:eastAsia="Times New Roman" w:cs="Times New Roman"/>
                <w:b w:val="false"/>
                <w:bCs w:val="false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color w:val="auto"/>
                <w:kern w:val="0"/>
                <w:sz w:val="24"/>
                <w:szCs w:val="24"/>
                <w:lang w:val="ru-RU" w:eastAsia="ru-RU" w:bidi="ar-SA"/>
              </w:rPr>
              <w:t>28.13.11.110</w:t>
            </w:r>
          </w:p>
        </w:tc>
        <w:tc>
          <w:tcPr>
            <w:tcW w:w="5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Мобильный насос для перекачки дизельного топлива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>
        <w:trPr/>
        <w:tc>
          <w:tcPr>
            <w:tcW w:w="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rPr/>
            </w:pPr>
            <w:r>
              <w:rPr/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BlockText"/>
              <w:widowControl w:val="false"/>
              <w:shd w:val="clear" w:color="auto" w:fill="FFFFFF"/>
              <w:ind w:left="0" w:right="-2" w:hanging="0"/>
              <w:rPr>
                <w:rFonts w:ascii="Times New Roman" w:hAnsi="Times New Roman" w:eastAsia="Times New Roman" w:cs="Times New Roman"/>
                <w:b w:val="false"/>
                <w:bCs w:val="false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color w:val="auto"/>
                <w:kern w:val="0"/>
                <w:sz w:val="24"/>
                <w:szCs w:val="24"/>
                <w:lang w:val="ru-RU" w:eastAsia="ru-RU" w:bidi="ar-SA"/>
              </w:rPr>
              <w:t xml:space="preserve">27.11.32.120 </w:t>
            </w:r>
          </w:p>
        </w:tc>
        <w:tc>
          <w:tcPr>
            <w:tcW w:w="59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Инверторный бензиновый генератор</w:t>
            </w:r>
          </w:p>
        </w:tc>
        <w:tc>
          <w:tcPr>
            <w:tcW w:w="8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</w:tbl>
    <w:p>
      <w:pPr>
        <w:pStyle w:val="Heading1"/>
        <w:keepLines/>
        <w:tabs>
          <w:tab w:val="clear" w:pos="0"/>
        </w:tabs>
        <w:spacing w:before="240" w:after="60"/>
        <w:ind w:left="0" w:hanging="0"/>
        <w:jc w:val="right"/>
        <w:rPr>
          <w:bCs/>
          <w:i/>
          <w:i/>
          <w:sz w:val="24"/>
          <w:szCs w:val="24"/>
          <w:shd w:fill="FFFF99" w:val="clear"/>
        </w:rPr>
      </w:pPr>
      <w:bookmarkStart w:id="24" w:name="_Toc75446577"/>
      <w:r>
        <w:rPr>
          <w:sz w:val="24"/>
          <w:szCs w:val="24"/>
        </w:rPr>
        <w:t xml:space="preserve">Таблица </w:t>
      </w:r>
      <w:r>
        <w:rPr>
          <w:sz w:val="24"/>
          <w:szCs w:val="24"/>
          <w:lang w:val="ru-RU"/>
        </w:rPr>
        <w:t>1.2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>Перечень и объем закупаемых сопутствующих услуг</w:t>
      </w:r>
      <w:bookmarkEnd w:id="24"/>
    </w:p>
    <w:tbl>
      <w:tblPr>
        <w:tblW w:w="9810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0" w:val="0000" w:noHBand="0" w:lastColumn="0" w:firstColumn="0" w:lastRow="0" w:firstRow="0"/>
      </w:tblPr>
      <w:tblGrid>
        <w:gridCol w:w="848"/>
        <w:gridCol w:w="4849"/>
        <w:gridCol w:w="1996"/>
        <w:gridCol w:w="2116"/>
      </w:tblGrid>
      <w:tr>
        <w:trPr/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4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услуг</w:t>
            </w:r>
          </w:p>
        </w:tc>
        <w:tc>
          <w:tcPr>
            <w:tcW w:w="1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</w:t>
            </w:r>
          </w:p>
        </w:tc>
      </w:tr>
      <w:tr>
        <w:trPr/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>
        <w:trPr/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rPr/>
            </w:pPr>
            <w:r>
              <w:rPr/>
            </w:r>
          </w:p>
        </w:tc>
        <w:tc>
          <w:tcPr>
            <w:tcW w:w="4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>
                <w:rStyle w:val="Style8"/>
                <w:b w:val="false"/>
                <w:bCs/>
                <w:i w:val="false"/>
                <w:sz w:val="24"/>
                <w:szCs w:val="24"/>
                <w:shd w:fill="auto" w:val="clear"/>
              </w:rPr>
              <w:t>Доставка ТМЦ</w:t>
            </w:r>
          </w:p>
        </w:tc>
        <w:tc>
          <w:tcPr>
            <w:tcW w:w="1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eastAsia="Calibri"/>
                <w:lang w:val="uk-UA" w:eastAsia="en-US"/>
              </w:rPr>
            </w:pPr>
            <w:r>
              <w:rPr>
                <w:rFonts w:eastAsia="Calibri"/>
                <w:sz w:val="24"/>
                <w:szCs w:val="24"/>
                <w:lang w:val="uk-UA" w:eastAsia="en-US"/>
              </w:rPr>
              <w:t>Усл.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</w:tbl>
    <w:p>
      <w:pPr>
        <w:pStyle w:val="Heading3"/>
        <w:numPr>
          <w:ilvl w:val="2"/>
          <w:numId w:val="3"/>
        </w:numPr>
        <w:rPr>
          <w:lang w:val="ru-RU"/>
        </w:rPr>
      </w:pPr>
      <w:bookmarkStart w:id="25" w:name="_Toc75446578"/>
      <w:bookmarkStart w:id="26" w:name="_Toc51339696"/>
      <w:r>
        <w:rPr>
          <w:lang w:val="ru-RU"/>
        </w:rPr>
        <w:t xml:space="preserve">Требования </w:t>
      </w:r>
      <w:bookmarkEnd w:id="26"/>
      <w:r>
        <w:rPr>
          <w:lang w:val="ru-RU"/>
        </w:rPr>
        <w:t>к срокам поставки Товара и оказанию сопутствующих услуг</w:t>
      </w:r>
      <w:bookmarkEnd w:id="25"/>
    </w:p>
    <w:p>
      <w:pPr>
        <w:pStyle w:val="Heading1"/>
        <w:keepLines/>
        <w:tabs>
          <w:tab w:val="clear" w:pos="0"/>
        </w:tabs>
        <w:spacing w:before="240" w:after="60"/>
        <w:ind w:left="0" w:hanging="0"/>
        <w:jc w:val="right"/>
        <w:rPr>
          <w:sz w:val="24"/>
          <w:szCs w:val="24"/>
          <w:lang w:val="ru-RU"/>
        </w:rPr>
      </w:pPr>
      <w:bookmarkStart w:id="27" w:name="_Toc75446579"/>
      <w:bookmarkStart w:id="28" w:name="_Toc50125127"/>
      <w:bookmarkStart w:id="29" w:name="_Toc51339697"/>
      <w:bookmarkStart w:id="30" w:name="_Toc50125126_Копия_1"/>
      <w:bookmarkEnd w:id="30"/>
      <w:r>
        <w:rPr>
          <w:sz w:val="24"/>
          <w:szCs w:val="24"/>
        </w:rPr>
        <w:t xml:space="preserve">Таблица </w:t>
      </w:r>
      <w:r>
        <w:rPr>
          <w:sz w:val="24"/>
          <w:szCs w:val="24"/>
          <w:lang w:val="ru-RU"/>
        </w:rPr>
        <w:t>2</w:t>
      </w:r>
      <w:r>
        <w:rPr>
          <w:sz w:val="24"/>
          <w:szCs w:val="24"/>
        </w:rPr>
        <w:t>.</w:t>
      </w:r>
      <w:r>
        <w:rPr>
          <w:sz w:val="24"/>
          <w:szCs w:val="24"/>
          <w:lang w:val="ru-RU"/>
        </w:rPr>
        <w:t>1</w:t>
      </w:r>
      <w:r>
        <w:rPr>
          <w:sz w:val="24"/>
          <w:szCs w:val="24"/>
        </w:rPr>
        <w:t xml:space="preserve"> </w:t>
      </w:r>
      <w:bookmarkStart w:id="31" w:name="_Hlk50465284"/>
      <w:r>
        <w:rPr>
          <w:sz w:val="24"/>
          <w:szCs w:val="24"/>
        </w:rPr>
        <w:t xml:space="preserve">Требования по срокам </w:t>
      </w:r>
      <w:bookmarkEnd w:id="28"/>
      <w:bookmarkEnd w:id="29"/>
      <w:bookmarkEnd w:id="31"/>
      <w:r>
        <w:rPr>
          <w:sz w:val="24"/>
          <w:szCs w:val="24"/>
          <w:lang w:val="ru-RU"/>
        </w:rPr>
        <w:t xml:space="preserve">поставки </w:t>
      </w:r>
      <w:bookmarkEnd w:id="27"/>
      <w:r>
        <w:rPr>
          <w:sz w:val="24"/>
          <w:szCs w:val="24"/>
          <w:lang w:val="ru-RU"/>
        </w:rPr>
        <w:t>Товара</w:t>
      </w:r>
    </w:p>
    <w:tbl>
      <w:tblPr>
        <w:tblW w:w="10039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0" w:val="0000" w:noHBand="0" w:lastColumn="0" w:firstColumn="0" w:lastRow="0" w:firstRow="0"/>
      </w:tblPr>
      <w:tblGrid>
        <w:gridCol w:w="846"/>
        <w:gridCol w:w="4111"/>
        <w:gridCol w:w="2558"/>
        <w:gridCol w:w="2523"/>
      </w:tblGrid>
      <w:tr>
        <w:trPr/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t>п/п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Наименование </w:t>
            </w:r>
            <w:r>
              <w:rPr>
                <w:sz w:val="24"/>
                <w:szCs w:val="24"/>
                <w:lang w:val="en-US"/>
              </w:rPr>
              <w:t>Товара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началу срока поставки Товара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окончанию срока поставки Товара</w:t>
            </w:r>
          </w:p>
        </w:tc>
      </w:tr>
      <w:tr>
        <w:trPr/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9"/>
              <w:keepNext w:val="false"/>
              <w:widowControl w:val="false"/>
              <w:spacing w:before="40" w:after="4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9"/>
              <w:keepNext w:val="false"/>
              <w:widowControl w:val="false"/>
              <w:spacing w:before="40" w:after="4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>
        <w:trPr/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8"/>
              </w:numPr>
              <w:rPr/>
            </w:pPr>
            <w:r>
              <w:rPr/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rStyle w:val="Style8"/>
                <w:b w:val="false"/>
                <w:bCs/>
                <w:i w:val="false"/>
                <w:color w:val="000000"/>
                <w:sz w:val="24"/>
                <w:szCs w:val="24"/>
                <w:shd w:fill="auto" w:val="clear"/>
                <w:lang w:val="en-US"/>
              </w:rPr>
              <w:t>Мобильный насос для перекачки дизельного топлива, инверторный бензиновый генератор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с даты заключения договора 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01</w:t>
            </w:r>
            <w:r>
              <w:rPr>
                <w:sz w:val="24"/>
                <w:szCs w:val="24"/>
              </w:rPr>
              <w:t>.10.2026</w:t>
            </w:r>
          </w:p>
        </w:tc>
      </w:tr>
    </w:tbl>
    <w:p>
      <w:pPr>
        <w:pStyle w:val="Heading1"/>
        <w:tabs>
          <w:tab w:val="clear" w:pos="0"/>
        </w:tabs>
        <w:ind w:left="0" w:hanging="0"/>
        <w:rPr>
          <w:sz w:val="24"/>
          <w:szCs w:val="24"/>
        </w:rPr>
      </w:pPr>
      <w:r>
        <w:rPr>
          <w:sz w:val="24"/>
          <w:szCs w:val="24"/>
        </w:rPr>
      </w:r>
      <w:bookmarkStart w:id="32" w:name="_Toc46743510_Копия_1"/>
      <w:bookmarkStart w:id="33" w:name="_Toc46743510_Копия_1"/>
      <w:bookmarkEnd w:id="33"/>
    </w:p>
    <w:p>
      <w:pPr>
        <w:pStyle w:val="Heading1"/>
        <w:tabs>
          <w:tab w:val="clear" w:pos="0"/>
        </w:tabs>
        <w:ind w:left="0" w:hanging="0"/>
        <w:jc w:val="right"/>
        <w:rPr>
          <w:bCs/>
          <w:i/>
          <w:i/>
          <w:iCs/>
          <w:sz w:val="24"/>
          <w:szCs w:val="24"/>
          <w:shd w:fill="FFFF99" w:val="clear"/>
        </w:rPr>
      </w:pPr>
      <w:bookmarkStart w:id="34" w:name="_Toc75446580"/>
      <w:r>
        <w:rPr>
          <w:sz w:val="24"/>
          <w:szCs w:val="24"/>
        </w:rPr>
        <w:t xml:space="preserve">Таблица </w:t>
      </w:r>
      <w:r>
        <w:rPr>
          <w:sz w:val="24"/>
          <w:szCs w:val="24"/>
          <w:lang w:val="ru-RU"/>
        </w:rPr>
        <w:t>2</w:t>
      </w:r>
      <w:r>
        <w:rPr>
          <w:sz w:val="24"/>
          <w:szCs w:val="24"/>
        </w:rPr>
        <w:t>.</w:t>
      </w:r>
      <w:r>
        <w:rPr>
          <w:sz w:val="24"/>
          <w:szCs w:val="24"/>
          <w:lang w:val="ru-RU"/>
        </w:rPr>
        <w:t>2</w:t>
      </w:r>
      <w:r>
        <w:rPr>
          <w:sz w:val="24"/>
          <w:szCs w:val="24"/>
        </w:rPr>
        <w:t xml:space="preserve"> Требования по срокам </w:t>
      </w:r>
      <w:r>
        <w:rPr>
          <w:sz w:val="24"/>
          <w:szCs w:val="24"/>
          <w:lang w:val="ru-RU"/>
        </w:rPr>
        <w:t xml:space="preserve">оказания </w:t>
      </w:r>
      <w:r>
        <w:rPr>
          <w:sz w:val="24"/>
          <w:szCs w:val="24"/>
        </w:rPr>
        <w:t>сопутствующих услуг</w:t>
      </w:r>
      <w:bookmarkEnd w:id="34"/>
    </w:p>
    <w:tbl>
      <w:tblPr>
        <w:tblW w:w="9915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0" w:val="0000" w:noHBand="0" w:lastColumn="0" w:firstColumn="0" w:lastRow="0" w:firstRow="0"/>
      </w:tblPr>
      <w:tblGrid>
        <w:gridCol w:w="1117"/>
        <w:gridCol w:w="4598"/>
        <w:gridCol w:w="2272"/>
        <w:gridCol w:w="1927"/>
      </w:tblGrid>
      <w:tr>
        <w:trPr/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t>п/п</w:t>
            </w:r>
          </w:p>
        </w:tc>
        <w:tc>
          <w:tcPr>
            <w:tcW w:w="4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услуг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9"/>
              <w:keepNext w:val="false"/>
              <w:widowControl w:val="false"/>
              <w:spacing w:before="40" w:after="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началу срока оказания услуг</w:t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9"/>
              <w:keepNext w:val="false"/>
              <w:widowControl w:val="false"/>
              <w:spacing w:before="40" w:after="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окончанию срока оказания услуг</w:t>
            </w:r>
          </w:p>
        </w:tc>
      </w:tr>
      <w:tr>
        <w:trPr/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4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>
                <w:sz w:val="24"/>
                <w:szCs w:val="24"/>
              </w:rPr>
            </w:pPr>
            <w:r>
              <w:rPr>
                <w:rStyle w:val="Style8"/>
                <w:rFonts w:eastAsia="Calibri"/>
                <w:b w:val="false"/>
                <w:bCs/>
                <w:i w:val="false"/>
                <w:sz w:val="24"/>
                <w:szCs w:val="24"/>
                <w:shd w:fill="auto" w:val="clear"/>
                <w:lang w:eastAsia="x-none"/>
              </w:rPr>
              <w:t xml:space="preserve">Поставка мобильных насосов для перекачки дизельного топлива, и мобильных бензиновых генераторов (инверторных) для нужд Филиала ПАО «РусГидро»- «Карачаево-Черкесский филиал» 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даты заключения договора</w:t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01.10.2026</w:t>
            </w:r>
          </w:p>
        </w:tc>
      </w:tr>
    </w:tbl>
    <w:p>
      <w:pPr>
        <w:sectPr>
          <w:headerReference w:type="default" r:id="rId2"/>
          <w:headerReference w:type="first" r:id="rId3"/>
          <w:type w:val="nextPage"/>
          <w:pgSz w:w="11906" w:h="16838"/>
          <w:pgMar w:left="1134" w:right="851" w:gutter="0" w:header="680" w:top="1134" w:footer="0" w:bottom="992"/>
          <w:pgNumType w:fmt="decimal"/>
          <w:formProt w:val="false"/>
          <w:titlePg/>
          <w:textDirection w:val="lrTb"/>
          <w:docGrid w:type="default" w:linePitch="360" w:charSpace="0"/>
        </w:sectPr>
      </w:pPr>
    </w:p>
    <w:p>
      <w:pPr>
        <w:pStyle w:val="Heading4"/>
        <w:numPr>
          <w:ilvl w:val="1"/>
          <w:numId w:val="3"/>
        </w:numPr>
        <w:rPr/>
      </w:pPr>
      <w:bookmarkStart w:id="35" w:name="_Toc51339698"/>
      <w:bookmarkStart w:id="36" w:name="_Toc75446581"/>
      <w:bookmarkStart w:id="37" w:name="_Toc46743511"/>
      <w:r>
        <w:rPr/>
        <w:t xml:space="preserve">Требования к </w:t>
      </w:r>
      <w:bookmarkEnd w:id="37"/>
      <w:r>
        <w:rPr>
          <w:lang w:val="ru-RU"/>
        </w:rPr>
        <w:t xml:space="preserve">качеству </w:t>
      </w:r>
      <w:bookmarkEnd w:id="36"/>
      <w:r>
        <w:rPr>
          <w:lang w:val="en-US"/>
        </w:rPr>
        <w:t>Товара</w:t>
      </w:r>
    </w:p>
    <w:p>
      <w:pPr>
        <w:pStyle w:val="Heading1"/>
        <w:keepLines/>
        <w:tabs>
          <w:tab w:val="clear" w:pos="0"/>
        </w:tabs>
        <w:spacing w:before="240" w:after="60"/>
        <w:ind w:left="0" w:hanging="0"/>
        <w:jc w:val="right"/>
        <w:rPr>
          <w:sz w:val="24"/>
          <w:szCs w:val="24"/>
          <w:lang w:val="en-US"/>
        </w:rPr>
      </w:pPr>
      <w:r>
        <w:rPr>
          <w:sz w:val="24"/>
          <w:szCs w:val="24"/>
        </w:rPr>
        <w:t xml:space="preserve"> </w:t>
      </w:r>
      <w:bookmarkStart w:id="38" w:name="_Toc75446582"/>
      <w:r>
        <w:rPr>
          <w:sz w:val="24"/>
          <w:szCs w:val="24"/>
        </w:rPr>
        <w:t>Таблица </w:t>
      </w:r>
      <w:r>
        <w:rPr>
          <w:sz w:val="24"/>
          <w:szCs w:val="24"/>
          <w:lang w:val="ru-RU"/>
        </w:rPr>
        <w:t>3</w:t>
      </w:r>
      <w:r>
        <w:rPr>
          <w:sz w:val="24"/>
          <w:szCs w:val="24"/>
        </w:rPr>
        <w:t xml:space="preserve">. Требования к </w:t>
      </w:r>
      <w:bookmarkEnd w:id="35"/>
      <w:bookmarkEnd w:id="38"/>
      <w:r>
        <w:rPr>
          <w:sz w:val="24"/>
          <w:szCs w:val="24"/>
          <w:lang w:val="en-US"/>
        </w:rPr>
        <w:t>Товару</w:t>
      </w:r>
    </w:p>
    <w:p>
      <w:pPr>
        <w:pStyle w:val="Normal"/>
        <w:rPr/>
      </w:pPr>
      <w:r>
        <w:rPr/>
      </w:r>
    </w:p>
    <w:p>
      <w:pPr>
        <w:pStyle w:val="Normal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Наименование продукции (позиция №1 Таблицы 1.1): Мобильный насос для перекачки дизельного топлива — 2 шт., инверторный бензиновый генератор — 2 шт.</w:t>
      </w:r>
      <w:r>
        <w:rPr>
          <w:b/>
          <w:bCs/>
          <w:i/>
          <w:color w:val="111111"/>
          <w:sz w:val="26"/>
          <w:szCs w:val="22"/>
        </w:rPr>
        <w:t xml:space="preserve">. </w:t>
      </w:r>
    </w:p>
    <w:tbl>
      <w:tblPr>
        <w:tblW w:w="15316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0" w:val="0000" w:noHBand="0" w:lastColumn="0" w:firstColumn="0" w:lastRow="0" w:firstRow="0"/>
      </w:tblPr>
      <w:tblGrid>
        <w:gridCol w:w="851"/>
        <w:gridCol w:w="1982"/>
        <w:gridCol w:w="5244"/>
        <w:gridCol w:w="2273"/>
        <w:gridCol w:w="2550"/>
        <w:gridCol w:w="2408"/>
        <w:gridCol w:w="7"/>
      </w:tblGrid>
      <w:tr>
        <w:trPr/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№ </w:t>
            </w:r>
            <w:r>
              <w:rPr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19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Наименование параметра</w:t>
            </w:r>
          </w:p>
        </w:tc>
        <w:tc>
          <w:tcPr>
            <w:tcW w:w="52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Требование заказчика</w:t>
            </w:r>
          </w:p>
        </w:tc>
        <w:tc>
          <w:tcPr>
            <w:tcW w:w="48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подтверждения участником соответствия требованиям</w:t>
            </w:r>
          </w:p>
        </w:tc>
        <w:tc>
          <w:tcPr>
            <w:tcW w:w="2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Предложение участника по характеристикам и параметрам</w:t>
            </w:r>
          </w:p>
        </w:tc>
      </w:tr>
      <w:tr>
        <w:trPr/>
        <w:tc>
          <w:tcPr>
            <w:tcW w:w="85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98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52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Согласие с требованием/ указание характеристик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Предоставление подтверждающего документа или иной способ подтверждения</w:t>
            </w:r>
          </w:p>
        </w:tc>
        <w:tc>
          <w:tcPr>
            <w:tcW w:w="2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2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pacing w:before="60" w:after="60"/>
              <w:contextualSpacing/>
              <w:jc w:val="center"/>
              <w:rPr/>
            </w:pPr>
            <w:r>
              <w:rPr/>
            </w:r>
          </w:p>
        </w:tc>
        <w:tc>
          <w:tcPr>
            <w:tcW w:w="72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техническим и функциональным характеристикам (включая гарантируемые показатели)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7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pacing w:before="60" w:after="60"/>
              <w:ind w:left="-117" w:firstLine="142"/>
              <w:contextualSpacing/>
              <w:jc w:val="center"/>
              <w:rPr/>
            </w:pPr>
            <w:r>
              <w:rPr/>
            </w:r>
          </w:p>
        </w:tc>
        <w:tc>
          <w:tcPr>
            <w:tcW w:w="19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val="uk-UA" w:eastAsia="en-US"/>
              </w:rPr>
              <w:t xml:space="preserve">Объем и состав </w:t>
            </w:r>
            <w:r>
              <w:rPr>
                <w:rFonts w:eastAsia="Calibri"/>
                <w:sz w:val="24"/>
                <w:szCs w:val="24"/>
                <w:lang w:eastAsia="en-US"/>
              </w:rPr>
              <w:t>поставки Товара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rStyle w:val="Style8"/>
                <w:b w:val="false"/>
                <w:bCs/>
                <w:i w:val="false"/>
                <w:color w:val="000000"/>
                <w:sz w:val="24"/>
                <w:szCs w:val="24"/>
                <w:shd w:fill="auto" w:val="clear"/>
                <w:lang w:val="en-US"/>
              </w:rPr>
              <w:t xml:space="preserve">Мобильный насос для перекачки дизельного топлива </w:t>
            </w:r>
            <w:r>
              <w:rPr>
                <w:sz w:val="24"/>
                <w:szCs w:val="24"/>
              </w:rPr>
              <w:t>— 2 шт.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pacing w:before="60" w:after="60"/>
              <w:ind w:left="-117" w:firstLine="142"/>
              <w:contextualSpacing/>
              <w:jc w:val="center"/>
              <w:rPr/>
            </w:pPr>
            <w:r>
              <w:rPr/>
            </w:r>
          </w:p>
        </w:tc>
        <w:tc>
          <w:tcPr>
            <w:tcW w:w="198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2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Инверторный бензиновый генератор — 2 шт.</w:t>
            </w:r>
          </w:p>
        </w:tc>
        <w:tc>
          <w:tcPr>
            <w:tcW w:w="22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5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41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pacing w:before="60" w:after="60"/>
              <w:contextualSpacing/>
              <w:jc w:val="center"/>
              <w:rPr/>
            </w:pPr>
            <w:r>
              <w:rPr/>
            </w:r>
          </w:p>
        </w:tc>
        <w:tc>
          <w:tcPr>
            <w:tcW w:w="72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7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pacing w:before="60" w:after="60"/>
              <w:ind w:left="-117" w:firstLine="142"/>
              <w:contextualSpacing/>
              <w:jc w:val="center"/>
              <w:rPr/>
            </w:pPr>
            <w:r>
              <w:rPr/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val="uk-UA" w:eastAsia="en-US"/>
              </w:rPr>
              <w:t>Область применения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Служит для организации аварийного резерва топлива для заправки пожарных машин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2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pacing w:before="60" w:after="60"/>
              <w:ind w:left="-117" w:firstLine="142"/>
              <w:contextualSpacing/>
              <w:jc w:val="center"/>
              <w:rPr/>
            </w:pPr>
            <w:r>
              <w:rPr/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Цель услуги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71"/>
              <w:widowControl w:val="false"/>
              <w:tabs>
                <w:tab w:val="clear" w:pos="708"/>
                <w:tab w:val="left" w:pos="302" w:leader="none"/>
              </w:tabs>
              <w:rPr/>
            </w:pPr>
            <w:r>
              <w:rPr/>
              <w:t>Превентивные мероприятия, с целью снижения последствий воздействия БПЛА, на критические объекты Филиала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2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pacing w:before="60" w:after="60"/>
              <w:contextualSpacing/>
              <w:jc w:val="center"/>
              <w:rPr/>
            </w:pPr>
            <w:r>
              <w:rPr/>
            </w:r>
          </w:p>
        </w:tc>
        <w:tc>
          <w:tcPr>
            <w:tcW w:w="72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конструкции, изготовлению и материалам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7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pacing w:before="60" w:after="60"/>
              <w:ind w:left="-117" w:firstLine="142"/>
              <w:contextualSpacing/>
              <w:jc w:val="center"/>
              <w:rPr/>
            </w:pPr>
            <w:r>
              <w:rPr/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both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val="uk-UA" w:eastAsia="en-US"/>
              </w:rPr>
              <w:t>Требования к продукции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left"/>
              <w:rPr/>
            </w:pPr>
            <w:r>
              <w:rPr>
                <w:rStyle w:val="Style8"/>
                <w:b/>
                <w:bCs/>
                <w:i w:val="false"/>
                <w:color w:val="000000"/>
                <w:sz w:val="24"/>
                <w:szCs w:val="24"/>
                <w:shd w:fill="auto" w:val="clear"/>
                <w:lang w:val="en-US"/>
              </w:rPr>
              <w:t>Мобильный насос для перекачки дизельного топлива</w:t>
            </w:r>
            <w:r>
              <w:rPr>
                <w:b/>
                <w:bCs/>
                <w:sz w:val="24"/>
                <w:szCs w:val="24"/>
              </w:rPr>
              <w:t>.</w:t>
            </w:r>
          </w:p>
          <w:p>
            <w:pPr>
              <w:pStyle w:val="Normal"/>
              <w:widowControl w:val="false"/>
              <w:jc w:val="left"/>
              <w:rPr>
                <w:b w:val="false"/>
                <w:bCs w:val="false"/>
                <w:i w:val="false"/>
                <w:i w:val="false"/>
                <w:iCs w:val="false"/>
              </w:rPr>
            </w:pPr>
            <w:r>
              <w:rPr>
                <w:b w:val="false"/>
                <w:bCs w:val="false"/>
                <w:i w:val="false"/>
                <w:iCs w:val="false"/>
                <w:sz w:val="24"/>
                <w:szCs w:val="24"/>
              </w:rPr>
              <w:t xml:space="preserve">Мобильный ТРК для перекачки дизельного топлива производительностью от 50 л/мин </w:t>
            </w:r>
          </w:p>
          <w:p>
            <w:pPr>
              <w:pStyle w:val="Normal"/>
              <w:widowControl w:val="false"/>
              <w:jc w:val="left"/>
              <w:rPr>
                <w:b w:val="false"/>
                <w:bCs w:val="false"/>
                <w:i w:val="false"/>
                <w:i w:val="false"/>
                <w:iCs w:val="false"/>
              </w:rPr>
            </w:pPr>
            <w:r>
              <w:rPr>
                <w:b w:val="false"/>
                <w:bCs w:val="false"/>
                <w:i w:val="false"/>
                <w:iCs w:val="false"/>
                <w:sz w:val="24"/>
                <w:szCs w:val="24"/>
              </w:rPr>
              <w:t>Заправочный комплект предназначен для установки на двухсотлитровую бочку.</w:t>
            </w:r>
          </w:p>
          <w:p>
            <w:pPr>
              <w:pStyle w:val="Normal"/>
              <w:widowControl w:val="false"/>
              <w:jc w:val="left"/>
              <w:rPr>
                <w:b w:val="false"/>
                <w:bCs w:val="false"/>
                <w:i w:val="false"/>
                <w:i w:val="false"/>
                <w:iCs w:val="false"/>
              </w:rPr>
            </w:pPr>
            <w:r>
              <w:rPr>
                <w:b w:val="false"/>
                <w:bCs w:val="false"/>
                <w:i w:val="false"/>
                <w:iCs w:val="false"/>
                <w:sz w:val="24"/>
                <w:szCs w:val="24"/>
              </w:rPr>
              <w:t>Работа от сети 220 В, 50 Гц.</w:t>
            </w:r>
          </w:p>
          <w:p>
            <w:pPr>
              <w:pStyle w:val="Normal"/>
              <w:widowControl w:val="false"/>
              <w:jc w:val="left"/>
              <w:rPr>
                <w:b w:val="false"/>
                <w:bCs w:val="false"/>
                <w:i w:val="false"/>
                <w:i w:val="false"/>
                <w:iCs w:val="false"/>
              </w:rPr>
            </w:pPr>
            <w:r>
              <w:rPr>
                <w:b w:val="false"/>
                <w:bCs w:val="false"/>
                <w:i w:val="false"/>
                <w:iCs w:val="false"/>
                <w:sz w:val="24"/>
                <w:szCs w:val="24"/>
              </w:rPr>
              <w:t>Комплектация:</w:t>
            </w:r>
          </w:p>
          <w:p>
            <w:pPr>
              <w:pStyle w:val="Normal"/>
              <w:widowControl w:val="false"/>
              <w:jc w:val="left"/>
              <w:rPr>
                <w:b w:val="false"/>
                <w:bCs w:val="false"/>
                <w:i w:val="false"/>
                <w:i w:val="false"/>
                <w:iCs w:val="false"/>
              </w:rPr>
            </w:pPr>
            <w:r>
              <w:rPr>
                <w:b w:val="false"/>
                <w:bCs w:val="false"/>
                <w:i w:val="false"/>
                <w:iCs w:val="false"/>
                <w:sz w:val="24"/>
                <w:szCs w:val="24"/>
              </w:rPr>
              <w:t>- заправочный автоматический пистолет</w:t>
            </w:r>
          </w:p>
          <w:p>
            <w:pPr>
              <w:pStyle w:val="Normal"/>
              <w:widowControl w:val="false"/>
              <w:jc w:val="left"/>
              <w:rPr>
                <w:b w:val="false"/>
                <w:bCs w:val="false"/>
                <w:i w:val="false"/>
                <w:i w:val="false"/>
                <w:iCs w:val="false"/>
              </w:rPr>
            </w:pPr>
            <w:r>
              <w:rPr>
                <w:b w:val="false"/>
                <w:bCs w:val="false"/>
                <w:i w:val="false"/>
                <w:iCs w:val="false"/>
                <w:sz w:val="24"/>
                <w:szCs w:val="24"/>
              </w:rPr>
              <w:t xml:space="preserve">- фильтр тонкой очистки </w:t>
            </w:r>
          </w:p>
          <w:p>
            <w:pPr>
              <w:pStyle w:val="Normal"/>
              <w:widowControl w:val="false"/>
              <w:jc w:val="left"/>
              <w:rPr>
                <w:b w:val="false"/>
                <w:bCs w:val="false"/>
                <w:i w:val="false"/>
                <w:i w:val="false"/>
                <w:iCs w:val="false"/>
              </w:rPr>
            </w:pPr>
            <w:r>
              <w:rPr>
                <w:b w:val="false"/>
                <w:bCs w:val="false"/>
                <w:i w:val="false"/>
                <w:iCs w:val="false"/>
                <w:sz w:val="24"/>
                <w:szCs w:val="24"/>
              </w:rPr>
              <w:t>- электронасос 220 В</w:t>
            </w:r>
          </w:p>
          <w:p>
            <w:pPr>
              <w:pStyle w:val="Normal"/>
              <w:widowControl w:val="false"/>
              <w:jc w:val="left"/>
              <w:rPr>
                <w:b w:val="false"/>
                <w:bCs w:val="false"/>
                <w:i w:val="false"/>
                <w:i w:val="false"/>
                <w:iCs w:val="false"/>
              </w:rPr>
            </w:pPr>
            <w:r>
              <w:rPr>
                <w:b w:val="false"/>
                <w:bCs w:val="false"/>
                <w:i w:val="false"/>
                <w:iCs w:val="false"/>
                <w:sz w:val="24"/>
                <w:szCs w:val="24"/>
              </w:rPr>
              <w:t>- ручной топливораздаточный кран</w:t>
            </w:r>
          </w:p>
          <w:p>
            <w:pPr>
              <w:pStyle w:val="Normal"/>
              <w:widowControl w:val="false"/>
              <w:jc w:val="left"/>
              <w:rPr>
                <w:b w:val="false"/>
                <w:bCs w:val="false"/>
                <w:i w:val="false"/>
                <w:i w:val="false"/>
                <w:iCs w:val="false"/>
              </w:rPr>
            </w:pPr>
            <w:r>
              <w:rPr>
                <w:b w:val="false"/>
                <w:bCs w:val="false"/>
                <w:i w:val="false"/>
                <w:iCs w:val="false"/>
                <w:sz w:val="24"/>
                <w:szCs w:val="24"/>
              </w:rPr>
              <w:t>- четырехметровый раздаточный шланг</w:t>
            </w:r>
          </w:p>
          <w:p>
            <w:pPr>
              <w:pStyle w:val="Normal"/>
              <w:widowControl w:val="false"/>
              <w:jc w:val="left"/>
              <w:rPr>
                <w:b w:val="false"/>
                <w:bCs w:val="false"/>
                <w:i w:val="false"/>
                <w:i w:val="false"/>
                <w:iCs w:val="false"/>
              </w:rPr>
            </w:pPr>
            <w:r>
              <w:rPr>
                <w:b w:val="false"/>
                <w:bCs w:val="false"/>
                <w:i w:val="false"/>
                <w:iCs w:val="false"/>
                <w:sz w:val="24"/>
                <w:szCs w:val="24"/>
              </w:rPr>
              <w:t>- телескопическая труба или всасывающий шланг</w:t>
            </w:r>
          </w:p>
          <w:p>
            <w:pPr>
              <w:pStyle w:val="Normal"/>
              <w:widowControl w:val="false"/>
              <w:jc w:val="left"/>
              <w:rPr>
                <w:b w:val="false"/>
                <w:bCs w:val="false"/>
                <w:i w:val="false"/>
                <w:i w:val="false"/>
                <w:iCs w:val="false"/>
              </w:rPr>
            </w:pPr>
            <w:r>
              <w:rPr>
                <w:b w:val="false"/>
                <w:bCs w:val="false"/>
                <w:i w:val="false"/>
                <w:iCs w:val="false"/>
                <w:sz w:val="24"/>
                <w:szCs w:val="24"/>
              </w:rPr>
              <w:t>- механический счетчик расхода (не обязательно)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7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pacing w:before="60" w:after="60"/>
              <w:ind w:left="-117" w:firstLine="142"/>
              <w:contextualSpacing/>
              <w:jc w:val="center"/>
              <w:rPr/>
            </w:pPr>
            <w:r>
              <w:rPr/>
            </w:r>
          </w:p>
        </w:tc>
        <w:tc>
          <w:tcPr>
            <w:tcW w:w="19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both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val="uk-UA" w:eastAsia="en-US"/>
              </w:rPr>
              <w:t>Требования к продукции</w:t>
            </w:r>
          </w:p>
        </w:tc>
        <w:tc>
          <w:tcPr>
            <w:tcW w:w="52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left"/>
              <w:rPr>
                <w:b/>
                <w:bCs/>
              </w:rPr>
            </w:pPr>
            <w:r>
              <w:rPr>
                <w:b/>
                <w:bCs/>
                <w:sz w:val="24"/>
                <w:szCs w:val="24"/>
              </w:rPr>
              <w:t>Бензиновый генератор.</w:t>
            </w:r>
          </w:p>
          <w:p>
            <w:pPr>
              <w:pStyle w:val="Normal"/>
              <w:widowControl w:val="false"/>
              <w:jc w:val="left"/>
              <w:rPr>
                <w:b/>
                <w:bCs/>
              </w:rPr>
            </w:pPr>
            <w:r>
              <w:rPr>
                <w:b/>
                <w:bCs/>
                <w:sz w:val="24"/>
                <w:szCs w:val="24"/>
              </w:rPr>
              <w:t>Технические характеристики: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sz w:val="24"/>
                <w:szCs w:val="24"/>
              </w:rPr>
              <w:t>- Напряжение 220 В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sz w:val="24"/>
                <w:szCs w:val="24"/>
              </w:rPr>
              <w:t>- Стартер - ручной стартер/электростартер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sz w:val="24"/>
                <w:szCs w:val="24"/>
              </w:rPr>
              <w:t>- Max мощность — до 3.8 кВт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sz w:val="24"/>
                <w:szCs w:val="24"/>
              </w:rPr>
              <w:t>- Мощность номинальная при 220 В - 3.5 кВт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sz w:val="24"/>
                <w:szCs w:val="24"/>
              </w:rPr>
              <w:t>- Альтернатор - синхронный</w:t>
            </w:r>
          </w:p>
          <w:p>
            <w:pPr>
              <w:pStyle w:val="Normal"/>
              <w:widowControl w:val="false"/>
              <w:jc w:val="left"/>
              <w:rPr>
                <w:b/>
                <w:bCs/>
              </w:rPr>
            </w:pPr>
            <w:r>
              <w:rPr>
                <w:b/>
                <w:bCs/>
                <w:sz w:val="24"/>
                <w:szCs w:val="24"/>
              </w:rPr>
              <w:t>Тип двигателя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sz w:val="24"/>
                <w:szCs w:val="24"/>
              </w:rPr>
              <w:t>- 4-х тактный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sz w:val="24"/>
                <w:szCs w:val="24"/>
              </w:rPr>
              <w:t>- Обмотка альтернатора двигателя - медь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sz w:val="24"/>
                <w:szCs w:val="24"/>
              </w:rPr>
              <w:t>- Тип кожуха - закрытый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sz w:val="24"/>
                <w:szCs w:val="24"/>
              </w:rPr>
              <w:t>- Емкость топливного бака — не менее 10 л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b/>
                <w:bCs/>
                <w:sz w:val="24"/>
                <w:szCs w:val="24"/>
              </w:rPr>
              <w:t>Комплектация: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sz w:val="24"/>
                <w:szCs w:val="24"/>
              </w:rPr>
              <w:t>- С колесами - да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sz w:val="24"/>
                <w:szCs w:val="24"/>
              </w:rPr>
              <w:t>- С ручками - да</w:t>
            </w:r>
          </w:p>
          <w:p>
            <w:pPr>
              <w:pStyle w:val="Normal"/>
              <w:widowControl w:val="false"/>
              <w:jc w:val="left"/>
              <w:rPr>
                <w:b/>
                <w:bCs/>
              </w:rPr>
            </w:pPr>
            <w:r>
              <w:rPr>
                <w:b/>
                <w:bCs/>
                <w:sz w:val="24"/>
                <w:szCs w:val="24"/>
              </w:rPr>
              <w:t>Вес нетто — не более 50 кг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b/>
                <w:bCs/>
                <w:sz w:val="24"/>
                <w:szCs w:val="24"/>
              </w:rPr>
              <w:t>Тип электростанции - Инверторный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sz w:val="24"/>
                <w:szCs w:val="24"/>
              </w:rPr>
              <w:t>- Вид топлива - бензин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sz w:val="24"/>
                <w:szCs w:val="24"/>
              </w:rPr>
              <w:t>- Эл. выходы /220/12 - /2/1 шт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sz w:val="24"/>
                <w:szCs w:val="24"/>
              </w:rPr>
              <w:t>- Аккумулятор в комплекте - да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sz w:val="24"/>
                <w:szCs w:val="24"/>
              </w:rPr>
              <w:t>- Сила тока розеток 220/12 - 16/5 А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sz w:val="24"/>
                <w:szCs w:val="24"/>
              </w:rPr>
              <w:t>- Индикатор уровня топлива - да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sz w:val="24"/>
                <w:szCs w:val="24"/>
              </w:rPr>
              <w:t>- Датчик масла - да</w:t>
            </w:r>
          </w:p>
        </w:tc>
        <w:tc>
          <w:tcPr>
            <w:tcW w:w="22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5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24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7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pacing w:before="60" w:after="60"/>
              <w:contextualSpacing/>
              <w:jc w:val="center"/>
              <w:rPr/>
            </w:pPr>
            <w:r>
              <w:rPr/>
            </w:r>
          </w:p>
        </w:tc>
        <w:tc>
          <w:tcPr>
            <w:tcW w:w="72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климатическому исполнению и стойкости к воздействующим климатическим факторам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7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pacing w:before="60" w:after="60"/>
              <w:ind w:left="-117" w:firstLine="142"/>
              <w:contextualSpacing/>
              <w:jc w:val="center"/>
              <w:rPr/>
            </w:pPr>
            <w:r>
              <w:rPr/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rPr>
                <w:bCs/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  <w:lang w:val="uk-UA" w:eastAsia="en-US"/>
              </w:rPr>
              <w:t>Температурный режим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rPr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  <w:lang w:val="uk-UA" w:eastAsia="en-US"/>
              </w:rPr>
              <w:t>Температурный режим эксплуатации от минус 15</w:t>
            </w:r>
            <w:r>
              <w:rPr>
                <w:rFonts w:eastAsia="Calibri"/>
                <w:sz w:val="24"/>
                <w:szCs w:val="24"/>
                <w:lang w:val="uk-UA" w:eastAsia="en-US"/>
              </w:rPr>
              <w:t>°</w:t>
            </w:r>
            <w:r>
              <w:rPr>
                <w:rFonts w:eastAsia="Calibri"/>
                <w:bCs/>
                <w:sz w:val="24"/>
                <w:szCs w:val="24"/>
                <w:lang w:val="uk-UA" w:eastAsia="en-US"/>
              </w:rPr>
              <w:t>до плюс 400</w:t>
            </w:r>
            <w:r>
              <w:rPr>
                <w:rFonts w:eastAsia="Calibri"/>
                <w:sz w:val="24"/>
                <w:szCs w:val="24"/>
                <w:lang w:val="uk-UA" w:eastAsia="en-US"/>
              </w:rPr>
              <w:t>°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7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pacing w:before="60" w:after="60"/>
              <w:ind w:left="-117" w:firstLine="142"/>
              <w:contextualSpacing/>
              <w:jc w:val="center"/>
              <w:rPr/>
            </w:pPr>
            <w:r>
              <w:rPr/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rPr>
                <w:bCs/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  <w:lang w:val="uk-UA" w:eastAsia="en-US"/>
              </w:rPr>
              <w:t>Влажность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rPr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  <w:lang w:val="uk-UA" w:eastAsia="en-US"/>
              </w:rPr>
              <w:t>Повышенная относительная влажность: 80%</w:t>
            </w:r>
            <w:bookmarkStart w:id="39" w:name="_GoBack_Копия_1"/>
            <w:bookmarkEnd w:id="39"/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7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pacing w:before="60" w:after="60"/>
              <w:contextualSpacing/>
              <w:jc w:val="center"/>
              <w:rPr/>
            </w:pPr>
            <w:r>
              <w:rPr/>
            </w:r>
          </w:p>
        </w:tc>
        <w:tc>
          <w:tcPr>
            <w:tcW w:w="72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Требования к доставке, маркировке, упаковке, транспортировке, перемещению, условиям хранения, приемке и испытаниям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7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pacing w:before="60" w:after="60"/>
              <w:ind w:left="-117" w:firstLine="142"/>
              <w:contextualSpacing/>
              <w:jc w:val="center"/>
              <w:rPr/>
            </w:pPr>
            <w:r>
              <w:rPr/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val="uk-UA" w:eastAsia="en-US"/>
              </w:rPr>
              <w:t>Доставка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val="uk-UA" w:eastAsia="en-US"/>
              </w:rPr>
              <w:t>Доставка</w:t>
            </w:r>
            <w:r>
              <w:rPr/>
              <w:t xml:space="preserve"> </w:t>
            </w:r>
            <w:r>
              <w:rPr>
                <w:rFonts w:eastAsia="Calibri"/>
                <w:sz w:val="24"/>
                <w:szCs w:val="24"/>
                <w:lang w:eastAsia="en-US"/>
              </w:rPr>
              <w:t>ТМЦ</w:t>
            </w:r>
            <w:r>
              <w:rPr>
                <w:rFonts w:eastAsia="Calibri"/>
                <w:sz w:val="24"/>
                <w:szCs w:val="24"/>
                <w:lang w:val="uk-UA" w:eastAsia="en-US"/>
              </w:rPr>
              <w:t xml:space="preserve"> до Заказчика (до территории Филиала).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8"/>
              <w:keepNext w:val="false"/>
              <w:widowControl w:val="false"/>
              <w:numPr>
                <w:ilvl w:val="0"/>
                <w:numId w:val="0"/>
              </w:numPr>
              <w:spacing w:before="0" w:after="60"/>
              <w:ind w:left="0" w:hanging="0"/>
              <w:jc w:val="left"/>
              <w:outlineLvl w:val="2"/>
              <w:rPr>
                <w:rFonts w:eastAsia="Times New Roman"/>
                <w:b w:val="false"/>
                <w:sz w:val="20"/>
                <w:szCs w:val="20"/>
                <w:lang w:val="ru-RU" w:eastAsia="ru-RU"/>
              </w:rPr>
            </w:pPr>
            <w:r>
              <w:rPr>
                <w:rFonts w:eastAsia="Times New Roman"/>
                <w:b w:val="false"/>
                <w:sz w:val="20"/>
                <w:szCs w:val="20"/>
                <w:lang w:val="ru-RU" w:eastAsia="ru-RU"/>
              </w:rPr>
            </w:r>
          </w:p>
        </w:tc>
        <w:tc>
          <w:tcPr>
            <w:tcW w:w="2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pacing w:before="60" w:after="60"/>
              <w:ind w:left="-117" w:firstLine="142"/>
              <w:contextualSpacing/>
              <w:jc w:val="center"/>
              <w:rPr/>
            </w:pPr>
            <w:r>
              <w:rPr/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val="uk-UA" w:eastAsia="en-US"/>
              </w:rPr>
              <w:t>Разгрузка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32" w:leader="none"/>
                <w:tab w:val="left" w:pos="459" w:leader="none"/>
              </w:tabs>
              <w:spacing w:before="0" w:after="200"/>
              <w:ind w:left="72" w:hanging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val="uk-UA" w:eastAsia="en-US"/>
              </w:rPr>
              <w:t>Разгрузка осуществляется Филиалом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0"/>
              <w:rPr/>
            </w:pPr>
            <w:r>
              <w:rPr/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pacing w:before="60" w:after="60"/>
              <w:contextualSpacing/>
              <w:jc w:val="center"/>
              <w:rPr/>
            </w:pPr>
            <w:r>
              <w:rPr/>
            </w:r>
          </w:p>
        </w:tc>
        <w:tc>
          <w:tcPr>
            <w:tcW w:w="72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60" w:after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гарантиям, гарантийному и послегарантийному обслуживанию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2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2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2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7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pacing w:before="60" w:after="60"/>
              <w:ind w:left="-117" w:firstLine="142"/>
              <w:contextualSpacing/>
              <w:jc w:val="center"/>
              <w:rPr/>
            </w:pPr>
            <w:r>
              <w:rPr/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both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val="uk-UA" w:eastAsia="en-US"/>
              </w:rPr>
              <w:t>Гарантийные обязательства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ind w:left="0" w:hanging="0"/>
              <w:jc w:val="both"/>
              <w:rPr>
                <w:lang w:val="uk-UA" w:eastAsia="en-US"/>
              </w:rPr>
            </w:pPr>
            <w:r>
              <w:rPr>
                <w:lang w:val="uk-UA" w:eastAsia="en-US"/>
              </w:rPr>
              <w:t>Срок</w:t>
            </w:r>
            <w:r>
              <w:rPr>
                <w:lang w:eastAsia="en-US"/>
              </w:rPr>
              <w:t xml:space="preserve"> службы</w:t>
            </w:r>
            <w:r>
              <w:rPr>
                <w:lang w:val="uk-UA" w:eastAsia="en-US"/>
              </w:rPr>
              <w:t xml:space="preserve"> не менее 5 лет с даты ввода в эксплуатацию. Гарантийный срок эксплуатации не менее 12 месяцев с даты ввода в эксплуатацию. 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4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8"/>
              <w:keepNext w:val="false"/>
              <w:widowControl w:val="false"/>
              <w:numPr>
                <w:ilvl w:val="0"/>
                <w:numId w:val="0"/>
              </w:numPr>
              <w:spacing w:before="0" w:after="60"/>
              <w:ind w:left="0" w:hanging="0"/>
              <w:jc w:val="left"/>
              <w:outlineLvl w:val="2"/>
              <w:rPr>
                <w:rFonts w:eastAsia="Times New Roman"/>
                <w:b w:val="false"/>
                <w:sz w:val="20"/>
                <w:szCs w:val="20"/>
                <w:lang w:val="ru-RU" w:eastAsia="ru-RU"/>
              </w:rPr>
            </w:pPr>
            <w:r>
              <w:rPr>
                <w:rFonts w:eastAsia="Times New Roman"/>
                <w:b w:val="false"/>
                <w:sz w:val="20"/>
                <w:szCs w:val="20"/>
                <w:lang w:val="ru-RU" w:eastAsia="ru-RU"/>
              </w:rPr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pacing w:before="60" w:after="60"/>
              <w:contextualSpacing/>
              <w:jc w:val="center"/>
              <w:rPr/>
            </w:pPr>
            <w:r>
              <w:rPr/>
            </w:r>
          </w:p>
        </w:tc>
        <w:tc>
          <w:tcPr>
            <w:tcW w:w="72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60" w:after="6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комплектации и документам, поставляемым вместе с продукцией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7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pacing w:before="60" w:after="60"/>
              <w:ind w:left="-117" w:firstLine="142"/>
              <w:contextualSpacing/>
              <w:jc w:val="center"/>
              <w:rPr/>
            </w:pPr>
            <w:r>
              <w:rPr/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Документы, передаваемые вместе с изделиями и СИЗ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rFonts w:eastAsia="Calibri"/>
                <w:sz w:val="24"/>
                <w:szCs w:val="24"/>
                <w:lang w:val="uk-UA" w:eastAsia="en-US"/>
              </w:rPr>
            </w:pPr>
            <w:r>
              <w:rPr>
                <w:rFonts w:eastAsia="Calibri"/>
                <w:sz w:val="24"/>
                <w:szCs w:val="24"/>
                <w:lang w:val="uk-UA" w:eastAsia="en-US"/>
              </w:rPr>
              <w:t xml:space="preserve">Все поставляемые ТМЦ должны иметь в комплекте поставки паспорта, сертификаты и инструкции производителя. </w:t>
            </w:r>
          </w:p>
          <w:p>
            <w:pPr>
              <w:pStyle w:val="Normal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Поставщик обязан одновременно с передачей защитных сооружений передать Покупателю относящиеся к ним документы, оформленные надлежащим образом:</w:t>
            </w:r>
          </w:p>
          <w:p>
            <w:pPr>
              <w:pStyle w:val="Normal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сертификаты качества;</w:t>
            </w:r>
          </w:p>
          <w:p>
            <w:pPr>
              <w:pStyle w:val="Normal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технические паспорта;</w:t>
            </w:r>
          </w:p>
          <w:p>
            <w:pPr>
              <w:pStyle w:val="Normal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руководства по эксплуатации;</w:t>
            </w:r>
          </w:p>
          <w:p>
            <w:pPr>
              <w:pStyle w:val="Normal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упаковочные листы, упаковочные ярлыки;</w:t>
            </w:r>
          </w:p>
          <w:p>
            <w:pPr>
              <w:pStyle w:val="Normal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товарно-транспортную накладную формы №1-Т;</w:t>
            </w:r>
          </w:p>
          <w:p>
            <w:pPr>
              <w:pStyle w:val="Normal"/>
              <w:widowControl w:val="false"/>
              <w:jc w:val="both"/>
              <w:rPr>
                <w:rFonts w:eastAsia="Calibri"/>
                <w:sz w:val="24"/>
                <w:szCs w:val="24"/>
                <w:lang w:val="uk-UA" w:eastAsia="en-US"/>
              </w:rPr>
            </w:pPr>
            <w:r>
              <w:rPr>
                <w:rFonts w:eastAsia="Calibri"/>
                <w:sz w:val="24"/>
                <w:szCs w:val="24"/>
                <w:lang w:val="uk-UA" w:eastAsia="en-US"/>
              </w:rPr>
              <w:t>- товарную накладную унифицированной формы ТОРГ-12 в 2 экз..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pacing w:before="60" w:after="60"/>
              <w:contextualSpacing/>
              <w:jc w:val="center"/>
              <w:rPr/>
            </w:pPr>
            <w:r>
              <w:rPr/>
            </w:r>
          </w:p>
        </w:tc>
        <w:tc>
          <w:tcPr>
            <w:tcW w:w="72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60" w:after="6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обязательствам Поставщика, влияющим на исполнение договора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7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pacing w:before="60" w:after="60"/>
              <w:ind w:left="-117" w:firstLine="142"/>
              <w:contextualSpacing/>
              <w:jc w:val="center"/>
              <w:rPr/>
            </w:pPr>
            <w:r>
              <w:rPr/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bCs/>
                <w:iCs/>
                <w:sz w:val="24"/>
                <w:szCs w:val="24"/>
                <w:lang w:val="uk-UA" w:eastAsia="en-US"/>
              </w:rPr>
              <w:t>Общие требования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ind w:left="0" w:hanging="0"/>
              <w:jc w:val="both"/>
              <w:rPr>
                <w:lang w:val="uk-UA" w:eastAsia="en-US"/>
              </w:rPr>
            </w:pPr>
            <w:r>
              <w:rPr>
                <w:lang w:val="uk-UA" w:eastAsia="en-US"/>
              </w:rPr>
              <w:t xml:space="preserve">1. </w:t>
            </w:r>
            <w:r>
              <w:rPr>
                <w:lang w:eastAsia="en-US"/>
              </w:rPr>
              <w:t>К</w:t>
            </w:r>
            <w:r>
              <w:rPr>
                <w:lang w:val="uk-UA" w:eastAsia="en-US"/>
              </w:rPr>
              <w:t>ачеств</w:t>
            </w:r>
            <w:r>
              <w:rPr>
                <w:lang w:eastAsia="en-US"/>
              </w:rPr>
              <w:t>о, количество и сроки поставки</w:t>
            </w:r>
            <w:r>
              <w:rPr>
                <w:lang w:val="uk-UA" w:eastAsia="en-US"/>
              </w:rPr>
              <w:t xml:space="preserve"> </w:t>
            </w:r>
            <w:r>
              <w:rPr>
                <w:lang w:eastAsia="en-US"/>
              </w:rPr>
              <w:t>поставляемой Продукции должно быть</w:t>
            </w:r>
            <w:r>
              <w:rPr>
                <w:lang w:val="uk-UA" w:eastAsia="en-US"/>
              </w:rPr>
              <w:t xml:space="preserve"> в полном</w:t>
            </w:r>
            <w:r>
              <w:rPr>
                <w:lang w:eastAsia="en-US"/>
              </w:rPr>
              <w:t xml:space="preserve"> соответствии с условиями договора</w:t>
            </w:r>
            <w:r>
              <w:rPr>
                <w:lang w:val="uk-UA" w:eastAsia="en-US"/>
              </w:rPr>
              <w:t>.</w:t>
            </w:r>
          </w:p>
          <w:p>
            <w:pPr>
              <w:pStyle w:val="ListParagraph"/>
              <w:widowControl w:val="false"/>
              <w:ind w:left="0" w:hanging="0"/>
              <w:jc w:val="both"/>
              <w:rPr>
                <w:lang w:val="uk-UA" w:eastAsia="en-US"/>
              </w:rPr>
            </w:pPr>
            <w:r>
              <w:rPr>
                <w:lang w:val="uk-UA" w:eastAsia="en-US"/>
              </w:rPr>
              <w:t xml:space="preserve">2. Основные условия </w:t>
            </w:r>
            <w:r>
              <w:rPr>
                <w:lang w:eastAsia="en-US"/>
              </w:rPr>
              <w:t>поставки</w:t>
            </w:r>
            <w:r>
              <w:rPr>
                <w:lang w:val="uk-UA" w:eastAsia="en-US"/>
              </w:rPr>
              <w:t xml:space="preserve"> указаны в договоре Заказчика.</w:t>
            </w:r>
          </w:p>
          <w:p>
            <w:pPr>
              <w:pStyle w:val="ListParagraph"/>
              <w:widowControl w:val="false"/>
              <w:ind w:left="0" w:hanging="0"/>
              <w:jc w:val="both"/>
              <w:rPr>
                <w:lang w:val="uk-UA" w:eastAsia="en-US"/>
              </w:rPr>
            </w:pPr>
            <w:r>
              <w:rPr>
                <w:lang w:val="uk-UA" w:eastAsia="en-US"/>
              </w:rPr>
              <w:t>3. Допускается привлечение Подрядчиком третьих лиц для исполнения обязательств по договору.</w:t>
            </w:r>
          </w:p>
          <w:p>
            <w:pPr>
              <w:pStyle w:val="ListParagraph"/>
              <w:widowControl w:val="false"/>
              <w:ind w:left="0" w:hanging="0"/>
              <w:jc w:val="both"/>
              <w:rPr>
                <w:lang w:val="uk-UA" w:eastAsia="en-US"/>
              </w:rPr>
            </w:pPr>
            <w:r>
              <w:rPr>
                <w:lang w:val="uk-UA" w:eastAsia="en-US"/>
              </w:rPr>
              <w:t>4. Продукция должна быть изготовлена на территории РФ из материалов, изготовленных в РФ (подтверждаются сертификатами).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pacing w:before="60" w:after="60"/>
              <w:contextualSpacing/>
              <w:jc w:val="center"/>
              <w:rPr/>
            </w:pPr>
            <w:r>
              <w:rPr/>
            </w:r>
          </w:p>
        </w:tc>
        <w:tc>
          <w:tcPr>
            <w:tcW w:w="72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60" w:after="6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Прочие (дополнительные) требования к продукции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7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pacing w:before="60" w:after="60"/>
              <w:ind w:left="-117" w:firstLine="142"/>
              <w:contextualSpacing/>
              <w:jc w:val="center"/>
              <w:rPr/>
            </w:pPr>
            <w:r>
              <w:rPr/>
            </w:r>
          </w:p>
        </w:tc>
        <w:tc>
          <w:tcPr>
            <w:tcW w:w="72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ascii="Times New Roman" w:hAnsi="Times New Roman" w:eastAsia="Calibri" w:cs="Times New Roman"/>
                <w:b w:val="false"/>
                <w:bCs w:val="false"/>
                <w:iCs/>
                <w:color w:val="auto"/>
                <w:kern w:val="0"/>
                <w:sz w:val="24"/>
                <w:szCs w:val="24"/>
                <w:lang w:val="uk-UA" w:eastAsia="en-US" w:bidi="ar-SA"/>
              </w:rPr>
            </w:pPr>
            <w:r>
              <w:rPr>
                <w:rFonts w:eastAsia="Calibri" w:cs="Times New Roman"/>
                <w:b w:val="false"/>
                <w:bCs w:val="false"/>
                <w:iCs/>
                <w:color w:val="auto"/>
                <w:kern w:val="0"/>
                <w:sz w:val="24"/>
                <w:szCs w:val="24"/>
                <w:lang w:val="uk-UA" w:eastAsia="en-US" w:bidi="ar-SA"/>
              </w:rPr>
              <w:t>При осуществлении закупки применяется национальный режим в соответствии с постановлением Правительства РФ от 23.12.2024 № 1875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ascii="Times New Roman" w:hAnsi="Times New Roman" w:eastAsia="Calibri" w:cs="Times New Roman"/>
                <w:b w:val="false"/>
                <w:bCs w:val="false"/>
                <w:iCs/>
                <w:color w:val="auto"/>
                <w:kern w:val="0"/>
                <w:sz w:val="24"/>
                <w:szCs w:val="24"/>
                <w:lang w:val="uk-UA" w:eastAsia="en-US" w:bidi="ar-SA"/>
              </w:rPr>
            </w:pPr>
            <w:r>
              <w:rPr>
                <w:rFonts w:eastAsia="Calibri" w:cs="Times New Roman"/>
                <w:b w:val="false"/>
                <w:bCs w:val="false"/>
                <w:iCs/>
                <w:color w:val="auto"/>
                <w:kern w:val="0"/>
                <w:sz w:val="24"/>
                <w:szCs w:val="24"/>
                <w:lang w:val="uk-UA" w:eastAsia="en-US" w:bidi="ar-SA"/>
              </w:rPr>
              <w:t>Участник закупки должен представить в составе заявки номер реестровой записи.</w:t>
            </w:r>
          </w:p>
        </w:tc>
        <w:tc>
          <w:tcPr>
            <w:tcW w:w="2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pacing w:before="60" w:after="60"/>
              <w:ind w:left="-117" w:firstLine="142"/>
              <w:contextualSpacing/>
              <w:jc w:val="center"/>
              <w:rPr/>
            </w:pPr>
            <w:r>
              <w:rPr/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eastAsia="Calibri"/>
                <w:bCs/>
                <w:iCs/>
                <w:sz w:val="24"/>
                <w:szCs w:val="24"/>
                <w:lang w:val="uk-UA" w:eastAsia="en-US"/>
              </w:rPr>
            </w:pPr>
            <w:r>
              <w:rPr>
                <w:rFonts w:eastAsia="Calibri"/>
                <w:bCs/>
                <w:iCs/>
                <w:sz w:val="24"/>
                <w:szCs w:val="24"/>
                <w:lang w:val="uk-UA" w:eastAsia="en-US"/>
              </w:rPr>
              <w:t>Сведения о новизне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eastAsia="Calibri"/>
                <w:sz w:val="24"/>
                <w:szCs w:val="24"/>
                <w:lang w:val="uk-UA" w:eastAsia="en-US"/>
              </w:rPr>
            </w:pPr>
            <w:r>
              <w:rPr>
                <w:rFonts w:eastAsia="Calibri"/>
                <w:sz w:val="24"/>
                <w:szCs w:val="24"/>
                <w:lang w:val="uk-UA" w:eastAsia="en-US"/>
              </w:rPr>
              <w:t>Поставляемые изделия должны быть новыми, выпуска не ранее 1 квартала 2026 г., (не бывшим в употреблении, не восстановленным, если это не оговорено требованиями технического задания), не являться выставочными образцами, свободным от прав третьих лиц.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Lines/>
              <w:widowControl w:val="false"/>
              <w:numPr>
                <w:ilvl w:val="0"/>
                <w:numId w:val="0"/>
              </w:numPr>
              <w:ind w:left="357" w:hanging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</w:tbl>
    <w:p>
      <w:pPr>
        <w:pStyle w:val="Heading1"/>
        <w:rPr/>
      </w:pPr>
      <w:r>
        <w:rPr/>
      </w:r>
    </w:p>
    <w:p>
      <w:pPr>
        <w:sectPr>
          <w:headerReference w:type="default" r:id="rId4"/>
          <w:headerReference w:type="first" r:id="rId5"/>
          <w:type w:val="nextPage"/>
          <w:pgSz w:orient="landscape" w:w="16838" w:h="11906"/>
          <w:pgMar w:left="992" w:right="567" w:gutter="0" w:header="680" w:top="851" w:footer="0" w:bottom="851"/>
          <w:pgNumType w:fmt="decimal"/>
          <w:formProt w:val="false"/>
          <w:titlePg/>
          <w:textDirection w:val="lrTb"/>
          <w:docGrid w:type="default" w:linePitch="381" w:charSpace="0"/>
        </w:sectPr>
        <w:pStyle w:val="Normal"/>
        <w:rPr/>
      </w:pPr>
      <w:r>
        <w:rPr/>
      </w:r>
    </w:p>
    <w:p>
      <w:pPr>
        <w:pStyle w:val="Heading1"/>
        <w:keepLines/>
        <w:numPr>
          <w:ilvl w:val="0"/>
          <w:numId w:val="3"/>
        </w:numPr>
        <w:ind w:left="357" w:hanging="357"/>
        <w:jc w:val="center"/>
        <w:rPr>
          <w:lang w:val="ru-RU"/>
        </w:rPr>
      </w:pPr>
      <w:bookmarkStart w:id="40" w:name="_Toc75446583"/>
      <w:bookmarkStart w:id="41" w:name="_Toc53393312"/>
      <w:r>
        <w:rPr>
          <w:lang w:val="ru-RU"/>
        </w:rPr>
        <w:t>Требования к документации по ценообразованию</w:t>
      </w:r>
      <w:bookmarkEnd w:id="41"/>
      <w:r>
        <w:rPr>
          <w:lang w:val="ru-RU"/>
        </w:rPr>
        <w:t xml:space="preserve"> на этапе закупки</w:t>
      </w:r>
      <w:bookmarkEnd w:id="40"/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60" w:after="0"/>
        <w:jc w:val="both"/>
        <w:rPr>
          <w:rStyle w:val="Style8"/>
          <w:b w:val="false"/>
          <w:bCs/>
          <w:iCs/>
          <w:sz w:val="24"/>
          <w:szCs w:val="24"/>
        </w:rPr>
      </w:pPr>
      <w:r>
        <w:rPr>
          <w:b w:val="false"/>
          <w:bCs/>
          <w:iCs/>
          <w:sz w:val="24"/>
          <w:szCs w:val="24"/>
        </w:rPr>
      </w:r>
    </w:p>
    <w:p>
      <w:pPr>
        <w:pStyle w:val="Normal"/>
        <w:numPr>
          <w:ilvl w:val="1"/>
          <w:numId w:val="10"/>
        </w:numPr>
        <w:suppressAutoHyphens w:val="false"/>
        <w:spacing w:before="0" w:after="120"/>
        <w:ind w:left="709" w:hanging="425"/>
        <w:jc w:val="both"/>
        <w:rPr>
          <w:bCs/>
          <w:i/>
          <w:i/>
          <w:iCs/>
          <w:sz w:val="24"/>
          <w:szCs w:val="24"/>
          <w:lang w:eastAsia="x-none"/>
        </w:rPr>
      </w:pPr>
      <w:r>
        <w:rPr>
          <w:bCs/>
          <w:i/>
          <w:iCs/>
          <w:sz w:val="24"/>
          <w:szCs w:val="24"/>
          <w:lang w:eastAsia="x-none"/>
        </w:rPr>
        <w:t xml:space="preserve">В обоснование стоимости своей заявки Участник предоставляет Коммерческое предложение по форме </w:t>
      </w:r>
      <w:bookmarkStart w:id="42" w:name="_Hlk88325985"/>
      <w:r>
        <w:rPr>
          <w:bCs/>
          <w:i/>
          <w:iCs/>
          <w:sz w:val="24"/>
          <w:szCs w:val="24"/>
          <w:lang w:eastAsia="x-none"/>
        </w:rPr>
        <w:t>(с учетом прилагаемой к ней инструкции по заполнению)</w:t>
      </w:r>
      <w:bookmarkEnd w:id="42"/>
      <w:r>
        <w:rPr>
          <w:bCs/>
          <w:i/>
          <w:iCs/>
          <w:sz w:val="24"/>
          <w:szCs w:val="24"/>
          <w:lang w:eastAsia="x-none"/>
        </w:rPr>
        <w:t xml:space="preserve">, </w:t>
      </w:r>
    </w:p>
    <w:p>
      <w:pPr>
        <w:pStyle w:val="Normal"/>
        <w:ind w:left="709" w:hanging="425"/>
        <w:rPr/>
      </w:pPr>
      <w:bookmarkStart w:id="43" w:name="_Hlk88327292"/>
      <w:r>
        <w:rPr>
          <w:bCs/>
          <w:i/>
          <w:iCs/>
          <w:sz w:val="24"/>
          <w:szCs w:val="24"/>
          <w:lang w:eastAsia="x-none"/>
        </w:rPr>
        <w:t>3.2. Дополнительные документы по ценообразованию</w:t>
      </w:r>
      <w:bookmarkEnd w:id="43"/>
      <w:r>
        <w:rPr>
          <w:bCs/>
          <w:i/>
          <w:iCs/>
          <w:sz w:val="24"/>
          <w:szCs w:val="24"/>
          <w:lang w:eastAsia="x-none"/>
        </w:rPr>
        <w:t xml:space="preserve"> в состав заявки не включаются.</w:t>
      </w:r>
    </w:p>
    <w:p>
      <w:pPr>
        <w:pStyle w:val="Normal"/>
        <w:ind w:left="709" w:hanging="425"/>
        <w:rPr>
          <w:bCs/>
          <w:i/>
          <w:i/>
          <w:iCs/>
          <w:sz w:val="24"/>
          <w:szCs w:val="24"/>
          <w:lang w:eastAsia="x-none"/>
        </w:rPr>
      </w:pPr>
      <w:r>
        <w:rPr>
          <w:bCs/>
          <w:i/>
          <w:iCs/>
          <w:sz w:val="24"/>
          <w:szCs w:val="24"/>
          <w:lang w:eastAsia="x-none"/>
        </w:rPr>
      </w:r>
    </w:p>
    <w:p>
      <w:pPr>
        <w:pStyle w:val="Normal"/>
        <w:ind w:left="709" w:hanging="425"/>
        <w:rPr>
          <w:bCs/>
          <w:i/>
          <w:i/>
          <w:iCs/>
          <w:sz w:val="24"/>
          <w:szCs w:val="24"/>
          <w:lang w:eastAsia="x-none"/>
        </w:rPr>
      </w:pPr>
      <w:r>
        <w:rPr>
          <w:bCs/>
          <w:i/>
          <w:iCs/>
          <w:sz w:val="24"/>
          <w:szCs w:val="24"/>
          <w:lang w:eastAsia="x-none"/>
        </w:rPr>
      </w:r>
    </w:p>
    <w:p>
      <w:pPr>
        <w:pStyle w:val="Normal"/>
        <w:ind w:left="709" w:hanging="425"/>
        <w:rPr>
          <w:bCs/>
          <w:i/>
          <w:i/>
          <w:iCs/>
          <w:sz w:val="24"/>
          <w:szCs w:val="24"/>
          <w:lang w:eastAsia="x-none"/>
        </w:rPr>
      </w:pPr>
      <w:r>
        <w:rPr>
          <w:bCs/>
          <w:i/>
          <w:iCs/>
          <w:sz w:val="24"/>
          <w:szCs w:val="24"/>
          <w:lang w:eastAsia="x-none"/>
        </w:rPr>
      </w:r>
    </w:p>
    <w:p>
      <w:pPr>
        <w:pStyle w:val="Normal"/>
        <w:ind w:left="709" w:hanging="425"/>
        <w:rPr>
          <w:bCs/>
          <w:i/>
          <w:i/>
          <w:iCs/>
          <w:sz w:val="24"/>
          <w:szCs w:val="24"/>
          <w:lang w:eastAsia="x-none"/>
        </w:rPr>
      </w:pPr>
      <w:r>
        <w:rPr>
          <w:bCs/>
          <w:i/>
          <w:iCs/>
          <w:sz w:val="24"/>
          <w:szCs w:val="24"/>
          <w:lang w:eastAsia="x-none"/>
        </w:rPr>
      </w:r>
    </w:p>
    <w:p>
      <w:pPr>
        <w:pStyle w:val="Normal"/>
        <w:ind w:left="709" w:hanging="425"/>
        <w:rPr>
          <w:bCs/>
          <w:i/>
          <w:i/>
          <w:iCs/>
          <w:sz w:val="24"/>
          <w:szCs w:val="24"/>
          <w:lang w:eastAsia="x-none"/>
        </w:rPr>
      </w:pPr>
      <w:r>
        <w:rPr>
          <w:bCs/>
          <w:i/>
          <w:iCs/>
          <w:sz w:val="24"/>
          <w:szCs w:val="24"/>
          <w:lang w:eastAsia="x-none"/>
        </w:rPr>
      </w:r>
    </w:p>
    <w:p>
      <w:pPr>
        <w:pStyle w:val="Normal"/>
        <w:ind w:left="709" w:hanging="425"/>
        <w:rPr>
          <w:bCs/>
          <w:i/>
          <w:i/>
          <w:iCs/>
          <w:sz w:val="24"/>
          <w:szCs w:val="24"/>
          <w:lang w:eastAsia="x-none"/>
        </w:rPr>
      </w:pPr>
      <w:r>
        <w:rPr>
          <w:bCs/>
          <w:i/>
          <w:iCs/>
          <w:sz w:val="24"/>
          <w:szCs w:val="24"/>
          <w:lang w:eastAsia="x-none"/>
        </w:rPr>
      </w:r>
    </w:p>
    <w:p>
      <w:pPr>
        <w:pStyle w:val="Normal"/>
        <w:ind w:left="709" w:hanging="425"/>
        <w:rPr>
          <w:bCs/>
          <w:i/>
          <w:i/>
          <w:iCs/>
          <w:sz w:val="24"/>
          <w:szCs w:val="24"/>
          <w:lang w:eastAsia="x-none"/>
        </w:rPr>
      </w:pPr>
      <w:r>
        <w:rPr>
          <w:bCs/>
          <w:i/>
          <w:iCs/>
          <w:sz w:val="24"/>
          <w:szCs w:val="24"/>
          <w:lang w:eastAsia="x-none"/>
        </w:rPr>
      </w:r>
    </w:p>
    <w:p>
      <w:pPr>
        <w:pStyle w:val="Normal"/>
        <w:ind w:left="709" w:hanging="425"/>
        <w:rPr>
          <w:bCs/>
          <w:i/>
          <w:i/>
          <w:iCs/>
          <w:sz w:val="24"/>
          <w:szCs w:val="24"/>
          <w:lang w:eastAsia="x-none"/>
        </w:rPr>
      </w:pPr>
      <w:r>
        <w:rPr>
          <w:bCs/>
          <w:i/>
          <w:iCs/>
          <w:sz w:val="24"/>
          <w:szCs w:val="24"/>
          <w:lang w:eastAsia="x-none"/>
        </w:rPr>
      </w:r>
    </w:p>
    <w:p>
      <w:pPr>
        <w:pStyle w:val="Normal"/>
        <w:ind w:left="709" w:hanging="425"/>
        <w:rPr>
          <w:bCs/>
          <w:i/>
          <w:i/>
          <w:iCs/>
          <w:sz w:val="24"/>
          <w:szCs w:val="24"/>
          <w:lang w:eastAsia="x-none"/>
        </w:rPr>
      </w:pPr>
      <w:r>
        <w:rPr>
          <w:bCs/>
          <w:i/>
          <w:iCs/>
          <w:sz w:val="24"/>
          <w:szCs w:val="24"/>
          <w:lang w:eastAsia="x-none"/>
        </w:rPr>
      </w:r>
    </w:p>
    <w:p>
      <w:pPr>
        <w:pStyle w:val="Normal"/>
        <w:ind w:left="709" w:hanging="425"/>
        <w:rPr>
          <w:bCs/>
          <w:i/>
          <w:i/>
          <w:iCs/>
          <w:sz w:val="24"/>
          <w:szCs w:val="24"/>
          <w:lang w:eastAsia="x-none"/>
        </w:rPr>
      </w:pPr>
      <w:r>
        <w:rPr>
          <w:bCs/>
          <w:i/>
          <w:iCs/>
          <w:sz w:val="24"/>
          <w:szCs w:val="24"/>
          <w:lang w:eastAsia="x-none"/>
        </w:rPr>
      </w:r>
    </w:p>
    <w:p>
      <w:pPr>
        <w:pStyle w:val="Normal"/>
        <w:ind w:left="709" w:hanging="425"/>
        <w:rPr>
          <w:bCs/>
          <w:i/>
          <w:i/>
          <w:iCs/>
          <w:sz w:val="24"/>
          <w:szCs w:val="24"/>
          <w:lang w:eastAsia="x-none"/>
        </w:rPr>
      </w:pPr>
      <w:r>
        <w:rPr>
          <w:bCs/>
          <w:i/>
          <w:iCs/>
          <w:sz w:val="24"/>
          <w:szCs w:val="24"/>
          <w:lang w:eastAsia="x-none"/>
        </w:rPr>
      </w:r>
    </w:p>
    <w:p>
      <w:pPr>
        <w:pStyle w:val="Normal"/>
        <w:ind w:left="709" w:hanging="425"/>
        <w:rPr>
          <w:bCs/>
          <w:i/>
          <w:i/>
          <w:iCs/>
          <w:sz w:val="24"/>
          <w:szCs w:val="24"/>
          <w:lang w:eastAsia="x-none"/>
        </w:rPr>
      </w:pPr>
      <w:r>
        <w:rPr>
          <w:bCs/>
          <w:i/>
          <w:iCs/>
          <w:sz w:val="24"/>
          <w:szCs w:val="24"/>
          <w:lang w:eastAsia="x-none"/>
        </w:rPr>
      </w:r>
    </w:p>
    <w:p>
      <w:pPr>
        <w:pStyle w:val="Normal"/>
        <w:ind w:left="709" w:hanging="425"/>
        <w:rPr>
          <w:bCs/>
          <w:i/>
          <w:i/>
          <w:iCs/>
          <w:sz w:val="24"/>
          <w:szCs w:val="24"/>
          <w:lang w:eastAsia="x-none"/>
        </w:rPr>
      </w:pPr>
      <w:r>
        <w:rPr>
          <w:bCs/>
          <w:i/>
          <w:iCs/>
          <w:sz w:val="24"/>
          <w:szCs w:val="24"/>
          <w:lang w:eastAsia="x-none"/>
        </w:rPr>
      </w:r>
    </w:p>
    <w:p>
      <w:pPr>
        <w:pStyle w:val="Normal"/>
        <w:ind w:left="709" w:hanging="425"/>
        <w:rPr>
          <w:bCs/>
          <w:i/>
          <w:i/>
          <w:iCs/>
          <w:sz w:val="24"/>
          <w:szCs w:val="24"/>
          <w:lang w:eastAsia="x-none"/>
        </w:rPr>
      </w:pPr>
      <w:r>
        <w:rPr>
          <w:bCs/>
          <w:i/>
          <w:iCs/>
          <w:sz w:val="24"/>
          <w:szCs w:val="24"/>
          <w:lang w:eastAsia="x-none"/>
        </w:rPr>
      </w:r>
    </w:p>
    <w:p>
      <w:pPr>
        <w:pStyle w:val="Normal"/>
        <w:ind w:left="709" w:hanging="425"/>
        <w:rPr>
          <w:bCs/>
          <w:i/>
          <w:i/>
          <w:iCs/>
          <w:sz w:val="24"/>
          <w:szCs w:val="24"/>
          <w:lang w:eastAsia="x-none"/>
        </w:rPr>
      </w:pPr>
      <w:r>
        <w:rPr>
          <w:bCs/>
          <w:i/>
          <w:iCs/>
          <w:sz w:val="24"/>
          <w:szCs w:val="24"/>
          <w:lang w:eastAsia="x-none"/>
        </w:rPr>
      </w:r>
    </w:p>
    <w:p>
      <w:pPr>
        <w:pStyle w:val="Normal"/>
        <w:ind w:left="709" w:hanging="425"/>
        <w:rPr>
          <w:bCs/>
          <w:i/>
          <w:i/>
          <w:iCs/>
          <w:sz w:val="24"/>
          <w:szCs w:val="24"/>
          <w:lang w:eastAsia="x-none"/>
        </w:rPr>
      </w:pPr>
      <w:r>
        <w:rPr>
          <w:bCs/>
          <w:i/>
          <w:iCs/>
          <w:sz w:val="24"/>
          <w:szCs w:val="24"/>
          <w:lang w:eastAsia="x-none"/>
        </w:rPr>
      </w:r>
    </w:p>
    <w:p>
      <w:pPr>
        <w:pStyle w:val="Normal"/>
        <w:ind w:left="709" w:hanging="425"/>
        <w:rPr>
          <w:bCs/>
          <w:i/>
          <w:i/>
          <w:iCs/>
          <w:sz w:val="24"/>
          <w:szCs w:val="24"/>
          <w:lang w:eastAsia="x-none"/>
        </w:rPr>
      </w:pPr>
      <w:r>
        <w:rPr>
          <w:bCs/>
          <w:i/>
          <w:iCs/>
          <w:sz w:val="24"/>
          <w:szCs w:val="24"/>
          <w:lang w:eastAsia="x-none"/>
        </w:rPr>
      </w:r>
    </w:p>
    <w:p>
      <w:pPr>
        <w:pStyle w:val="Normal"/>
        <w:ind w:left="709" w:hanging="425"/>
        <w:rPr>
          <w:bCs/>
          <w:i/>
          <w:i/>
          <w:iCs/>
          <w:sz w:val="24"/>
          <w:szCs w:val="24"/>
          <w:lang w:eastAsia="x-none"/>
        </w:rPr>
      </w:pPr>
      <w:r>
        <w:rPr>
          <w:bCs/>
          <w:i/>
          <w:iCs/>
          <w:sz w:val="24"/>
          <w:szCs w:val="24"/>
          <w:lang w:eastAsia="x-none"/>
        </w:rPr>
      </w:r>
    </w:p>
    <w:p>
      <w:pPr>
        <w:pStyle w:val="Normal"/>
        <w:ind w:left="709" w:hanging="425"/>
        <w:rPr>
          <w:bCs/>
          <w:i/>
          <w:i/>
          <w:iCs/>
          <w:sz w:val="24"/>
          <w:szCs w:val="24"/>
          <w:lang w:eastAsia="x-none"/>
        </w:rPr>
      </w:pPr>
      <w:r>
        <w:rPr>
          <w:bCs/>
          <w:i/>
          <w:iCs/>
          <w:sz w:val="24"/>
          <w:szCs w:val="24"/>
          <w:lang w:eastAsia="x-none"/>
        </w:rPr>
      </w:r>
    </w:p>
    <w:p>
      <w:pPr>
        <w:pStyle w:val="Normal"/>
        <w:ind w:left="709" w:hanging="425"/>
        <w:rPr>
          <w:bCs/>
          <w:i/>
          <w:i/>
          <w:iCs/>
          <w:sz w:val="24"/>
          <w:szCs w:val="24"/>
          <w:lang w:eastAsia="x-none"/>
        </w:rPr>
      </w:pPr>
      <w:r>
        <w:rPr>
          <w:bCs/>
          <w:i/>
          <w:iCs/>
          <w:sz w:val="24"/>
          <w:szCs w:val="24"/>
          <w:lang w:eastAsia="x-none"/>
        </w:rPr>
      </w:r>
    </w:p>
    <w:p>
      <w:pPr>
        <w:pStyle w:val="Normal"/>
        <w:ind w:left="709" w:hanging="425"/>
        <w:rPr>
          <w:bCs/>
          <w:i/>
          <w:i/>
          <w:iCs/>
          <w:sz w:val="24"/>
          <w:szCs w:val="24"/>
          <w:lang w:eastAsia="x-none"/>
        </w:rPr>
      </w:pPr>
      <w:r>
        <w:rPr>
          <w:bCs/>
          <w:i/>
          <w:iCs/>
          <w:sz w:val="24"/>
          <w:szCs w:val="24"/>
          <w:lang w:eastAsia="x-none"/>
        </w:rPr>
      </w:r>
    </w:p>
    <w:p>
      <w:pPr>
        <w:pStyle w:val="Normal"/>
        <w:ind w:left="709" w:hanging="425"/>
        <w:rPr>
          <w:bCs/>
          <w:i/>
          <w:i/>
          <w:iCs/>
          <w:sz w:val="24"/>
          <w:szCs w:val="24"/>
          <w:lang w:eastAsia="x-none"/>
        </w:rPr>
      </w:pPr>
      <w:r>
        <w:rPr>
          <w:bCs/>
          <w:i/>
          <w:iCs/>
          <w:sz w:val="24"/>
          <w:szCs w:val="24"/>
          <w:lang w:eastAsia="x-none"/>
        </w:rPr>
      </w:r>
    </w:p>
    <w:p>
      <w:pPr>
        <w:pStyle w:val="Normal"/>
        <w:ind w:left="709" w:hanging="425"/>
        <w:rPr>
          <w:bCs/>
          <w:i/>
          <w:i/>
          <w:iCs/>
          <w:sz w:val="24"/>
          <w:szCs w:val="24"/>
          <w:lang w:eastAsia="x-none"/>
        </w:rPr>
      </w:pPr>
      <w:r>
        <w:rPr>
          <w:bCs/>
          <w:i/>
          <w:iCs/>
          <w:sz w:val="24"/>
          <w:szCs w:val="24"/>
          <w:lang w:eastAsia="x-none"/>
        </w:rPr>
      </w:r>
    </w:p>
    <w:p>
      <w:pPr>
        <w:pStyle w:val="Normal"/>
        <w:ind w:left="709" w:hanging="425"/>
        <w:rPr>
          <w:bCs/>
          <w:i/>
          <w:i/>
          <w:iCs/>
          <w:sz w:val="24"/>
          <w:szCs w:val="24"/>
          <w:lang w:eastAsia="x-none"/>
        </w:rPr>
      </w:pPr>
      <w:r>
        <w:rPr>
          <w:bCs/>
          <w:i/>
          <w:iCs/>
          <w:sz w:val="24"/>
          <w:szCs w:val="24"/>
          <w:lang w:eastAsia="x-none"/>
        </w:rPr>
      </w:r>
    </w:p>
    <w:p>
      <w:pPr>
        <w:pStyle w:val="Normal"/>
        <w:ind w:left="709" w:hanging="425"/>
        <w:rPr>
          <w:bCs/>
          <w:i/>
          <w:i/>
          <w:iCs/>
          <w:sz w:val="24"/>
          <w:szCs w:val="24"/>
          <w:lang w:eastAsia="x-none"/>
        </w:rPr>
      </w:pPr>
      <w:r>
        <w:rPr>
          <w:bCs/>
          <w:i/>
          <w:iCs/>
          <w:sz w:val="24"/>
          <w:szCs w:val="24"/>
          <w:lang w:eastAsia="x-none"/>
        </w:rPr>
      </w:r>
    </w:p>
    <w:p>
      <w:pPr>
        <w:pStyle w:val="Normal"/>
        <w:ind w:left="709" w:hanging="425"/>
        <w:rPr>
          <w:bCs/>
          <w:i/>
          <w:i/>
          <w:iCs/>
          <w:sz w:val="24"/>
          <w:szCs w:val="24"/>
          <w:lang w:eastAsia="x-none"/>
        </w:rPr>
      </w:pPr>
      <w:r>
        <w:rPr>
          <w:bCs/>
          <w:i/>
          <w:iCs/>
          <w:sz w:val="24"/>
          <w:szCs w:val="24"/>
          <w:lang w:eastAsia="x-none"/>
        </w:rPr>
      </w:r>
    </w:p>
    <w:p>
      <w:pPr>
        <w:pStyle w:val="Normal"/>
        <w:ind w:left="709" w:hanging="425"/>
        <w:rPr>
          <w:bCs/>
          <w:i/>
          <w:i/>
          <w:iCs/>
          <w:sz w:val="24"/>
          <w:szCs w:val="24"/>
          <w:lang w:eastAsia="x-none"/>
        </w:rPr>
      </w:pPr>
      <w:r>
        <w:rPr>
          <w:bCs/>
          <w:i/>
          <w:iCs/>
          <w:sz w:val="24"/>
          <w:szCs w:val="24"/>
          <w:lang w:eastAsia="x-none"/>
        </w:rPr>
      </w:r>
    </w:p>
    <w:p>
      <w:pPr>
        <w:pStyle w:val="Normal"/>
        <w:ind w:left="709" w:hanging="425"/>
        <w:rPr>
          <w:bCs/>
          <w:i/>
          <w:i/>
          <w:iCs/>
          <w:sz w:val="24"/>
          <w:szCs w:val="24"/>
          <w:lang w:eastAsia="x-none"/>
        </w:rPr>
      </w:pPr>
      <w:r>
        <w:rPr>
          <w:bCs/>
          <w:i/>
          <w:iCs/>
          <w:sz w:val="24"/>
          <w:szCs w:val="24"/>
          <w:lang w:eastAsia="x-none"/>
        </w:rPr>
      </w:r>
    </w:p>
    <w:p>
      <w:pPr>
        <w:pStyle w:val="Normal"/>
        <w:ind w:left="709" w:hanging="425"/>
        <w:rPr>
          <w:bCs/>
          <w:i/>
          <w:i/>
          <w:iCs/>
          <w:sz w:val="24"/>
          <w:szCs w:val="24"/>
          <w:lang w:eastAsia="x-none"/>
        </w:rPr>
      </w:pPr>
      <w:r>
        <w:rPr>
          <w:bCs/>
          <w:i/>
          <w:iCs/>
          <w:sz w:val="24"/>
          <w:szCs w:val="24"/>
          <w:lang w:eastAsia="x-none"/>
        </w:rPr>
      </w:r>
    </w:p>
    <w:p>
      <w:pPr>
        <w:pStyle w:val="Normal"/>
        <w:ind w:left="709" w:hanging="425"/>
        <w:rPr>
          <w:bCs/>
          <w:i/>
          <w:i/>
          <w:iCs/>
          <w:sz w:val="24"/>
          <w:szCs w:val="24"/>
          <w:lang w:eastAsia="x-none"/>
        </w:rPr>
      </w:pPr>
      <w:r>
        <w:rPr>
          <w:bCs/>
          <w:i/>
          <w:iCs/>
          <w:sz w:val="24"/>
          <w:szCs w:val="24"/>
          <w:lang w:eastAsia="x-none"/>
        </w:rPr>
      </w:r>
    </w:p>
    <w:p>
      <w:pPr>
        <w:pStyle w:val="Normal"/>
        <w:ind w:left="709" w:hanging="425"/>
        <w:rPr>
          <w:bCs/>
          <w:i/>
          <w:i/>
          <w:iCs/>
          <w:sz w:val="24"/>
          <w:szCs w:val="24"/>
          <w:lang w:eastAsia="x-none"/>
        </w:rPr>
      </w:pPr>
      <w:r>
        <w:rPr>
          <w:bCs/>
          <w:i/>
          <w:iCs/>
          <w:sz w:val="24"/>
          <w:szCs w:val="24"/>
          <w:lang w:eastAsia="x-none"/>
        </w:rPr>
      </w:r>
    </w:p>
    <w:p>
      <w:pPr>
        <w:pStyle w:val="Normal"/>
        <w:ind w:left="709" w:hanging="425"/>
        <w:rPr>
          <w:bCs/>
          <w:i/>
          <w:i/>
          <w:iCs/>
          <w:sz w:val="24"/>
          <w:szCs w:val="24"/>
          <w:lang w:eastAsia="x-none"/>
        </w:rPr>
      </w:pPr>
      <w:r>
        <w:rPr>
          <w:bCs/>
          <w:i/>
          <w:iCs/>
          <w:sz w:val="24"/>
          <w:szCs w:val="24"/>
          <w:lang w:eastAsia="x-none"/>
        </w:rPr>
      </w:r>
    </w:p>
    <w:p>
      <w:pPr>
        <w:pStyle w:val="Normal"/>
        <w:ind w:left="709" w:hanging="425"/>
        <w:rPr>
          <w:bCs/>
          <w:i/>
          <w:i/>
          <w:iCs/>
          <w:sz w:val="24"/>
          <w:szCs w:val="24"/>
          <w:lang w:eastAsia="x-none"/>
        </w:rPr>
      </w:pPr>
      <w:r>
        <w:rPr>
          <w:bCs/>
          <w:i/>
          <w:iCs/>
          <w:sz w:val="24"/>
          <w:szCs w:val="24"/>
          <w:lang w:eastAsia="x-none"/>
        </w:rPr>
      </w:r>
    </w:p>
    <w:p>
      <w:pPr>
        <w:pStyle w:val="Normal"/>
        <w:ind w:left="709" w:hanging="425"/>
        <w:rPr>
          <w:bCs/>
          <w:i/>
          <w:i/>
          <w:iCs/>
          <w:sz w:val="24"/>
          <w:szCs w:val="24"/>
          <w:lang w:eastAsia="x-none"/>
        </w:rPr>
      </w:pPr>
      <w:r>
        <w:rPr>
          <w:bCs/>
          <w:i/>
          <w:iCs/>
          <w:sz w:val="24"/>
          <w:szCs w:val="24"/>
          <w:lang w:eastAsia="x-none"/>
        </w:rPr>
      </w:r>
    </w:p>
    <w:p>
      <w:pPr>
        <w:pStyle w:val="Normal"/>
        <w:ind w:left="709" w:hanging="425"/>
        <w:rPr>
          <w:bCs/>
          <w:i/>
          <w:i/>
          <w:iCs/>
          <w:sz w:val="24"/>
          <w:szCs w:val="24"/>
          <w:lang w:eastAsia="x-none"/>
        </w:rPr>
      </w:pPr>
      <w:r>
        <w:rPr>
          <w:bCs/>
          <w:i/>
          <w:iCs/>
          <w:sz w:val="24"/>
          <w:szCs w:val="24"/>
          <w:lang w:eastAsia="x-none"/>
        </w:rPr>
      </w:r>
    </w:p>
    <w:p>
      <w:pPr>
        <w:pStyle w:val="Normal"/>
        <w:ind w:left="709" w:hanging="425"/>
        <w:rPr>
          <w:bCs/>
          <w:i/>
          <w:i/>
          <w:iCs/>
          <w:sz w:val="24"/>
          <w:szCs w:val="24"/>
          <w:lang w:eastAsia="x-none"/>
        </w:rPr>
      </w:pPr>
      <w:r>
        <w:rPr>
          <w:bCs/>
          <w:i/>
          <w:iCs/>
          <w:sz w:val="24"/>
          <w:szCs w:val="24"/>
          <w:lang w:eastAsia="x-none"/>
        </w:rPr>
      </w:r>
    </w:p>
    <w:p>
      <w:pPr>
        <w:pStyle w:val="Normal"/>
        <w:ind w:left="709" w:hanging="425"/>
        <w:rPr>
          <w:bCs/>
          <w:i/>
          <w:i/>
          <w:iCs/>
          <w:sz w:val="24"/>
          <w:szCs w:val="24"/>
          <w:lang w:eastAsia="x-none"/>
        </w:rPr>
      </w:pPr>
      <w:r>
        <w:rPr>
          <w:bCs/>
          <w:i/>
          <w:iCs/>
          <w:sz w:val="24"/>
          <w:szCs w:val="24"/>
          <w:lang w:eastAsia="x-none"/>
        </w:rPr>
      </w:r>
    </w:p>
    <w:p>
      <w:pPr>
        <w:pStyle w:val="Normal"/>
        <w:ind w:left="709" w:hanging="425"/>
        <w:rPr>
          <w:bCs/>
          <w:i/>
          <w:i/>
          <w:iCs/>
          <w:sz w:val="24"/>
          <w:szCs w:val="24"/>
          <w:lang w:eastAsia="x-none"/>
        </w:rPr>
      </w:pPr>
      <w:r>
        <w:rPr>
          <w:bCs/>
          <w:i/>
          <w:iCs/>
          <w:sz w:val="24"/>
          <w:szCs w:val="24"/>
          <w:lang w:eastAsia="x-none"/>
        </w:rPr>
      </w:r>
    </w:p>
    <w:p>
      <w:pPr>
        <w:pStyle w:val="Normal"/>
        <w:ind w:left="709" w:hanging="425"/>
        <w:rPr>
          <w:bCs/>
          <w:i/>
          <w:i/>
          <w:iCs/>
          <w:sz w:val="24"/>
          <w:szCs w:val="24"/>
          <w:lang w:eastAsia="x-none"/>
        </w:rPr>
      </w:pPr>
      <w:r>
        <w:rPr>
          <w:bCs/>
          <w:i/>
          <w:iCs/>
          <w:sz w:val="24"/>
          <w:szCs w:val="24"/>
          <w:lang w:eastAsia="x-none"/>
        </w:rPr>
      </w:r>
    </w:p>
    <w:p>
      <w:pPr>
        <w:pStyle w:val="Normal"/>
        <w:ind w:left="709" w:hanging="425"/>
        <w:rPr>
          <w:bCs/>
          <w:i/>
          <w:i/>
          <w:iCs/>
          <w:sz w:val="24"/>
          <w:szCs w:val="24"/>
          <w:lang w:eastAsia="x-none"/>
        </w:rPr>
      </w:pPr>
      <w:r>
        <w:rPr>
          <w:bCs/>
          <w:i/>
          <w:iCs/>
          <w:sz w:val="24"/>
          <w:szCs w:val="24"/>
          <w:lang w:eastAsia="x-none"/>
        </w:rPr>
      </w:r>
    </w:p>
    <w:p>
      <w:pPr>
        <w:pStyle w:val="Normal"/>
        <w:ind w:left="709" w:hanging="425"/>
        <w:rPr>
          <w:bCs/>
          <w:i/>
          <w:i/>
          <w:iCs/>
          <w:sz w:val="24"/>
          <w:szCs w:val="24"/>
          <w:lang w:eastAsia="x-none"/>
        </w:rPr>
      </w:pPr>
      <w:r>
        <w:rPr>
          <w:bCs/>
          <w:i/>
          <w:iCs/>
          <w:sz w:val="24"/>
          <w:szCs w:val="24"/>
          <w:lang w:eastAsia="x-none"/>
        </w:rPr>
      </w:r>
    </w:p>
    <w:p>
      <w:pPr>
        <w:pStyle w:val="Normal"/>
        <w:ind w:left="709" w:hanging="425"/>
        <w:rPr>
          <w:bCs/>
          <w:i/>
          <w:i/>
          <w:iCs/>
          <w:sz w:val="24"/>
          <w:szCs w:val="24"/>
          <w:lang w:eastAsia="x-none"/>
        </w:rPr>
      </w:pPr>
      <w:r>
        <w:rPr>
          <w:bCs/>
          <w:i/>
          <w:iCs/>
          <w:sz w:val="24"/>
          <w:szCs w:val="24"/>
          <w:lang w:eastAsia="x-none"/>
        </w:rPr>
      </w:r>
    </w:p>
    <w:p>
      <w:pPr>
        <w:sectPr>
          <w:headerReference w:type="default" r:id="rId6"/>
          <w:headerReference w:type="first" r:id="rId7"/>
          <w:type w:val="nextPage"/>
          <w:pgSz w:w="11906" w:h="16838"/>
          <w:pgMar w:left="1134" w:right="851" w:gutter="0" w:header="680" w:top="1134" w:footer="0" w:bottom="992"/>
          <w:pgNumType w:fmt="decimal"/>
          <w:formProt w:val="false"/>
          <w:textDirection w:val="lrTb"/>
          <w:docGrid w:type="default" w:linePitch="381" w:charSpace="0"/>
        </w:sectPr>
        <w:pStyle w:val="Normal"/>
        <w:ind w:left="709" w:hanging="425"/>
        <w:rPr>
          <w:bCs/>
          <w:i/>
          <w:i/>
          <w:iCs/>
          <w:sz w:val="24"/>
          <w:szCs w:val="24"/>
          <w:lang w:eastAsia="x-none"/>
        </w:rPr>
      </w:pPr>
      <w:r>
        <w:rPr>
          <w:bCs/>
          <w:i/>
          <w:iCs/>
          <w:sz w:val="24"/>
          <w:szCs w:val="24"/>
          <w:lang w:eastAsia="x-none"/>
        </w:rPr>
      </w:r>
    </w:p>
    <w:p>
      <w:pPr>
        <w:pStyle w:val="Normal"/>
        <w:ind w:left="709" w:hanging="425"/>
        <w:rPr>
          <w:bCs/>
          <w:i/>
          <w:i/>
          <w:iCs/>
          <w:sz w:val="24"/>
          <w:szCs w:val="24"/>
          <w:lang w:eastAsia="x-none"/>
        </w:rPr>
      </w:pPr>
      <w:r>
        <w:rPr>
          <w:bCs/>
          <w:i/>
          <w:iCs/>
          <w:sz w:val="24"/>
          <w:szCs w:val="24"/>
          <w:lang w:eastAsia="x-none"/>
        </w:rPr>
      </w:r>
    </w:p>
    <w:p>
      <w:pPr>
        <w:pStyle w:val="24"/>
        <w:keepNext w:val="false"/>
        <w:numPr>
          <w:ilvl w:val="0"/>
          <w:numId w:val="0"/>
        </w:numPr>
        <w:tabs>
          <w:tab w:val="left" w:pos="1134" w:leader="none"/>
          <w:tab w:val="left" w:pos="1440" w:leader="none"/>
          <w:tab w:val="left" w:pos="2736" w:leader="none"/>
        </w:tabs>
        <w:spacing w:lineRule="exact" w:line="360" w:before="0" w:after="160"/>
        <w:ind w:left="1134" w:hanging="1134"/>
        <w:jc w:val="both"/>
        <w:outlineLvl w:val="9"/>
        <w:rPr>
          <w:sz w:val="26"/>
        </w:rPr>
      </w:pPr>
      <w:r>
        <w:rPr/>
        <w:t>Ф</w:t>
      </w:r>
      <w:bookmarkStart w:id="44" w:name="_Toc141972716"/>
      <w:bookmarkStart w:id="45" w:name="_Ref511135236"/>
      <w:r>
        <w:rPr/>
        <w:t xml:space="preserve">орма </w:t>
      </w:r>
      <w:bookmarkEnd w:id="45"/>
      <w:r>
        <w:rPr/>
        <w:t>Коммерческого предложения</w:t>
      </w:r>
      <w:bookmarkEnd w:id="44"/>
    </w:p>
    <w:p>
      <w:pPr>
        <w:pStyle w:val="Normal"/>
        <w:keepNext w:val="true"/>
        <w:pBdr>
          <w:top w:val="single" w:sz="4" w:space="1" w:color="000000"/>
        </w:pBdr>
        <w:shd w:val="clear" w:color="auto" w:fill="D9D9D9" w:themeFill="background1" w:themeFillShade="d9"/>
        <w:spacing w:before="0" w:after="120"/>
        <w:rPr>
          <w:rFonts w:eastAsia="Calibri" w:eastAsiaTheme="minorHAnsi"/>
          <w:lang w:eastAsia="en-US"/>
        </w:rPr>
      </w:pPr>
      <w:r>
        <w:rPr>
          <w:rFonts w:eastAsia="Calibri" w:eastAsiaTheme="minorHAnsi"/>
          <w:lang w:eastAsia="en-US"/>
        </w:rPr>
        <w:t>начало формы</w:t>
      </w:r>
    </w:p>
    <w:p>
      <w:pPr>
        <w:pStyle w:val="Normal"/>
        <w:ind w:hanging="0"/>
        <w:rPr>
          <w:sz w:val="24"/>
        </w:rPr>
      </w:pPr>
      <w:r>
        <w:rPr>
          <w:sz w:val="24"/>
        </w:rPr>
        <w:t xml:space="preserve">Приложение </w:t>
      </w:r>
      <w:r>
        <w:rPr>
          <w:sz w:val="24"/>
        </w:rPr>
        <w:fldChar w:fldCharType="begin"/>
      </w:r>
      <w:r>
        <w:rPr>
          <w:sz w:val="24"/>
        </w:rPr>
        <w:instrText xml:space="preserve"> SEQ Приложение \* ARABIC </w:instrText>
      </w:r>
      <w:r>
        <w:rPr>
          <w:sz w:val="24"/>
        </w:rPr>
        <w:fldChar w:fldCharType="separate"/>
      </w:r>
      <w:r>
        <w:rPr>
          <w:sz w:val="24"/>
        </w:rPr>
        <w:t>1</w:t>
      </w:r>
      <w:r>
        <w:rPr>
          <w:sz w:val="24"/>
        </w:rPr>
        <w:fldChar w:fldCharType="end"/>
      </w:r>
      <w:r>
        <w:rPr>
          <w:sz w:val="24"/>
        </w:rPr>
        <w:t xml:space="preserve"> к письму о подаче оферты</w:t>
        <w:br/>
        <w:t>от «____» _____________ г. №__________</w:t>
      </w:r>
    </w:p>
    <w:p>
      <w:pPr>
        <w:pStyle w:val="Normal"/>
        <w:rPr>
          <w:sz w:val="26"/>
        </w:rPr>
      </w:pPr>
      <w:r>
        <w:rPr>
          <w:sz w:val="26"/>
        </w:rPr>
      </w:r>
    </w:p>
    <w:p>
      <w:pPr>
        <w:pStyle w:val="Normal"/>
        <w:rPr>
          <w:b/>
          <w:sz w:val="32"/>
        </w:rPr>
      </w:pPr>
      <w:r>
        <w:rPr>
          <w:b/>
          <w:caps/>
          <w:spacing w:val="20"/>
        </w:rPr>
        <w:t>Коммерческое предложение</w:t>
      </w:r>
    </w:p>
    <w:p>
      <w:pPr>
        <w:pStyle w:val="Normal"/>
        <w:spacing w:before="0" w:after="120"/>
        <w:rPr/>
      </w:pPr>
      <w:r>
        <w:rPr/>
        <w:t>Наименование и ИНН Участника: _________________________________</w:t>
      </w:r>
    </w:p>
    <w:p>
      <w:pPr>
        <w:pStyle w:val="Normal"/>
        <w:rPr>
          <w:rStyle w:val="Style8"/>
          <w:b w:val="false"/>
          <w:sz w:val="26"/>
          <w:highlight w:val="lightGray"/>
        </w:rPr>
      </w:pPr>
      <w:r>
        <w:rPr>
          <w:i/>
          <w:highlight w:val="lightGray"/>
          <w:shd w:fill="BFBFBF" w:val="clear"/>
        </w:rPr>
        <w:t>[</w:t>
      </w:r>
      <w:r>
        <w:rPr>
          <w:rStyle w:val="Style8"/>
          <w:highlight w:val="lightGray"/>
          <w:shd w:fill="BFBFBF" w:val="clear"/>
        </w:rPr>
        <w:t xml:space="preserve">Здесь Участник приводит свое Коммерческое предложение вместе </w:t>
      </w:r>
      <w:r>
        <w:rPr>
          <w:rStyle w:val="Style8"/>
          <w:highlight w:val="lightGray"/>
          <w:u w:val="single"/>
          <w:shd w:fill="BFBFBF" w:val="clear"/>
        </w:rPr>
        <w:t>с приложением в обязательном порядке подтверждающей документации, составленной в соответствии с Техническими требованиями Заказчика</w:t>
      </w:r>
      <w:r>
        <w:rPr>
          <w:rStyle w:val="Style8"/>
          <w:highlight w:val="lightGray"/>
          <w:shd w:fill="BFBFBF" w:val="clear"/>
        </w:rPr>
        <w:t xml:space="preserve"> </w:t>
      </w:r>
    </w:p>
    <w:p>
      <w:pPr>
        <w:pStyle w:val="Normal"/>
        <w:ind w:hanging="0"/>
        <w:jc w:val="center"/>
        <w:rPr>
          <w:rStyle w:val="Style8"/>
          <w:b w:val="false"/>
        </w:rPr>
      </w:pPr>
      <w:r>
        <w:rPr>
          <w:b w:val="false"/>
        </w:rPr>
      </w:r>
    </w:p>
    <w:tbl>
      <w:tblPr>
        <w:tblW w:w="14836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424"/>
        <w:gridCol w:w="567"/>
        <w:gridCol w:w="992"/>
        <w:gridCol w:w="1702"/>
        <w:gridCol w:w="1982"/>
        <w:gridCol w:w="2980"/>
        <w:gridCol w:w="564"/>
        <w:gridCol w:w="1844"/>
        <w:gridCol w:w="1564"/>
        <w:gridCol w:w="711"/>
        <w:gridCol w:w="1276"/>
        <w:gridCol w:w="228"/>
      </w:tblGrid>
      <w:tr>
        <w:trPr/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-105" w:right="-81" w:firstLine="567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№ </w:t>
            </w:r>
            <w:r>
              <w:rPr>
                <w:rFonts w:eastAsia="Calibri"/>
                <w:sz w:val="18"/>
                <w:szCs w:val="18"/>
                <w:lang w:eastAsia="en-US"/>
              </w:rPr>
              <w:t>п/п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-105" w:right="-81" w:hanging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Наименование предлагаемой продукции (товары, работы, услуги)</w:t>
            </w:r>
            <w:r>
              <w:rPr>
                <w:rStyle w:val="Style8"/>
                <w:sz w:val="18"/>
                <w:szCs w:val="18"/>
                <w:highlight w:val="lightGray"/>
                <w:shd w:fill="BFBFBF" w:val="clear"/>
              </w:rPr>
              <w:t>]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-105" w:right="-81" w:hanging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Страна происхождения товара </w:t>
              <w:br/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-105" w:right="-81" w:hanging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Производитель продукции</w:t>
            </w:r>
          </w:p>
        </w:tc>
        <w:tc>
          <w:tcPr>
            <w:tcW w:w="2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-105" w:right="-81" w:hanging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Номер реестровой записи из реестра, предусмотренного приложением №2 ПП 1875</w:t>
            </w:r>
          </w:p>
          <w:p>
            <w:pPr>
              <w:pStyle w:val="Normal"/>
              <w:widowControl w:val="false"/>
              <w:ind w:left="-105" w:right="-81" w:hanging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-105" w:right="-81" w:hanging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val="en-US" w:eastAsia="en-US"/>
              </w:rPr>
              <w:t>Е</w:t>
            </w:r>
            <w:r>
              <w:rPr>
                <w:rFonts w:eastAsia="Calibri"/>
                <w:sz w:val="18"/>
                <w:szCs w:val="18"/>
                <w:lang w:eastAsia="en-US"/>
              </w:rPr>
              <w:t>д.</w:t>
            </w:r>
          </w:p>
          <w:p>
            <w:pPr>
              <w:pStyle w:val="Normal"/>
              <w:widowControl w:val="false"/>
              <w:ind w:left="-105" w:right="-81" w:hanging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изм.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-105" w:right="-81" w:hanging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 xml:space="preserve">НМЦ единицы продукции (руб. без НДС) </w:t>
              <w:br/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-105" w:right="-81" w:hanging="0"/>
              <w:jc w:val="center"/>
              <w:rPr>
                <w:rFonts w:eastAsia="Calibri"/>
                <w:i/>
                <w:i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Предлагаемая цена одной единицы </w:t>
            </w:r>
            <w:r>
              <w:rPr>
                <w:sz w:val="18"/>
                <w:szCs w:val="18"/>
              </w:rPr>
              <w:t>продукции</w:t>
            </w:r>
            <w:r>
              <w:rPr>
                <w:rFonts w:eastAsia="Calibri"/>
                <w:sz w:val="18"/>
                <w:szCs w:val="18"/>
                <w:lang w:eastAsia="en-US"/>
              </w:rPr>
              <w:t>, руб. без НДС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-105" w:right="-81" w:hanging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Кол-во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-105" w:right="-81" w:hanging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Итоговая стоимость позиции</w:t>
              <w:br/>
              <w:t>(руб. без НДС)</w:t>
            </w:r>
          </w:p>
        </w:tc>
        <w:tc>
          <w:tcPr>
            <w:tcW w:w="228" w:type="dxa"/>
            <w:tcBorders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/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1.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</w:r>
          </w:p>
        </w:tc>
        <w:tc>
          <w:tcPr>
            <w:tcW w:w="2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</w:r>
          </w:p>
        </w:tc>
        <w:tc>
          <w:tcPr>
            <w:tcW w:w="228" w:type="dxa"/>
            <w:tcBorders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/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…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</w:r>
          </w:p>
        </w:tc>
        <w:tc>
          <w:tcPr>
            <w:tcW w:w="2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</w:r>
          </w:p>
        </w:tc>
        <w:tc>
          <w:tcPr>
            <w:tcW w:w="228" w:type="dxa"/>
            <w:tcBorders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/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</w:r>
          </w:p>
        </w:tc>
        <w:tc>
          <w:tcPr>
            <w:tcW w:w="1233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ИТОГО без НДС: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</w:r>
          </w:p>
        </w:tc>
        <w:tc>
          <w:tcPr>
            <w:tcW w:w="228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</w:r>
          </w:p>
        </w:tc>
        <w:tc>
          <w:tcPr>
            <w:tcW w:w="1233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Кроме того, НДС (__%):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</w:r>
          </w:p>
        </w:tc>
        <w:tc>
          <w:tcPr>
            <w:tcW w:w="228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</w:r>
          </w:p>
        </w:tc>
        <w:tc>
          <w:tcPr>
            <w:tcW w:w="1233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ИТОГО с НДС: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</w:r>
          </w:p>
        </w:tc>
        <w:tc>
          <w:tcPr>
            <w:tcW w:w="228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</w:tbl>
    <w:p>
      <w:pPr>
        <w:pStyle w:val="Normal"/>
        <w:jc w:val="center"/>
        <w:rPr>
          <w:i/>
          <w:i/>
        </w:rPr>
      </w:pPr>
      <w:r>
        <w:rPr>
          <w:i/>
          <w:highlight w:val="lightGray"/>
        </w:rPr>
        <w:t>В случае неуказания Участником в данной форме Страны происхождения товара и Производителя продукции и невозможности определения Организатором суммарной доли российской продукции в составе заявки – предлагаемый им товар будет считаться иностранного происхождения.</w:t>
      </w:r>
    </w:p>
    <w:p>
      <w:pPr>
        <w:pStyle w:val="Normal"/>
        <w:jc w:val="center"/>
        <w:rPr/>
      </w:pPr>
      <w:r>
        <w:rPr/>
        <w:t>____________________________________</w:t>
      </w:r>
    </w:p>
    <w:p>
      <w:pPr>
        <w:pStyle w:val="Normal"/>
        <w:ind w:right="3684" w:firstLine="567"/>
        <w:jc w:val="center"/>
        <w:rPr>
          <w:vertAlign w:val="superscript"/>
        </w:rPr>
      </w:pPr>
      <w:r>
        <w:rPr>
          <w:vertAlign w:val="superscript"/>
        </w:rPr>
        <w:t>(подпись, М.П.)</w:t>
      </w:r>
    </w:p>
    <w:p>
      <w:pPr>
        <w:pStyle w:val="Normal"/>
        <w:jc w:val="center"/>
        <w:rPr/>
      </w:pPr>
      <w:r>
        <w:rPr/>
        <w:t>____________________________________</w:t>
      </w:r>
    </w:p>
    <w:p>
      <w:pPr>
        <w:pStyle w:val="Normal"/>
        <w:ind w:right="3684" w:firstLine="567"/>
        <w:jc w:val="center"/>
        <w:rPr>
          <w:vertAlign w:val="superscript"/>
        </w:rPr>
      </w:pPr>
      <w:r>
        <w:rPr>
          <w:vertAlign w:val="superscript"/>
        </w:rPr>
        <w:t>(фамилия, имя, отчество подписавшего, должность)</w:t>
      </w:r>
    </w:p>
    <w:p>
      <w:pPr>
        <w:sectPr>
          <w:headerReference w:type="default" r:id="rId8"/>
          <w:headerReference w:type="first" r:id="rId9"/>
          <w:type w:val="nextPage"/>
          <w:pgSz w:orient="landscape" w:w="16838" w:h="11906"/>
          <w:pgMar w:left="1134" w:right="851" w:gutter="0" w:header="680" w:top="1134" w:footer="0" w:bottom="992"/>
          <w:pgNumType w:fmt="decimal"/>
          <w:formProt w:val="false"/>
          <w:textDirection w:val="lrTb"/>
          <w:docGrid w:type="default" w:linePitch="381" w:charSpace="0"/>
        </w:sectPr>
        <w:pStyle w:val="Normal"/>
        <w:pBdr>
          <w:bottom w:val="single" w:sz="4" w:space="1" w:color="000000"/>
        </w:pBdr>
        <w:shd w:val="clear" w:color="auto" w:fill="D9D9D9" w:themeFill="background1" w:themeFillShade="d9"/>
        <w:spacing w:before="0" w:after="120"/>
        <w:jc w:val="center"/>
        <w:rPr>
          <w:rFonts w:eastAsia="Calibri" w:eastAsiaTheme="minorHAnsi"/>
          <w:lang w:eastAsia="en-US"/>
        </w:rPr>
      </w:pPr>
      <w:r>
        <w:rPr>
          <w:rFonts w:eastAsia="Calibri" w:eastAsiaTheme="minorHAnsi"/>
          <w:lang w:eastAsia="en-US"/>
        </w:rPr>
        <w:t>конец формы</w:t>
      </w:r>
      <w:r>
        <w:br w:type="page"/>
      </w:r>
    </w:p>
    <w:p>
      <w:pPr>
        <w:pStyle w:val="24"/>
        <w:keepNext w:val="false"/>
        <w:numPr>
          <w:ilvl w:val="0"/>
          <w:numId w:val="0"/>
        </w:numPr>
        <w:tabs>
          <w:tab w:val="clear" w:pos="1134"/>
          <w:tab w:val="left" w:pos="1440" w:leader="none"/>
          <w:tab w:val="left" w:pos="2736" w:leader="none"/>
        </w:tabs>
        <w:spacing w:lineRule="exact" w:line="360" w:before="0" w:after="160"/>
        <w:ind w:left="0" w:hanging="0"/>
        <w:jc w:val="both"/>
        <w:outlineLvl w:val="9"/>
        <w:rPr>
          <w:rFonts w:ascii="Times New Roman" w:hAnsi="Times New Roman" w:cs="Times New Roman"/>
        </w:rPr>
      </w:pPr>
      <w:bookmarkStart w:id="46" w:name="_Toc141972717"/>
      <w:r>
        <w:rPr>
          <w:rFonts w:cs="Times New Roman"/>
        </w:rPr>
        <w:t>Инструкции по заполнению</w:t>
      </w:r>
      <w:bookmarkEnd w:id="46"/>
      <w:r>
        <w:rPr>
          <w:rFonts w:cs="Times New Roman"/>
        </w:rPr>
        <w:t xml:space="preserve"> Участник приводит номер и дату письма о подаче оферты, приложением к которому является данное Коммерческое предложение.</w:t>
      </w:r>
    </w:p>
    <w:p>
      <w:pPr>
        <w:pStyle w:val="Style22"/>
        <w:numPr>
          <w:ilvl w:val="0"/>
          <w:numId w:val="0"/>
        </w:numPr>
        <w:tabs>
          <w:tab w:val="clear" w:pos="1134"/>
          <w:tab w:val="left" w:pos="2268" w:leader="none"/>
        </w:tabs>
        <w:ind w:left="0" w:hanging="0"/>
        <w:rPr>
          <w:rFonts w:ascii="Times New Roman" w:hAnsi="Times New Roman" w:cs="Times New Roman"/>
        </w:rPr>
      </w:pPr>
      <w:r>
        <w:rPr>
          <w:rFonts w:cs="Times New Roman"/>
        </w:rPr>
        <w:t>Участник указывает свое фирменное наименование (в т.ч. организационно-правовую форму) и свой ИНН.</w:t>
      </w:r>
    </w:p>
    <w:p>
      <w:pPr>
        <w:pStyle w:val="Style22"/>
        <w:numPr>
          <w:ilvl w:val="0"/>
          <w:numId w:val="0"/>
        </w:numPr>
        <w:tabs>
          <w:tab w:val="clear" w:pos="1134"/>
        </w:tabs>
        <w:ind w:left="0" w:hanging="0"/>
        <w:rPr>
          <w:rFonts w:ascii="Times New Roman" w:hAnsi="Times New Roman" w:cs="Times New Roman"/>
        </w:rPr>
      </w:pPr>
      <w:r>
        <w:rPr>
          <w:rFonts w:cs="Times New Roman"/>
        </w:rPr>
        <w:t>Все расчеты округляются до двух знаков после запятой.</w:t>
      </w:r>
    </w:p>
    <w:p>
      <w:pPr>
        <w:pStyle w:val="Style22"/>
        <w:numPr>
          <w:ilvl w:val="0"/>
          <w:numId w:val="0"/>
        </w:numPr>
        <w:tabs>
          <w:tab w:val="clear" w:pos="1134"/>
        </w:tabs>
        <w:ind w:left="0" w:hanging="0"/>
        <w:rPr>
          <w:rFonts w:ascii="Times New Roman" w:hAnsi="Times New Roman" w:cs="Times New Roman"/>
        </w:rPr>
      </w:pPr>
      <w:r>
        <w:rPr>
          <w:rFonts w:cs="Times New Roman"/>
        </w:rPr>
        <w:t xml:space="preserve">Результат суммирования стоимостей отдельных видов продукции, указанных в Коммерческом предложении, должен совпадать с суммами (в рублях без НДС и с НДС), указанными в Письме о подаче оферты </w:t>
      </w:r>
    </w:p>
    <w:p>
      <w:pPr>
        <w:pStyle w:val="Style22"/>
        <w:numPr>
          <w:ilvl w:val="0"/>
          <w:numId w:val="0"/>
        </w:numPr>
        <w:tabs>
          <w:tab w:val="clear" w:pos="1134"/>
        </w:tabs>
        <w:ind w:left="0" w:hanging="0"/>
        <w:rPr>
          <w:rFonts w:ascii="Times New Roman" w:hAnsi="Times New Roman" w:cs="Times New Roman"/>
        </w:rPr>
      </w:pPr>
      <w:r>
        <w:rPr>
          <w:rFonts w:cs="Times New Roman"/>
        </w:rPr>
        <w:t>Данная форма должна быть в обязательном порядке представлена в формате, доступном для редактирования (</w:t>
      </w:r>
      <w:r>
        <w:rPr>
          <w:rFonts w:cs="Times New Roman"/>
          <w:lang w:val="en-US"/>
        </w:rPr>
        <w:t>MicrosoftExcelSheet</w:t>
      </w:r>
      <w:r>
        <w:rPr>
          <w:rFonts w:cs="Times New Roman"/>
        </w:rPr>
        <w:t xml:space="preserve"> (*.</w:t>
      </w:r>
      <w:r>
        <w:rPr>
          <w:rFonts w:cs="Times New Roman"/>
          <w:lang w:val="en-US"/>
        </w:rPr>
        <w:t>xls</w:t>
      </w:r>
      <w:r>
        <w:rPr>
          <w:rFonts w:cs="Times New Roman"/>
        </w:rPr>
        <w:t>)).</w:t>
      </w:r>
    </w:p>
    <w:p>
      <w:pPr>
        <w:pStyle w:val="Normal"/>
        <w:tabs>
          <w:tab w:val="clear" w:pos="708"/>
          <w:tab w:val="left" w:pos="851" w:leader="none"/>
        </w:tabs>
        <w:spacing w:lineRule="auto" w:line="240" w:before="120" w:after="0"/>
        <w:ind w:left="850" w:hanging="0"/>
        <w:jc w:val="center"/>
        <w:rPr>
          <w:bCs/>
          <w:i/>
          <w:i/>
          <w:iCs/>
          <w:sz w:val="24"/>
          <w:szCs w:val="24"/>
          <w:lang w:eastAsia="x-none"/>
        </w:rPr>
      </w:pPr>
      <w:r>
        <w:rPr/>
      </w:r>
      <w:bookmarkStart w:id="47" w:name="_GoBack_Копия_1_Копия_2"/>
      <w:bookmarkStart w:id="48" w:name="_GoBack_Копия_1_Копия_2"/>
      <w:bookmarkEnd w:id="48"/>
    </w:p>
    <w:sectPr>
      <w:headerReference w:type="default" r:id="rId10"/>
      <w:headerReference w:type="first" r:id="rId11"/>
      <w:type w:val="nextPage"/>
      <w:pgSz w:w="11906" w:h="16838"/>
      <w:pgMar w:left="992" w:right="567" w:gutter="0" w:header="680" w:top="851" w:footer="0" w:bottom="851"/>
      <w:pgNumType w:fmt="decimal"/>
      <w:formProt w:val="false"/>
      <w:textDirection w:val="lrTb"/>
      <w:docGrid w:type="default" w:linePitch="381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Cambria">
    <w:charset w:val="01"/>
    <w:family w:val="roman"/>
    <w:pitch w:val="variable"/>
  </w:font>
  <w:font w:name="Arial">
    <w:charset w:val="01"/>
    <w:family w:val="roman"/>
    <w:pitch w:val="variable"/>
  </w:font>
  <w:font w:name="Calibri">
    <w:charset w:val="01"/>
    <w:family w:val="roman"/>
    <w:pitch w:val="variable"/>
  </w:font>
  <w:font w:name="OpenSymbol">
    <w:altName w:val="Arial Unicode MS"/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ahoma">
    <w:charset w:val="01"/>
    <w:family w:val="roman"/>
    <w:pitch w:val="variable"/>
  </w:font>
  <w:font w:name="Arial Unicode MS">
    <w:charset w:val="01"/>
    <w:family w:val="roman"/>
    <w:pitch w:val="variable"/>
  </w:font>
  <w:font w:name="Verdana">
    <w:charset w:val="01"/>
    <w:family w:val="roman"/>
    <w:pitch w:val="variable"/>
  </w:font>
  <w:font w:name="Garamond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5</w:t>
    </w:r>
    <w:r>
      <w:rPr/>
      <w:fldChar w:fldCharType="end"/>
    </w:r>
  </w:p>
</w:hdr>
</file>

<file path=word/header10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9</w:t>
    </w:r>
    <w:r>
      <w:rPr/>
      <w:fldChar w:fldCharType="end"/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10</w:t>
    </w:r>
    <w:r>
      <w:rPr/>
      <w:fldChar w:fldCharType="end"/>
    </w:r>
  </w:p>
</w:hdr>
</file>

<file path=word/header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7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11</w:t>
    </w:r>
    <w:r>
      <w:rPr/>
      <w:fldChar w:fldCharType="end"/>
    </w:r>
  </w:p>
</w:hdr>
</file>

<file path=word/header8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9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357"/>
        </w:tabs>
        <w:ind w:left="0" w:hanging="0"/>
      </w:pPr>
      <w:rPr/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hanging="0"/>
      </w:pPr>
      <w:rPr/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hanging="0"/>
      </w:pPr>
      <w:rPr/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hanging="0"/>
      </w:pPr>
      <w:rPr/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hanging="0"/>
      </w:pPr>
      <w:rPr/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hanging="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hanging="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hanging="0"/>
      </w:pPr>
      <w:rPr/>
    </w:lvl>
  </w:abstractNum>
  <w:abstractNum w:abstractNumId="2">
    <w:lvl w:ilvl="0">
      <w:start w:val="1"/>
      <w:numFmt w:val="bullet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1844"/>
        </w:tabs>
        <w:ind w:left="6882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8"/>
        <w:sz w:val="28"/>
        <w:spacing w:val="0"/>
        <w:i w:val="false"/>
        <w:u w:val="none"/>
        <w:b/>
        <w:kern w:val="0"/>
        <w:effect w:val="none"/>
        <w:szCs w:val="28"/>
        <w:iCs w:val="false"/>
        <w:bCs w:val="false"/>
        <w:em w:val="none"/>
        <w:vanish w:val="false"/>
        <w:rFonts w:ascii="Times New Roman" w:hAnsi="Times New Roman" w:cs="Times New Roman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sz w:val="24"/>
        <w:i w:val="false"/>
        <w:b/>
        <w:szCs w:val="24"/>
        <w:iCs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  <w:rPr/>
    </w:lvl>
    <w:lvl w:ilvl="3">
      <w:start w:val="1"/>
      <w:numFmt w:val="russianLower"/>
      <w:lvlText w:val="(%4)"/>
      <w:lvlJc w:val="left"/>
      <w:pPr>
        <w:tabs>
          <w:tab w:val="num" w:pos="0"/>
        </w:tabs>
        <w:ind w:left="1985" w:hanging="567"/>
      </w:pPr>
      <w:rPr/>
    </w:lvl>
    <w:lvl w:ilvl="4">
      <w:start w:val="1"/>
      <w:numFmt w:val="bullet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1134" w:hanging="0"/>
      </w:pPr>
      <w:rPr/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1701" w:hanging="0"/>
      </w:pPr>
      <w:rPr/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1134" w:hanging="0"/>
      </w:pPr>
      <w:rPr/>
    </w:lvl>
  </w:abstractNum>
  <w:abstractNum w:abstractNumId="5">
    <w:lvl w:ilvl="0">
      <w:start w:val="1"/>
      <w:numFmt w:val="decimal"/>
      <w:lvlText w:val="1.%1"/>
      <w:lvlJc w:val="left"/>
      <w:pPr>
        <w:tabs>
          <w:tab w:val="num" w:pos="0"/>
        </w:tabs>
        <w:ind w:left="1429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  <w:rPr/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sz w:val="24"/>
        <w:b/>
        <w:szCs w:val="24"/>
        <w:bCs w:val="false"/>
      </w:rPr>
    </w:lvl>
    <w:lvl w:ilvl="1">
      <w:start w:val="1"/>
      <w:numFmt w:val="decimal"/>
      <w:lvlText w:val="%1.%2."/>
      <w:lvlJc w:val="left"/>
      <w:pPr>
        <w:tabs>
          <w:tab w:val="num" w:pos="350"/>
        </w:tabs>
        <w:ind w:left="1142" w:hanging="432"/>
      </w:pPr>
      <w:rPr>
        <w:sz w:val="24"/>
        <w:b w:val="false"/>
        <w:szCs w:val="24"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7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8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9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10">
    <w:lvl w:ilvl="0">
      <w:start w:val="3"/>
      <w:numFmt w:val="decimal"/>
      <w:lvlText w:val="%1."/>
      <w:lvlJc w:val="left"/>
      <w:pPr>
        <w:tabs>
          <w:tab w:val="num" w:pos="0"/>
        </w:tabs>
        <w:ind w:left="108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140" w:hanging="420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40" w:hanging="720"/>
      </w:pPr>
      <w:rPr>
        <w:b w:val="false"/>
        <w:bCs w:val="fals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40" w:hanging="72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800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800" w:hanging="108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60" w:hanging="144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60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20" w:hanging="1800"/>
      </w:pPr>
      <w:rPr/>
    </w:lvl>
  </w:abstractNum>
  <w:abstractNum w:abstractNumId="1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w="http://schemas.openxmlformats.org/wordprocessingml/2006/main">
  <w:zoom w:percent="18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8"/>
      <w:lang w:val="ru-RU" w:eastAsia="ru-RU" w:bidi="ar-SA"/>
    </w:rPr>
  </w:style>
  <w:style w:type="paragraph" w:styleId="Heading1">
    <w:name w:val="Heading 1"/>
    <w:basedOn w:val="Heading3"/>
    <w:next w:val="Normal"/>
    <w:link w:val="1"/>
    <w:qFormat/>
    <w:pPr>
      <w:outlineLvl w:val="0"/>
    </w:pPr>
    <w:rPr>
      <w:sz w:val="28"/>
      <w:szCs w:val="28"/>
    </w:rPr>
  </w:style>
  <w:style w:type="paragraph" w:styleId="Heading2">
    <w:name w:val="Heading 2"/>
    <w:basedOn w:val="Heading4"/>
    <w:next w:val="Normal"/>
    <w:link w:val="2"/>
    <w:qFormat/>
    <w:pPr>
      <w:outlineLvl w:val="1"/>
    </w:pPr>
    <w:rPr/>
  </w:style>
  <w:style w:type="paragraph" w:styleId="Heading3">
    <w:name w:val="Heading 3"/>
    <w:basedOn w:val="Normal"/>
    <w:next w:val="Normal"/>
    <w:link w:val="3"/>
    <w:autoRedefine/>
    <w:qFormat/>
    <w:pPr>
      <w:keepNext w:val="true"/>
      <w:tabs>
        <w:tab w:val="clear" w:pos="708"/>
        <w:tab w:val="left" w:pos="0" w:leader="none"/>
      </w:tabs>
      <w:spacing w:before="120" w:after="60"/>
      <w:ind w:left="1224" w:hanging="504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Heading4">
    <w:name w:val="Heading 4"/>
    <w:basedOn w:val="Heading3"/>
    <w:next w:val="Normal"/>
    <w:link w:val="4"/>
    <w:qFormat/>
    <w:pPr>
      <w:outlineLvl w:val="3"/>
    </w:pPr>
    <w:rPr>
      <w:bCs/>
    </w:rPr>
  </w:style>
  <w:style w:type="paragraph" w:styleId="Heading5">
    <w:name w:val="Heading 5"/>
    <w:basedOn w:val="Normal"/>
    <w:next w:val="Normal"/>
    <w:link w:val="5"/>
    <w:qFormat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Heading6">
    <w:name w:val="Heading 6"/>
    <w:basedOn w:val="Normal"/>
    <w:next w:val="Normal"/>
    <w:link w:val="6"/>
    <w:qFormat/>
    <w:pPr>
      <w:keepNext w:val="true"/>
      <w:keepLines/>
      <w:spacing w:before="200" w:after="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Heading7">
    <w:name w:val="Heading 7"/>
    <w:basedOn w:val="Normal"/>
    <w:next w:val="Normal"/>
    <w:link w:val="7"/>
    <w:qFormat/>
    <w:pPr>
      <w:keepNext w:val="true"/>
      <w:keepLines/>
      <w:spacing w:before="200" w:after="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Heading8">
    <w:name w:val="Heading 8"/>
    <w:basedOn w:val="Normal"/>
    <w:next w:val="Normal"/>
    <w:link w:val="8"/>
    <w:qFormat/>
    <w:pPr>
      <w:keepNext w:val="true"/>
      <w:keepLines/>
      <w:spacing w:before="200" w:after="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Heading9">
    <w:name w:val="Heading 9"/>
    <w:basedOn w:val="Normal"/>
    <w:next w:val="Normal"/>
    <w:link w:val="9"/>
    <w:qFormat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" w:customStyle="1">
    <w:name w:val="Символ сноски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Pagenumber">
    <w:name w:val="page number"/>
    <w:basedOn w:val="DefaultParagraphFont"/>
    <w:qFormat/>
    <w:rPr/>
  </w:style>
  <w:style w:type="character" w:styleId="Hyperlink">
    <w:name w:val="Hyperlink"/>
    <w:rPr>
      <w:color w:val="0000FF"/>
      <w:u w:val="single"/>
    </w:rPr>
  </w:style>
  <w:style w:type="character" w:styleId="Annotationreference">
    <w:name w:val="annotation reference"/>
    <w:qFormat/>
    <w:rPr>
      <w:sz w:val="16"/>
      <w:szCs w:val="16"/>
    </w:rPr>
  </w:style>
  <w:style w:type="character" w:styleId="Strong1">
    <w:name w:val="Strong1"/>
    <w:qFormat/>
    <w:rPr>
      <w:b/>
      <w:bCs/>
    </w:rPr>
  </w:style>
  <w:style w:type="character" w:styleId="6" w:customStyle="1">
    <w:name w:val="Заголовок 6 Знак"/>
    <w:qFormat/>
    <w:rPr>
      <w:rFonts w:ascii="Cambria" w:hAnsi="Cambria"/>
      <w:i/>
      <w:iCs/>
      <w:color w:val="243F60"/>
      <w:lang w:val="x-none" w:eastAsia="x-none"/>
    </w:rPr>
  </w:style>
  <w:style w:type="character" w:styleId="7" w:customStyle="1">
    <w:name w:val="Заголовок 7 Знак"/>
    <w:qFormat/>
    <w:rPr>
      <w:rFonts w:ascii="Cambria" w:hAnsi="Cambria"/>
      <w:i/>
      <w:iCs/>
      <w:color w:val="404040"/>
      <w:lang w:val="x-none" w:eastAsia="x-none"/>
    </w:rPr>
  </w:style>
  <w:style w:type="character" w:styleId="8" w:customStyle="1">
    <w:name w:val="Заголовок 8 Знак"/>
    <w:qFormat/>
    <w:rPr>
      <w:rFonts w:ascii="Cambria" w:hAnsi="Cambria"/>
      <w:color w:val="4F81BD"/>
      <w:lang w:val="x-none" w:eastAsia="x-none"/>
    </w:rPr>
  </w:style>
  <w:style w:type="character" w:styleId="1" w:customStyle="1">
    <w:name w:val="Заголовок 1 Знак"/>
    <w:qFormat/>
    <w:rPr>
      <w:rFonts w:eastAsia="Calibri"/>
      <w:b/>
      <w:sz w:val="28"/>
      <w:szCs w:val="28"/>
      <w:lang w:val="x-none" w:eastAsia="x-none"/>
    </w:rPr>
  </w:style>
  <w:style w:type="character" w:styleId="2" w:customStyle="1">
    <w:name w:val="Заголовок 2 Знак"/>
    <w:qFormat/>
    <w:rPr>
      <w:rFonts w:eastAsia="Calibri"/>
      <w:b/>
      <w:bCs/>
      <w:sz w:val="24"/>
      <w:szCs w:val="24"/>
      <w:lang w:val="x-none" w:eastAsia="x-none"/>
    </w:rPr>
  </w:style>
  <w:style w:type="character" w:styleId="3" w:customStyle="1">
    <w:name w:val="Заголовок 3 Знак"/>
    <w:qFormat/>
    <w:rPr>
      <w:rFonts w:eastAsia="Calibri"/>
      <w:b/>
      <w:sz w:val="24"/>
      <w:szCs w:val="24"/>
      <w:lang w:val="x-none" w:eastAsia="x-none"/>
    </w:rPr>
  </w:style>
  <w:style w:type="character" w:styleId="4" w:customStyle="1">
    <w:name w:val="Заголовок 4 Знак"/>
    <w:qFormat/>
    <w:rPr>
      <w:rFonts w:eastAsia="Calibri"/>
      <w:b/>
      <w:bCs/>
      <w:sz w:val="24"/>
      <w:szCs w:val="24"/>
      <w:lang w:val="x-none" w:eastAsia="x-none"/>
    </w:rPr>
  </w:style>
  <w:style w:type="character" w:styleId="5" w:customStyle="1">
    <w:name w:val="Заголовок 5 Знак"/>
    <w:qFormat/>
    <w:rPr>
      <w:b/>
      <w:bCs/>
      <w:i/>
      <w:iCs/>
      <w:sz w:val="26"/>
      <w:szCs w:val="26"/>
    </w:rPr>
  </w:style>
  <w:style w:type="character" w:styleId="9" w:customStyle="1">
    <w:name w:val="Заголовок 9 Знак"/>
    <w:qFormat/>
    <w:rPr>
      <w:rFonts w:ascii="Arial" w:hAnsi="Arial" w:cs="Arial"/>
      <w:sz w:val="22"/>
      <w:szCs w:val="22"/>
    </w:rPr>
  </w:style>
  <w:style w:type="character" w:styleId="Style1" w:customStyle="1">
    <w:name w:val="Название Знак"/>
    <w:link w:val="15"/>
    <w:qFormat/>
    <w:rPr>
      <w:sz w:val="28"/>
    </w:rPr>
  </w:style>
  <w:style w:type="character" w:styleId="Style2" w:customStyle="1">
    <w:name w:val="Подзаголовок Знак"/>
    <w:qFormat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Emphasis">
    <w:name w:val="Emphasis"/>
    <w:qFormat/>
    <w:rPr>
      <w:i/>
      <w:iCs/>
    </w:rPr>
  </w:style>
  <w:style w:type="character" w:styleId="21" w:customStyle="1">
    <w:name w:val="Цитата 2 Знак"/>
    <w:link w:val="Quote"/>
    <w:qFormat/>
    <w:rPr>
      <w:rFonts w:ascii="Calibri" w:hAnsi="Calibri" w:eastAsia="Calibri"/>
      <w:i/>
      <w:iCs/>
      <w:color w:val="000000"/>
      <w:lang w:val="x-none" w:eastAsia="x-none"/>
    </w:rPr>
  </w:style>
  <w:style w:type="character" w:styleId="Style3" w:customStyle="1">
    <w:name w:val="Выделенная цитата Знак"/>
    <w:link w:val="IntenseQuote"/>
    <w:qFormat/>
    <w:rPr>
      <w:rFonts w:ascii="Calibri" w:hAnsi="Calibri" w:eastAsia="Calibri"/>
      <w:b/>
      <w:bCs/>
      <w:i/>
      <w:iCs/>
      <w:color w:val="4F81BD"/>
      <w:lang w:val="x-none" w:eastAsia="x-none"/>
    </w:rPr>
  </w:style>
  <w:style w:type="character" w:styleId="SubtleEmphasis">
    <w:name w:val="Subtle Emphasis"/>
    <w:qFormat/>
    <w:rPr>
      <w:i/>
      <w:iCs/>
      <w:color w:val="808080"/>
    </w:rPr>
  </w:style>
  <w:style w:type="character" w:styleId="IntenseEmphasis">
    <w:name w:val="Intense Emphasis"/>
    <w:qFormat/>
    <w:rPr>
      <w:b/>
      <w:bCs/>
      <w:i/>
      <w:iCs/>
      <w:color w:val="4F81BD"/>
    </w:rPr>
  </w:style>
  <w:style w:type="character" w:styleId="SubtleReference">
    <w:name w:val="Subtle Reference"/>
    <w:qFormat/>
    <w:rPr>
      <w:smallCaps/>
      <w:color w:val="C0504D"/>
      <w:u w:val="single"/>
    </w:rPr>
  </w:style>
  <w:style w:type="character" w:styleId="IntenseReference">
    <w:name w:val="Intense Reference"/>
    <w:qFormat/>
    <w:rPr>
      <w:b/>
      <w:bCs/>
      <w:smallCaps/>
      <w:color w:val="C0504D"/>
      <w:spacing w:val="5"/>
      <w:u w:val="single"/>
    </w:rPr>
  </w:style>
  <w:style w:type="character" w:styleId="BookTitle">
    <w:name w:val="Book Title"/>
    <w:qFormat/>
    <w:rPr>
      <w:b/>
      <w:bCs/>
      <w:smallCaps/>
      <w:spacing w:val="5"/>
    </w:rPr>
  </w:style>
  <w:style w:type="character" w:styleId="Style4" w:customStyle="1">
    <w:name w:val="Электронная подпись Знак"/>
    <w:link w:val="E-mailSignature"/>
    <w:qFormat/>
    <w:rPr>
      <w:rFonts w:eastAsia="Calibri"/>
      <w:sz w:val="24"/>
      <w:szCs w:val="24"/>
    </w:rPr>
  </w:style>
  <w:style w:type="character" w:styleId="11" w:customStyle="1">
    <w:name w:val="Подпункт Знак1"/>
    <w:link w:val="Style22"/>
    <w:qFormat/>
    <w:rPr>
      <w:sz w:val="28"/>
    </w:rPr>
  </w:style>
  <w:style w:type="character" w:styleId="Style5" w:customStyle="1">
    <w:name w:val="Текст сноски Знак"/>
    <w:qFormat/>
    <w:rPr/>
  </w:style>
  <w:style w:type="character" w:styleId="Style6" w:customStyle="1">
    <w:name w:val="Основной текст Знак"/>
    <w:qFormat/>
    <w:rPr>
      <w:sz w:val="28"/>
      <w:szCs w:val="28"/>
    </w:rPr>
  </w:style>
  <w:style w:type="character" w:styleId="Blk" w:customStyle="1">
    <w:name w:val="blk"/>
    <w:qFormat/>
    <w:rPr/>
  </w:style>
  <w:style w:type="character" w:styleId="Style7" w:customStyle="1">
    <w:name w:val="Абзац списка Знак"/>
    <w:link w:val="ListParagraph"/>
    <w:qFormat/>
    <w:rPr>
      <w:rFonts w:eastAsia="Calibri"/>
      <w:sz w:val="24"/>
      <w:szCs w:val="24"/>
    </w:rPr>
  </w:style>
  <w:style w:type="character" w:styleId="Style8" w:customStyle="1">
    <w:name w:val="комментарий"/>
    <w:qFormat/>
    <w:rPr>
      <w:b/>
      <w:i/>
      <w:shd w:fill="FFFF99" w:val="clear"/>
    </w:rPr>
  </w:style>
  <w:style w:type="character" w:styleId="Style9" w:customStyle="1">
    <w:name w:val="Подподпункт Знак"/>
    <w:link w:val="Style30"/>
    <w:qFormat/>
    <w:rPr>
      <w:sz w:val="26"/>
      <w:szCs w:val="26"/>
    </w:rPr>
  </w:style>
  <w:style w:type="character" w:styleId="31" w:customStyle="1">
    <w:name w:val="УРОВЕНЬ_Абзац_тип3 Знак"/>
    <w:link w:val="36"/>
    <w:qFormat/>
    <w:rPr>
      <w:rFonts w:eastAsia="Calibri"/>
      <w:sz w:val="26"/>
      <w:szCs w:val="28"/>
      <w:lang w:eastAsia="en-US"/>
    </w:rPr>
  </w:style>
  <w:style w:type="character" w:styleId="Style10" w:customStyle="1">
    <w:name w:val="Верхний колонтитул Знак"/>
    <w:qFormat/>
    <w:rPr>
      <w:sz w:val="24"/>
      <w:szCs w:val="24"/>
    </w:rPr>
  </w:style>
  <w:style w:type="character" w:styleId="Style11" w:customStyle="1">
    <w:name w:val="Текст примечания Знак"/>
    <w:link w:val="Annotationtext"/>
    <w:qFormat/>
    <w:rPr/>
  </w:style>
  <w:style w:type="character" w:styleId="Style12" w:customStyle="1">
    <w:name w:val="Текст концевой сноски Знак"/>
    <w:basedOn w:val="DefaultParagraphFont"/>
    <w:qFormat/>
    <w:rPr/>
  </w:style>
  <w:style w:type="character" w:styleId="Style13" w:customStyle="1">
    <w:name w:val="Символ концевой сноски"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22" w:customStyle="1">
    <w:name w:val="Пункт2 Знак"/>
    <w:link w:val="24"/>
    <w:qFormat/>
    <w:rPr>
      <w:b/>
      <w:sz w:val="28"/>
    </w:rPr>
  </w:style>
  <w:style w:type="character" w:styleId="12" w:customStyle="1">
    <w:name w:val="УРОВЕНЬ_1. Знак"/>
    <w:link w:val="19"/>
    <w:qFormat/>
    <w:rPr>
      <w:rFonts w:eastAsia="Calibri"/>
      <w:caps/>
      <w:sz w:val="28"/>
      <w:szCs w:val="28"/>
      <w:lang w:eastAsia="en-US"/>
    </w:rPr>
  </w:style>
  <w:style w:type="character" w:styleId="13" w:customStyle="1">
    <w:name w:val="Неразрешенное упоминание1"/>
    <w:basedOn w:val="DefaultParagraphFont"/>
    <w:qFormat/>
    <w:rPr>
      <w:color w:val="605E5C"/>
      <w:shd w:fill="E1DFDD" w:val="clear"/>
    </w:rPr>
  </w:style>
  <w:style w:type="character" w:styleId="32" w:customStyle="1">
    <w:name w:val="Основной текст с отступом 3 Знак"/>
    <w:link w:val="BodyTextIndent3"/>
    <w:qFormat/>
    <w:rPr>
      <w:sz w:val="16"/>
      <w:szCs w:val="16"/>
    </w:rPr>
  </w:style>
  <w:style w:type="character" w:styleId="Style14" w:customStyle="1">
    <w:name w:val="Ссылка указателя"/>
    <w:qFormat/>
    <w:rPr/>
  </w:style>
  <w:style w:type="character" w:styleId="Linenumber">
    <w:name w:val="line number"/>
    <w:qFormat/>
    <w:rPr/>
  </w:style>
  <w:style w:type="character" w:styleId="Strong2">
    <w:name w:val="Strong2"/>
    <w:qFormat/>
    <w:rPr>
      <w:b/>
      <w:bCs/>
    </w:rPr>
  </w:style>
  <w:style w:type="character" w:styleId="Strong3">
    <w:name w:val="Strong3"/>
    <w:qFormat/>
    <w:rPr>
      <w:b/>
      <w:bCs/>
    </w:rPr>
  </w:style>
  <w:style w:type="character" w:styleId="Style15">
    <w:name w:val="Маркеры"/>
    <w:qFormat/>
    <w:rPr>
      <w:rFonts w:ascii="OpenSymbol" w:hAnsi="OpenSymbol" w:eastAsia="OpenSymbol" w:cs="OpenSymbol"/>
    </w:rPr>
  </w:style>
  <w:style w:type="character" w:styleId="Strong">
    <w:name w:val="Strong"/>
    <w:qFormat/>
    <w:rPr>
      <w:b/>
      <w:bCs/>
    </w:rPr>
  </w:style>
  <w:style w:type="paragraph" w:styleId="Style16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BodyText">
    <w:name w:val="Body Text"/>
    <w:basedOn w:val="Normal"/>
    <w:link w:val="Style6"/>
    <w:pPr>
      <w:spacing w:before="0" w:after="12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/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">
    <w:name w:val="index heading1"/>
    <w:basedOn w:val="Title"/>
    <w:qFormat/>
    <w:pPr/>
    <w:rPr/>
  </w:style>
  <w:style w:type="paragraph" w:styleId="Caption11" w:customStyle="1">
    <w:name w:val="caption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1" w:customStyle="1">
    <w:name w:val="index heading11"/>
    <w:basedOn w:val="Title"/>
    <w:qFormat/>
    <w:pPr/>
    <w:rPr/>
  </w:style>
  <w:style w:type="paragraph" w:styleId="Caption111" w:customStyle="1">
    <w:name w:val="caption1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11" w:customStyle="1">
    <w:name w:val="index heading111"/>
    <w:basedOn w:val="Title"/>
    <w:qFormat/>
    <w:pPr/>
    <w:rPr/>
  </w:style>
  <w:style w:type="paragraph" w:styleId="Style18" w:customStyle="1">
    <w:name w:val="Название раздела инструкции"/>
    <w:basedOn w:val="Normal"/>
    <w:autoRedefine/>
    <w:qFormat/>
    <w:pPr>
      <w:jc w:val="center"/>
    </w:pPr>
    <w:rPr>
      <w:b/>
    </w:rPr>
  </w:style>
  <w:style w:type="paragraph" w:styleId="Style19" w:customStyle="1">
    <w:name w:val="Раздел положения"/>
    <w:basedOn w:val="Normal"/>
    <w:autoRedefine/>
    <w:qFormat/>
    <w:pPr>
      <w:numPr>
        <w:ilvl w:val="0"/>
        <w:numId w:val="1"/>
      </w:numPr>
      <w:spacing w:before="80" w:after="80"/>
      <w:jc w:val="center"/>
    </w:pPr>
    <w:rPr>
      <w:b/>
      <w:sz w:val="32"/>
      <w:szCs w:val="32"/>
    </w:rPr>
  </w:style>
  <w:style w:type="paragraph" w:styleId="Style20" w:customStyle="1">
    <w:name w:val="Подраздел раздела положения"/>
    <w:basedOn w:val="Normal"/>
    <w:autoRedefine/>
    <w:qFormat/>
    <w:pPr>
      <w:numPr>
        <w:ilvl w:val="1"/>
        <w:numId w:val="1"/>
      </w:numPr>
      <w:spacing w:before="80" w:after="80"/>
      <w:jc w:val="both"/>
    </w:pPr>
    <w:rPr/>
  </w:style>
  <w:style w:type="paragraph" w:styleId="FootnoteText">
    <w:name w:val="Footnote Text"/>
    <w:basedOn w:val="Normal"/>
    <w:link w:val="Style5"/>
    <w:pPr/>
    <w:rPr>
      <w:sz w:val="20"/>
      <w:szCs w:val="20"/>
    </w:rPr>
  </w:style>
  <w:style w:type="paragraph" w:styleId="14" w:customStyle="1">
    <w:name w:val="Шапка 1"/>
    <w:basedOn w:val="Normal"/>
    <w:qFormat/>
    <w:pPr>
      <w:pBdr>
        <w:bottom w:val="thickThinSmallGap" w:sz="24" w:space="1" w:color="000000"/>
      </w:pBdr>
      <w:spacing w:before="0" w:after="240"/>
      <w:jc w:val="center"/>
    </w:pPr>
    <w:rPr>
      <w:sz w:val="22"/>
      <w:szCs w:val="22"/>
    </w:rPr>
  </w:style>
  <w:style w:type="paragraph" w:styleId="23" w:customStyle="1">
    <w:name w:val="Шапка 2"/>
    <w:basedOn w:val="Normal"/>
    <w:qFormat/>
    <w:pPr>
      <w:pBdr>
        <w:bottom w:val="thickThinSmallGap" w:sz="24" w:space="1" w:color="000000"/>
      </w:pBdr>
      <w:spacing w:before="0" w:after="120"/>
      <w:jc w:val="center"/>
    </w:pPr>
    <w:rPr>
      <w:b/>
      <w:sz w:val="22"/>
      <w:szCs w:val="22"/>
    </w:rPr>
  </w:style>
  <w:style w:type="paragraph" w:styleId="33" w:customStyle="1">
    <w:name w:val="Шапка 3"/>
    <w:basedOn w:val="Normal"/>
    <w:qFormat/>
    <w:pPr>
      <w:pBdr>
        <w:bottom w:val="thickThinSmallGap" w:sz="24" w:space="1" w:color="000000"/>
      </w:pBdr>
      <w:spacing w:before="240" w:after="360"/>
      <w:jc w:val="center"/>
    </w:pPr>
    <w:rPr>
      <w:b/>
      <w:sz w:val="24"/>
      <w:szCs w:val="24"/>
    </w:rPr>
  </w:style>
  <w:style w:type="paragraph" w:styleId="15" w:customStyle="1">
    <w:name w:val="Название1"/>
    <w:basedOn w:val="Normal"/>
    <w:link w:val="Style1"/>
    <w:qFormat/>
    <w:pPr>
      <w:jc w:val="center"/>
    </w:pPr>
    <w:rPr>
      <w:szCs w:val="20"/>
      <w:lang w:val="x-none" w:eastAsia="x-none"/>
    </w:rPr>
  </w:style>
  <w:style w:type="paragraph" w:styleId="Style21" w:customStyle="1">
    <w:name w:val="Колонтитул"/>
    <w:basedOn w:val="Normal"/>
    <w:qFormat/>
    <w:pPr/>
    <w:rPr/>
  </w:style>
  <w:style w:type="paragraph" w:styleId="Header">
    <w:name w:val="Header"/>
    <w:basedOn w:val="Normal"/>
    <w:link w:val="Style10"/>
    <w:pPr>
      <w:tabs>
        <w:tab w:val="clear" w:pos="708"/>
        <w:tab w:val="center" w:pos="4677" w:leader="none"/>
        <w:tab w:val="right" w:pos="9355" w:leader="none"/>
      </w:tabs>
    </w:pPr>
    <w:rPr>
      <w:sz w:val="24"/>
      <w:szCs w:val="24"/>
    </w:rPr>
  </w:style>
  <w:style w:type="paragraph" w:styleId="BodyTextIndent">
    <w:name w:val="Body Text Indent"/>
    <w:basedOn w:val="Normal"/>
    <w:pPr>
      <w:ind w:left="360" w:hanging="0"/>
    </w:pPr>
    <w:rPr>
      <w:sz w:val="24"/>
      <w:szCs w:val="24"/>
    </w:rPr>
  </w:style>
  <w:style w:type="paragraph" w:styleId="Footer">
    <w:name w:val="Footer"/>
    <w:basedOn w:val="Normal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BodyTextIndent2">
    <w:name w:val="Body Text Indent 2"/>
    <w:basedOn w:val="Normal"/>
    <w:qFormat/>
    <w:pPr>
      <w:spacing w:lineRule="auto" w:line="480" w:before="0" w:after="120"/>
      <w:ind w:left="283" w:hanging="0"/>
    </w:pPr>
    <w:rPr/>
  </w:style>
  <w:style w:type="paragraph" w:styleId="BodyText3">
    <w:name w:val="Body Text 3"/>
    <w:basedOn w:val="Normal"/>
    <w:qFormat/>
    <w:pPr>
      <w:spacing w:before="0" w:after="120"/>
    </w:pPr>
    <w:rPr>
      <w:sz w:val="16"/>
      <w:szCs w:val="16"/>
    </w:rPr>
  </w:style>
  <w:style w:type="paragraph" w:styleId="BodyTextIndent3">
    <w:name w:val="Body Text Indent 3"/>
    <w:basedOn w:val="Normal"/>
    <w:link w:val="32"/>
    <w:qFormat/>
    <w:pPr>
      <w:spacing w:before="0" w:after="120"/>
      <w:ind w:left="283" w:hanging="0"/>
    </w:pPr>
    <w:rPr>
      <w:sz w:val="16"/>
      <w:szCs w:val="16"/>
    </w:rPr>
  </w:style>
  <w:style w:type="paragraph" w:styleId="BodyText2">
    <w:name w:val="Body Text 2"/>
    <w:basedOn w:val="Normal"/>
    <w:qFormat/>
    <w:pPr>
      <w:spacing w:lineRule="auto" w:line="480" w:before="0" w:after="120"/>
    </w:pPr>
    <w:rPr/>
  </w:style>
  <w:style w:type="paragraph" w:styleId="BlockText">
    <w:name w:val="Block Text"/>
    <w:basedOn w:val="Normal"/>
    <w:qFormat/>
    <w:pPr>
      <w:ind w:left="-567" w:right="-766" w:hanging="0"/>
      <w:jc w:val="center"/>
    </w:pPr>
    <w:rPr>
      <w:b/>
      <w:bCs/>
      <w:sz w:val="24"/>
      <w:szCs w:val="20"/>
    </w:rPr>
  </w:style>
  <w:style w:type="paragraph" w:styleId="Style22" w:customStyle="1">
    <w:name w:val="Подпункт"/>
    <w:basedOn w:val="Normal"/>
    <w:link w:val="11"/>
    <w:qFormat/>
    <w:pPr>
      <w:tabs>
        <w:tab w:val="clear" w:pos="708"/>
        <w:tab w:val="left" w:pos="1134" w:leader="none"/>
      </w:tabs>
      <w:snapToGrid w:val="false"/>
      <w:spacing w:lineRule="auto" w:line="360"/>
      <w:ind w:left="1134" w:hanging="1134"/>
      <w:jc w:val="both"/>
    </w:pPr>
    <w:rPr>
      <w:szCs w:val="20"/>
      <w:lang w:val="x-none" w:eastAsia="x-none"/>
    </w:rPr>
  </w:style>
  <w:style w:type="paragraph" w:styleId="24" w:customStyle="1">
    <w:name w:val="Пункт2"/>
    <w:basedOn w:val="Normal"/>
    <w:link w:val="22"/>
    <w:qFormat/>
    <w:pPr>
      <w:keepNext w:val="true"/>
      <w:tabs>
        <w:tab w:val="clear" w:pos="708"/>
        <w:tab w:val="left" w:pos="1134" w:leader="none"/>
      </w:tabs>
      <w:snapToGrid w:val="false"/>
      <w:spacing w:before="240" w:after="120"/>
      <w:ind w:left="1134" w:hanging="1134"/>
      <w:outlineLvl w:val="2"/>
    </w:pPr>
    <w:rPr>
      <w:b/>
      <w:szCs w:val="20"/>
    </w:rPr>
  </w:style>
  <w:style w:type="paragraph" w:styleId="TOC1">
    <w:name w:val="TOC 1"/>
    <w:basedOn w:val="Normal"/>
    <w:next w:val="Normal"/>
    <w:autoRedefine/>
    <w:pPr>
      <w:shd w:val="clear" w:color="auto" w:fill="FFFFFF"/>
      <w:spacing w:before="120" w:after="0"/>
    </w:pPr>
    <w:rPr>
      <w:rFonts w:cs="Calibri Light (Заголовки)"/>
      <w:b/>
      <w:bCs/>
      <w:sz w:val="24"/>
      <w:szCs w:val="24"/>
    </w:rPr>
  </w:style>
  <w:style w:type="paragraph" w:styleId="TOC3">
    <w:name w:val="TOC 3"/>
    <w:basedOn w:val="Normal"/>
    <w:next w:val="Normal"/>
    <w:autoRedefine/>
    <w:pPr>
      <w:shd w:val="clear" w:color="auto" w:fill="FFFFFF"/>
      <w:ind w:left="280" w:hanging="0"/>
    </w:pPr>
    <w:rPr>
      <w:rFonts w:cs="Calibri"/>
      <w:sz w:val="20"/>
      <w:szCs w:val="20"/>
    </w:rPr>
  </w:style>
  <w:style w:type="paragraph" w:styleId="Style23" w:customStyle="1">
    <w:name w:val="Раздел регламента"/>
    <w:basedOn w:val="Normal"/>
    <w:qFormat/>
    <w:pPr/>
    <w:rPr/>
  </w:style>
  <w:style w:type="paragraph" w:styleId="Style24" w:customStyle="1">
    <w:name w:val="Приложение к регламенту"/>
    <w:basedOn w:val="Normal"/>
    <w:qFormat/>
    <w:pPr>
      <w:jc w:val="right"/>
    </w:pPr>
    <w:rPr/>
  </w:style>
  <w:style w:type="paragraph" w:styleId="TOC2">
    <w:name w:val="TOC 2"/>
    <w:basedOn w:val="Normal"/>
    <w:next w:val="Normal"/>
    <w:autoRedefine/>
    <w:pPr>
      <w:spacing w:before="240" w:after="0"/>
    </w:pPr>
    <w:rPr>
      <w:rFonts w:cs="Calibri"/>
      <w:b/>
      <w:bCs/>
      <w:sz w:val="20"/>
      <w:szCs w:val="20"/>
    </w:rPr>
  </w:style>
  <w:style w:type="paragraph" w:styleId="BalloonText">
    <w:name w:val="Balloon Text"/>
    <w:basedOn w:val="Normal"/>
    <w:qFormat/>
    <w:pPr/>
    <w:rPr>
      <w:rFonts w:ascii="Tahoma" w:hAnsi="Tahoma" w:cs="Tahoma"/>
      <w:sz w:val="16"/>
      <w:szCs w:val="16"/>
    </w:rPr>
  </w:style>
  <w:style w:type="paragraph" w:styleId="Annotationtext">
    <w:name w:val="annotation text"/>
    <w:basedOn w:val="Normal"/>
    <w:link w:val="Style11"/>
    <w:qFormat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qFormat/>
    <w:pPr/>
    <w:rPr>
      <w:b/>
      <w:bCs/>
    </w:rPr>
  </w:style>
  <w:style w:type="paragraph" w:styleId="16" w:customStyle="1">
    <w:name w:val="Обычный (веб)1"/>
    <w:basedOn w:val="Normal"/>
    <w:qFormat/>
    <w:pPr>
      <w:spacing w:before="280" w:after="280"/>
    </w:pPr>
    <w:rPr>
      <w:rFonts w:ascii="Arial Unicode MS" w:hAnsi="Arial Unicode MS" w:eastAsia="Arial Unicode MS" w:cs="Arial Unicode MS"/>
      <w:sz w:val="24"/>
      <w:szCs w:val="24"/>
    </w:rPr>
  </w:style>
  <w:style w:type="paragraph" w:styleId="TOC9">
    <w:name w:val="TOC 9"/>
    <w:basedOn w:val="Normal"/>
    <w:next w:val="Normal"/>
    <w:autoRedefine/>
    <w:pPr>
      <w:ind w:left="1960" w:hanging="0"/>
    </w:pPr>
    <w:rPr>
      <w:rFonts w:ascii="Calibri" w:hAnsi="Calibri" w:cs="Calibri"/>
      <w:sz w:val="20"/>
      <w:szCs w:val="20"/>
    </w:rPr>
  </w:style>
  <w:style w:type="paragraph" w:styleId="TOC5">
    <w:name w:val="TOC 5"/>
    <w:basedOn w:val="Normal"/>
    <w:next w:val="Normal"/>
    <w:autoRedefine/>
    <w:pPr>
      <w:ind w:left="840" w:hanging="0"/>
    </w:pPr>
    <w:rPr>
      <w:rFonts w:ascii="Calibri" w:hAnsi="Calibri" w:cs="Calibri"/>
      <w:sz w:val="20"/>
      <w:szCs w:val="20"/>
    </w:rPr>
  </w:style>
  <w:style w:type="paragraph" w:styleId="TOC4">
    <w:name w:val="TOC 4"/>
    <w:basedOn w:val="Normal"/>
    <w:next w:val="Normal"/>
    <w:autoRedefine/>
    <w:pPr>
      <w:shd w:val="clear" w:color="auto" w:fill="FFFFFF"/>
      <w:ind w:left="560" w:hanging="0"/>
    </w:pPr>
    <w:rPr>
      <w:rFonts w:cs="Calibri"/>
      <w:sz w:val="20"/>
      <w:szCs w:val="20"/>
    </w:rPr>
  </w:style>
  <w:style w:type="paragraph" w:styleId="25" w:customStyle="1">
    <w:name w:val="Раздел положения 2"/>
    <w:basedOn w:val="Normal"/>
    <w:qFormat/>
    <w:pPr>
      <w:pageBreakBefore/>
      <w:jc w:val="both"/>
      <w:outlineLvl w:val="0"/>
    </w:pPr>
    <w:rPr>
      <w:b/>
    </w:rPr>
  </w:style>
  <w:style w:type="paragraph" w:styleId="Style25" w:customStyle="1">
    <w:name w:val="Знак Знак Знак Знак Знак Знак Знак Знак Знак"/>
    <w:basedOn w:val="Normal"/>
    <w:qFormat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NoSpacing">
    <w:name w:val="No Spacing"/>
    <w:basedOn w:val="Normal"/>
    <w:qFormat/>
    <w:pPr>
      <w:spacing w:lineRule="auto" w:line="360"/>
    </w:pPr>
    <w:rPr>
      <w:rFonts w:eastAsia="Calibri"/>
      <w:sz w:val="24"/>
      <w:szCs w:val="24"/>
    </w:rPr>
  </w:style>
  <w:style w:type="paragraph" w:styleId="Caption1111" w:customStyle="1">
    <w:name w:val="caption1111"/>
    <w:basedOn w:val="Normal"/>
    <w:next w:val="Normal"/>
    <w:qFormat/>
    <w:pPr/>
    <w:rPr>
      <w:rFonts w:eastAsia="Calibri"/>
      <w:b/>
      <w:bCs/>
      <w:color w:val="4F81BD"/>
      <w:sz w:val="18"/>
      <w:szCs w:val="18"/>
    </w:rPr>
  </w:style>
  <w:style w:type="paragraph" w:styleId="Subtitle">
    <w:name w:val="Subtitle"/>
    <w:basedOn w:val="Normal"/>
    <w:next w:val="Normal"/>
    <w:link w:val="Style2"/>
    <w:qFormat/>
    <w:p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paragraph" w:styleId="ListParagraph">
    <w:name w:val="List Paragraph"/>
    <w:basedOn w:val="Normal"/>
    <w:link w:val="Style7"/>
    <w:qFormat/>
    <w:pPr>
      <w:spacing w:before="0" w:after="0"/>
      <w:ind w:left="720" w:hanging="0"/>
      <w:contextualSpacing/>
    </w:pPr>
    <w:rPr>
      <w:rFonts w:eastAsia="Calibri"/>
      <w:sz w:val="24"/>
      <w:szCs w:val="24"/>
    </w:rPr>
  </w:style>
  <w:style w:type="paragraph" w:styleId="Quote">
    <w:name w:val="Quote"/>
    <w:basedOn w:val="Normal"/>
    <w:next w:val="Normal"/>
    <w:link w:val="21"/>
    <w:qFormat/>
    <w:pPr/>
    <w:rPr>
      <w:rFonts w:ascii="Calibri" w:hAnsi="Calibri" w:eastAsia="Calibri"/>
      <w:i/>
      <w:iCs/>
      <w:color w:val="000000"/>
      <w:sz w:val="20"/>
      <w:szCs w:val="20"/>
      <w:lang w:val="x-none" w:eastAsia="x-none"/>
    </w:rPr>
  </w:style>
  <w:style w:type="paragraph" w:styleId="IntenseQuote">
    <w:name w:val="Intense Quote"/>
    <w:basedOn w:val="Normal"/>
    <w:next w:val="Normal"/>
    <w:link w:val="Style3"/>
    <w:qFormat/>
    <w:pPr>
      <w:pBdr>
        <w:bottom w:val="single" w:sz="4" w:space="4" w:color="4F81BD"/>
      </w:pBdr>
      <w:spacing w:before="200" w:after="280"/>
      <w:ind w:left="936" w:right="936" w:hanging="0"/>
    </w:pPr>
    <w:rPr>
      <w:rFonts w:ascii="Calibri" w:hAnsi="Calibri" w:eastAsia="Calibri"/>
      <w:b/>
      <w:bCs/>
      <w:i/>
      <w:iCs/>
      <w:color w:val="4F81BD"/>
      <w:sz w:val="20"/>
      <w:szCs w:val="20"/>
      <w:lang w:val="x-none" w:eastAsia="x-none"/>
    </w:rPr>
  </w:style>
  <w:style w:type="paragraph" w:styleId="IndexHeading">
    <w:name w:val="Index Heading"/>
    <w:basedOn w:val="Style16"/>
    <w:pPr/>
    <w:rPr/>
  </w:style>
  <w:style w:type="paragraph" w:styleId="TOCHeading">
    <w:name w:val="TOC Heading"/>
    <w:basedOn w:val="Heading1"/>
    <w:next w:val="Normal"/>
    <w:qFormat/>
    <w:pPr>
      <w:keepLines/>
      <w:spacing w:before="480" w:after="60"/>
      <w:outlineLvl w:val="9"/>
    </w:pPr>
    <w:rPr>
      <w:rFonts w:ascii="Cambria" w:hAnsi="Cambria"/>
      <w:bCs/>
      <w:color w:val="365F91"/>
    </w:rPr>
  </w:style>
  <w:style w:type="paragraph" w:styleId="E-mailSignature">
    <w:name w:val="E-mail Signature"/>
    <w:basedOn w:val="Normal"/>
    <w:link w:val="Style4"/>
    <w:qFormat/>
    <w:pPr/>
    <w:rPr>
      <w:rFonts w:eastAsia="Calibri"/>
      <w:sz w:val="24"/>
      <w:szCs w:val="24"/>
      <w:lang w:val="x-none" w:eastAsia="x-none"/>
    </w:rPr>
  </w:style>
  <w:style w:type="paragraph" w:styleId="Style26" w:customStyle="1">
    <w:name w:val="Знак"/>
    <w:basedOn w:val="Normal"/>
    <w:qFormat/>
    <w:pPr>
      <w:spacing w:lineRule="exact" w:line="240" w:before="0" w:after="160"/>
    </w:pPr>
    <w:rPr>
      <w:rFonts w:ascii="Verdana" w:hAnsi="Verdana" w:cs="Verdana"/>
      <w:sz w:val="20"/>
      <w:szCs w:val="20"/>
      <w:lang w:val="en-US" w:eastAsia="en-US"/>
    </w:rPr>
  </w:style>
  <w:style w:type="paragraph" w:styleId="34" w:customStyle="1">
    <w:name w:val="Нумерованный список ур3"/>
    <w:basedOn w:val="Normal"/>
    <w:qFormat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styleId="41" w:customStyle="1">
    <w:name w:val="Маркированный список 41"/>
    <w:basedOn w:val="Normal"/>
    <w:qFormat/>
    <w:pPr>
      <w:numPr>
        <w:ilvl w:val="0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26" w:customStyle="1">
    <w:name w:val="Нумерованный список ур2"/>
    <w:basedOn w:val="Normal"/>
    <w:qFormat/>
    <w:pPr>
      <w:numPr>
        <w:ilvl w:val="1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Revision">
    <w:name w:val="Revision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Times New Roman"/>
      <w:color w:val="auto"/>
      <w:kern w:val="0"/>
      <w:sz w:val="24"/>
      <w:szCs w:val="24"/>
      <w:lang w:val="ru-RU" w:eastAsia="ru-RU" w:bidi="ar-SA"/>
    </w:rPr>
  </w:style>
  <w:style w:type="paragraph" w:styleId="ConsPlusNormal" w:customStyle="1">
    <w:name w:val="ConsPlusNormal"/>
    <w:qFormat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35" w:customStyle="1">
    <w:name w:val="Знак Знак3 Знак Знак"/>
    <w:basedOn w:val="Normal"/>
    <w:qFormat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Style27" w:customStyle="1">
    <w:name w:val="Пункт"/>
    <w:basedOn w:val="Normal"/>
    <w:qFormat/>
    <w:pPr>
      <w:widowControl w:val="false"/>
      <w:tabs>
        <w:tab w:val="clear" w:pos="708"/>
        <w:tab w:val="left" w:pos="1134" w:leader="none"/>
      </w:tabs>
      <w:spacing w:lineRule="auto" w:line="360" w:before="120" w:after="0"/>
      <w:ind w:left="1134" w:right="800" w:hanging="1134"/>
      <w:jc w:val="both"/>
    </w:pPr>
    <w:rPr>
      <w:rFonts w:ascii="Arial" w:hAnsi="Arial"/>
      <w:b/>
      <w:i/>
      <w:szCs w:val="20"/>
    </w:rPr>
  </w:style>
  <w:style w:type="paragraph" w:styleId="17" w:customStyle="1">
    <w:name w:val="Абзац списка1"/>
    <w:basedOn w:val="Normal"/>
    <w:qFormat/>
    <w:pPr>
      <w:spacing w:lineRule="auto" w:line="276" w:before="0" w:after="200"/>
      <w:ind w:left="720" w:hanging="0"/>
      <w:contextualSpacing/>
    </w:pPr>
    <w:rPr>
      <w:rFonts w:ascii="Calibri" w:hAnsi="Calibri"/>
      <w:sz w:val="22"/>
      <w:szCs w:val="22"/>
      <w:lang w:eastAsia="en-US"/>
    </w:rPr>
  </w:style>
  <w:style w:type="paragraph" w:styleId="Style28" w:customStyle="1">
    <w:name w:val="Таблица"/>
    <w:basedOn w:val="Normal"/>
    <w:qFormat/>
    <w:pPr>
      <w:keepNext w:val="true"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paragraph" w:styleId="Style29" w:customStyle="1">
    <w:name w:val="Таблица шапка"/>
    <w:basedOn w:val="Normal"/>
    <w:qFormat/>
    <w:pPr>
      <w:keepNext w:val="true"/>
      <w:spacing w:before="40" w:after="40"/>
      <w:ind w:left="57" w:right="57" w:hanging="0"/>
    </w:pPr>
    <w:rPr>
      <w:sz w:val="22"/>
      <w:szCs w:val="26"/>
    </w:rPr>
  </w:style>
  <w:style w:type="paragraph" w:styleId="Style30" w:customStyle="1">
    <w:name w:val="Подподпункт"/>
    <w:basedOn w:val="Style22"/>
    <w:link w:val="Style9"/>
    <w:qFormat/>
    <w:pPr>
      <w:tabs>
        <w:tab w:val="clear" w:pos="1134"/>
        <w:tab w:val="left" w:pos="5104" w:leader="none"/>
      </w:tabs>
      <w:snapToGrid w:val="true"/>
      <w:spacing w:lineRule="auto" w:line="240" w:before="120" w:after="0"/>
      <w:ind w:left="5104" w:hanging="567"/>
    </w:pPr>
    <w:rPr>
      <w:sz w:val="26"/>
      <w:szCs w:val="26"/>
      <w:lang w:val="ru-RU" w:eastAsia="ru-RU"/>
    </w:rPr>
  </w:style>
  <w:style w:type="paragraph" w:styleId="Style31" w:customStyle="1">
    <w:name w:val="УРОВЕНЬ_(а)"/>
    <w:basedOn w:val="ListParagraph"/>
    <w:qFormat/>
    <w:pPr>
      <w:numPr>
        <w:ilvl w:val="3"/>
        <w:numId w:val="4"/>
      </w:numPr>
      <w:spacing w:lineRule="exact" w:line="360" w:before="120" w:after="0"/>
      <w:contextualSpacing w:val="false"/>
      <w:jc w:val="both"/>
      <w:outlineLvl w:val="3"/>
    </w:pPr>
    <w:rPr>
      <w:sz w:val="26"/>
      <w:szCs w:val="28"/>
      <w:lang w:eastAsia="en-US"/>
    </w:rPr>
  </w:style>
  <w:style w:type="paragraph" w:styleId="-" w:customStyle="1">
    <w:name w:val="УРОВЕНЬ_-"/>
    <w:basedOn w:val="ListParagraph"/>
    <w:qFormat/>
    <w:pPr>
      <w:numPr>
        <w:ilvl w:val="4"/>
        <w:numId w:val="4"/>
      </w:numPr>
      <w:spacing w:lineRule="exact" w:line="360" w:before="120" w:after="0"/>
      <w:contextualSpacing w:val="false"/>
      <w:jc w:val="both"/>
      <w:outlineLvl w:val="4"/>
    </w:pPr>
    <w:rPr>
      <w:sz w:val="26"/>
      <w:szCs w:val="28"/>
      <w:lang w:eastAsia="en-US"/>
    </w:rPr>
  </w:style>
  <w:style w:type="paragraph" w:styleId="27" w:customStyle="1">
    <w:name w:val="УРОВЕНЬ_Абзац_тип2"/>
    <w:basedOn w:val="ListParagraph"/>
    <w:qFormat/>
    <w:pPr>
      <w:numPr>
        <w:ilvl w:val="6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36" w:customStyle="1">
    <w:name w:val="УРОВЕНЬ_Абзац_тип3"/>
    <w:basedOn w:val="ListParagraph"/>
    <w:link w:val="31"/>
    <w:qFormat/>
    <w:pPr>
      <w:numPr>
        <w:ilvl w:val="7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Style32" w:customStyle="1">
    <w:name w:val="УРОВЕНЬ_Подпись"/>
    <w:basedOn w:val="ListParagraph"/>
    <w:qFormat/>
    <w:pPr>
      <w:keepNext w:val="true"/>
      <w:numPr>
        <w:ilvl w:val="5"/>
        <w:numId w:val="4"/>
      </w:numPr>
      <w:spacing w:lineRule="exact" w:line="360" w:before="120" w:after="120"/>
      <w:contextualSpacing w:val="false"/>
      <w:jc w:val="right"/>
      <w:outlineLvl w:val="3"/>
    </w:pPr>
    <w:rPr>
      <w:sz w:val="26"/>
      <w:szCs w:val="28"/>
      <w:lang w:eastAsia="en-US"/>
    </w:rPr>
  </w:style>
  <w:style w:type="paragraph" w:styleId="18" w:customStyle="1">
    <w:name w:val="Стиль Заголовок 1 + по ширине"/>
    <w:basedOn w:val="Heading1"/>
    <w:qFormat/>
    <w:pPr>
      <w:keepLines/>
      <w:tabs>
        <w:tab w:val="clear" w:pos="0"/>
        <w:tab w:val="left" w:pos="567" w:leader="none"/>
      </w:tabs>
      <w:spacing w:before="480" w:after="240"/>
      <w:ind w:left="567" w:hanging="567"/>
      <w:jc w:val="both"/>
    </w:pPr>
    <w:rPr>
      <w:rFonts w:ascii="Arial" w:hAnsi="Arial" w:eastAsia="Times New Roman"/>
      <w:bCs/>
      <w:kern w:val="2"/>
      <w:sz w:val="40"/>
      <w:szCs w:val="20"/>
      <w:lang w:val="ru-RU" w:eastAsia="ru-RU"/>
    </w:rPr>
  </w:style>
  <w:style w:type="paragraph" w:styleId="EndnoteText">
    <w:name w:val="Endnote Text"/>
    <w:basedOn w:val="Normal"/>
    <w:link w:val="Style12"/>
    <w:pPr/>
    <w:rPr>
      <w:sz w:val="20"/>
      <w:szCs w:val="20"/>
    </w:rPr>
  </w:style>
  <w:style w:type="paragraph" w:styleId="28" w:customStyle="1">
    <w:name w:val="Заголовок 2 КВВ"/>
    <w:basedOn w:val="Normal"/>
    <w:qFormat/>
    <w:pPr>
      <w:keepNext w:val="true"/>
      <w:numPr>
        <w:ilvl w:val="0"/>
        <w:numId w:val="5"/>
      </w:numPr>
      <w:spacing w:before="120" w:after="120"/>
      <w:jc w:val="both"/>
      <w:outlineLvl w:val="0"/>
    </w:pPr>
    <w:rPr>
      <w:b/>
      <w:kern w:val="2"/>
      <w:sz w:val="24"/>
      <w:szCs w:val="20"/>
      <w:lang w:eastAsia="x-none"/>
    </w:rPr>
  </w:style>
  <w:style w:type="paragraph" w:styleId="Style33" w:customStyle="1">
    <w:name w:val="Таблица текст"/>
    <w:basedOn w:val="Normal"/>
    <w:qFormat/>
    <w:pPr>
      <w:spacing w:before="40" w:after="40"/>
      <w:ind w:left="57" w:right="57" w:hanging="0"/>
    </w:pPr>
    <w:rPr>
      <w:sz w:val="24"/>
      <w:szCs w:val="26"/>
    </w:rPr>
  </w:style>
  <w:style w:type="paragraph" w:styleId="NormalWeb">
    <w:name w:val="Normal (Web)"/>
    <w:basedOn w:val="Normal"/>
    <w:qFormat/>
    <w:pPr>
      <w:spacing w:before="280" w:after="280"/>
    </w:pPr>
    <w:rPr>
      <w:sz w:val="24"/>
      <w:szCs w:val="24"/>
    </w:rPr>
  </w:style>
  <w:style w:type="paragraph" w:styleId="19" w:customStyle="1">
    <w:name w:val="УРОВЕНЬ_1."/>
    <w:basedOn w:val="ListParagraph"/>
    <w:link w:val="12"/>
    <w:qFormat/>
    <w:pPr>
      <w:keepNext w:val="true"/>
      <w:keepLines/>
      <w:spacing w:lineRule="auto" w:line="276" w:before="240" w:after="120"/>
      <w:ind w:left="0" w:hanging="0"/>
      <w:contextualSpacing w:val="false"/>
      <w:jc w:val="both"/>
      <w:outlineLvl w:val="0"/>
    </w:pPr>
    <w:rPr>
      <w:caps/>
      <w:sz w:val="28"/>
      <w:szCs w:val="28"/>
      <w:lang w:eastAsia="en-US"/>
    </w:rPr>
  </w:style>
  <w:style w:type="paragraph" w:styleId="TOC6">
    <w:name w:val="TOC 6"/>
    <w:basedOn w:val="Normal"/>
    <w:next w:val="Normal"/>
    <w:autoRedefine/>
    <w:pPr>
      <w:ind w:left="1120" w:hanging="0"/>
    </w:pPr>
    <w:rPr>
      <w:rFonts w:ascii="Calibri" w:hAnsi="Calibri" w:cs="Calibri"/>
      <w:sz w:val="20"/>
      <w:szCs w:val="20"/>
    </w:rPr>
  </w:style>
  <w:style w:type="paragraph" w:styleId="TOC7">
    <w:name w:val="TOC 7"/>
    <w:basedOn w:val="Normal"/>
    <w:next w:val="Normal"/>
    <w:autoRedefine/>
    <w:pPr>
      <w:ind w:left="1400" w:hanging="0"/>
    </w:pPr>
    <w:rPr>
      <w:rFonts w:ascii="Calibri" w:hAnsi="Calibri" w:cs="Calibri"/>
      <w:sz w:val="20"/>
      <w:szCs w:val="20"/>
    </w:rPr>
  </w:style>
  <w:style w:type="paragraph" w:styleId="TOC8">
    <w:name w:val="TOC 8"/>
    <w:basedOn w:val="Normal"/>
    <w:next w:val="Normal"/>
    <w:autoRedefine/>
    <w:pPr>
      <w:ind w:left="1680" w:hanging="0"/>
    </w:pPr>
    <w:rPr>
      <w:rFonts w:ascii="Calibri" w:hAnsi="Calibri" w:cs="Calibri"/>
      <w:sz w:val="20"/>
      <w:szCs w:val="20"/>
    </w:rPr>
  </w:style>
  <w:style w:type="paragraph" w:styleId="Style34" w:customStyle="1">
    <w:name w:val="Содержимое врезки"/>
    <w:basedOn w:val="Normal"/>
    <w:qFormat/>
    <w:pPr/>
    <w:rPr/>
  </w:style>
  <w:style w:type="paragraph" w:styleId="Style35" w:customStyle="1">
    <w:name w:val="Содержимое таблицы"/>
    <w:basedOn w:val="Normal"/>
    <w:qFormat/>
    <w:pPr>
      <w:widowControl w:val="false"/>
      <w:suppressLineNumbers/>
    </w:pPr>
    <w:rPr/>
  </w:style>
  <w:style w:type="paragraph" w:styleId="Style36" w:customStyle="1">
    <w:name w:val="Заголовок таблицы"/>
    <w:basedOn w:val="Style35"/>
    <w:qFormat/>
    <w:pPr>
      <w:jc w:val="center"/>
    </w:pPr>
    <w:rPr>
      <w:b/>
      <w:bCs/>
    </w:rPr>
  </w:style>
  <w:style w:type="paragraph" w:styleId="Style37" w:customStyle="1">
    <w:name w:val="ККГЭС Текст"/>
    <w:basedOn w:val="Normal"/>
    <w:qFormat/>
    <w:pPr>
      <w:spacing w:before="60" w:after="60"/>
      <w:ind w:firstLine="708"/>
    </w:pPr>
    <w:rPr>
      <w:rFonts w:eastAsia="Calibri"/>
      <w:sz w:val="24"/>
      <w:szCs w:val="24"/>
      <w:lang w:eastAsia="en-US"/>
    </w:rPr>
  </w:style>
  <w:style w:type="paragraph" w:styleId="Style91" w:customStyle="1">
    <w:name w:val="Style9"/>
    <w:basedOn w:val="Normal"/>
    <w:qFormat/>
    <w:pPr>
      <w:widowControl w:val="false"/>
      <w:jc w:val="both"/>
    </w:pPr>
    <w:rPr>
      <w:sz w:val="24"/>
      <w:szCs w:val="24"/>
    </w:rPr>
  </w:style>
  <w:style w:type="paragraph" w:styleId="Style71" w:customStyle="1">
    <w:name w:val="Style7"/>
    <w:basedOn w:val="Normal"/>
    <w:qFormat/>
    <w:pPr>
      <w:widowControl w:val="false"/>
      <w:spacing w:lineRule="exact" w:line="264"/>
      <w:jc w:val="both"/>
    </w:pPr>
    <w:rPr>
      <w:sz w:val="24"/>
      <w:szCs w:val="24"/>
    </w:rPr>
  </w:style>
  <w:style w:type="numbering" w:styleId="NoList" w:default="1">
    <w:name w:val="No List"/>
    <w:uiPriority w:val="99"/>
    <w:semiHidden/>
    <w:unhideWhenUsed/>
    <w:qFormat/>
  </w:style>
  <w:style w:type="numbering" w:styleId="110" w:customStyle="1">
    <w:name w:val="Стиль1"/>
    <w:qFormat/>
  </w:style>
  <w:style w:type="numbering" w:styleId="29" w:customStyle="1">
    <w:name w:val="Стиль2"/>
    <w:qFormat/>
  </w:style>
  <w:style w:type="table" w:default="1" w:styleId="a5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header" Target="header4.xml"/><Relationship Id="rId6" Type="http://schemas.openxmlformats.org/officeDocument/2006/relationships/header" Target="header5.xml"/><Relationship Id="rId7" Type="http://schemas.openxmlformats.org/officeDocument/2006/relationships/header" Target="header6.xml"/><Relationship Id="rId8" Type="http://schemas.openxmlformats.org/officeDocument/2006/relationships/header" Target="header7.xml"/><Relationship Id="rId9" Type="http://schemas.openxmlformats.org/officeDocument/2006/relationships/header" Target="header8.xml"/><Relationship Id="rId10" Type="http://schemas.openxmlformats.org/officeDocument/2006/relationships/header" Target="header9.xml"/><Relationship Id="rId11" Type="http://schemas.openxmlformats.org/officeDocument/2006/relationships/header" Target="header10.xml"/><Relationship Id="rId12" Type="http://schemas.openxmlformats.org/officeDocument/2006/relationships/numbering" Target="numbering.xml"/><Relationship Id="rId13" Type="http://schemas.openxmlformats.org/officeDocument/2006/relationships/fontTable" Target="fontTable.xml"/><Relationship Id="rId14" Type="http://schemas.openxmlformats.org/officeDocument/2006/relationships/settings" Target="settings.xml"/><Relationship Id="rId1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1565</TotalTime>
  <Application>AlterOffice/3.4.0.9$Linux_X86_64 LibreOffice_project/b8daf9e823b1a5463a2f48435ddc2e8696e7d4fc</Application>
  <AppVersion>15.0000</AppVersion>
  <Pages>15</Pages>
  <Words>1733</Words>
  <Characters>11373</Characters>
  <CharactersWithSpaces>13063</CharactersWithSpaces>
  <Paragraphs>319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2024-06-11T10:35:00Z</dcterms:created>
  <dc:creator>Быстров Олег Геннадьевич</dc:creator>
  <dc:description/>
  <dc:language>ru-RU</dc:language>
  <cp:lastModifiedBy>zabelkinans@corp.gidroogk.com</cp:lastModifiedBy>
  <cp:lastPrinted>2026-07-29T13:18:06Z</cp:lastPrinted>
  <dcterms:modified xsi:type="dcterms:W3CDTF">2026-08-05T13:41:38Z</dcterms:modified>
  <cp:revision>27</cp:revision>
  <dc:subject/>
  <dc:title>Российское открытое акционерное общество энергетики и электрификации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