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  <w:kern w:val="2"/>
        </w:rPr>
      </w:pPr>
      <w:bookmarkStart w:id="0" w:name="_Toc523836089"/>
      <w:bookmarkStart w:id="1" w:name="_Toc141696704"/>
      <w:bookmarkStart w:id="2" w:name="_Toc137554584"/>
      <w:bookmarkStart w:id="3" w:name="_Toc139856287"/>
      <w:bookmarkEnd w:id="1"/>
      <w:bookmarkEnd w:id="2"/>
      <w:bookmarkEnd w:id="3"/>
      <w:r>
        <w:rPr>
          <w:b/>
          <w:bCs/>
          <w:kern w:val="2"/>
        </w:rPr>
        <w:t>ТЕХНИЧЕСКИЕ ТРЕБОВАНИЯ</w:t>
      </w:r>
      <w:bookmarkEnd w:id="0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ОКПД2 13.10.31.120 </w:t>
      </w:r>
      <w:r>
        <w:rPr>
          <w:sz w:val="26"/>
          <w:szCs w:val="26"/>
        </w:rPr>
        <w:t xml:space="preserve">Поставка противоосколочных укрытий с защитными баллистическими пакетами </w:t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kern w:val="2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kern w:val="2"/>
              <w:vanish w:val="false"/>
            </w:rPr>
            <w:fldChar w:fldCharType="separate"/>
          </w:r>
          <w:hyperlink w:anchor="_Toc124933887">
            <w:r>
              <w:rPr>
                <w:webHidden/>
                <w:rStyle w:val="Style14"/>
                <w:vanish w:val="false"/>
                <w:kern w:val="2"/>
              </w:rPr>
              <w:t>ТЕХНИЧЕСКИЕ ТРЕБОВАНИЯ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124933888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24933889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24933889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</w:t>
            </w:r>
            <w:r>
              <w:rPr>
                <w:rStyle w:val="Style14"/>
                <w:iCs/>
                <w:sz w:val="24"/>
                <w:szCs w:val="24"/>
                <w:lang w:val="en-US"/>
              </w:rPr>
              <w:t>2</w:t>
            </w:r>
            <w:r>
              <w:rPr>
                <w:rStyle w:val="Style14"/>
                <w:iCs/>
                <w:sz w:val="24"/>
                <w:szCs w:val="24"/>
              </w:rPr>
              <w:t>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2493389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sz w:val="24"/>
                <w:szCs w:val="2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eastAsia="新細明體" w:eastAsiaTheme="minorEastAsia"/>
              <w:sz w:val="24"/>
              <w:szCs w:val="24"/>
            </w:rPr>
          </w:pPr>
          <w:r>
            <w:rPr>
              <w:sz w:val="24"/>
              <w:szCs w:val="24"/>
            </w:rPr>
            <w:t xml:space="preserve"> 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12493389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2493389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124933894">
            <w:r>
              <w:rPr>
                <w:webHidden/>
                <w:rStyle w:val="Style14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firstLine="567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124933895">
            <w:r>
              <w:rPr>
                <w:webHidden/>
                <w:rStyle w:val="Style14"/>
                <w:b w:val="false"/>
                <w:vanish w:val="false"/>
              </w:rPr>
              <w:t>Таблица 1.1 Перечень и объем закупаемой продукции</w:t>
            </w:r>
            <w:r>
              <w:rPr>
                <w:rStyle w:val="Style14"/>
                <w:b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 w:val="false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新細明體" w:cs="Arial" w:asciiTheme="minorHAnsi" w:cstheme="minorBidi" w:eastAsiaTheme="minorEastAsia" w:hAnsiTheme="minorHAnsi"/>
            </w:rPr>
          </w:pPr>
          <w:hyperlink w:anchor="_Toc124933896">
            <w:r>
              <w:rPr>
                <w:webHidden/>
                <w:rStyle w:val="Style14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срокам поставки продукции и оказания сопутствующих услуг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firstLine="567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</w:rPr>
          </w:pPr>
          <w:hyperlink w:anchor="_Toc124933897">
            <w:r>
              <w:rPr>
                <w:webHidden/>
                <w:rStyle w:val="Style14"/>
                <w:b w:val="false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>
              <w:sz w:val="24"/>
              <w:szCs w:val="24"/>
            </w:rPr>
          </w:pPr>
          <w:hyperlink w:anchor="_Toc12493389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4"/>
                <w:szCs w:val="24"/>
              </w:rPr>
              <w:t>Требования к качеству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ind w:firstLine="567"/>
            <w:rPr>
              <w:b w:val="false"/>
              <w:color w:val="0000FF"/>
              <w:u w:val="single"/>
            </w:rPr>
          </w:pPr>
          <w:hyperlink w:anchor="_Toc124933899">
            <w:r>
              <w:rPr>
                <w:webHidden/>
                <w:rStyle w:val="Style14"/>
                <w:b w:val="false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_Toc124933899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493390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_Toc124933900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lang w:val="en-US"/>
            </w:rPr>
          </w:pPr>
          <w:hyperlink w:anchor="_Toc124933900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lang w:val="en-US"/>
              </w:rPr>
              <w:t>Приложения</w:t>
            </w:r>
            <w:r>
              <w:rPr>
                <w:rStyle w:val="Style1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_Toc124933900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lang w:val="en-US"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eastAsia="新細明體" w:eastAsiaTheme="minorEastAsia"/>
              <w:b/>
              <w:sz w:val="24"/>
              <w:szCs w:val="24"/>
            </w:rPr>
          </w:pPr>
          <w:r>
            <w:rPr>
              <w:rFonts w:eastAsia="新細明體" w:eastAsiaTheme="minorEastAsia"/>
              <w:sz w:val="24"/>
              <w:szCs w:val="24"/>
            </w:rPr>
            <w:t xml:space="preserve">     </w:t>
          </w:r>
          <w:r>
            <w:rPr>
              <w:sz w:val="24"/>
              <w:szCs w:val="24"/>
              <w:rFonts w:eastAsia="新細明體"/>
            </w:rPr>
            <w:fldChar w:fldCharType="end"/>
          </w:r>
        </w:p>
      </w:sdtContent>
    </w:sdt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bookmarkStart w:id="4" w:name="_GoBack"/>
      <w:bookmarkEnd w:id="4"/>
      <w:r>
        <w:rPr>
          <w:sz w:val="24"/>
          <w:szCs w:val="24"/>
        </w:rPr>
        <w:t xml:space="preserve"> </w:t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5" w:name="_Toc51339692"/>
      <w:bookmarkStart w:id="6" w:name="_Toc75446566"/>
      <w:r>
        <w:rPr>
          <w:sz w:val="24"/>
          <w:szCs w:val="24"/>
          <w:lang w:val="ru-RU"/>
        </w:rPr>
        <w:t>Общие сведения</w:t>
      </w:r>
      <w:bookmarkEnd w:id="5"/>
      <w:bookmarkEnd w:id="6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8"/>
        </w:numPr>
        <w:rPr/>
      </w:pPr>
      <w:bookmarkStart w:id="7" w:name="_Toc46743505"/>
      <w:r>
        <w:rPr/>
        <w:t>Обозначения и сокращения</w:t>
      </w:r>
      <w:bookmarkEnd w:id="7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ГАЭС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гидроаккумулирующая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</w:tbl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240" w:after="60"/>
        <w:ind w:left="0" w:right="0" w:hanging="0"/>
        <w:jc w:val="left"/>
        <w:rPr/>
      </w:pPr>
      <w:r>
        <w:rPr/>
        <w:t xml:space="preserve">1.2. </w:t>
      </w:r>
      <w:bookmarkStart w:id="8" w:name="_Toc46743506"/>
      <w:bookmarkStart w:id="9" w:name="_Toc75446568"/>
      <w:r>
        <w:rPr/>
        <w:t>Наименование закупаемой продукции</w:t>
      </w:r>
      <w:bookmarkEnd w:id="8"/>
      <w:bookmarkEnd w:id="9"/>
    </w:p>
    <w:p>
      <w:pPr>
        <w:pStyle w:val="Normal"/>
        <w:widowControl w:val="false"/>
        <w:spacing w:before="120" w:after="120"/>
        <w:ind w:firstLine="567"/>
        <w:jc w:val="both"/>
        <w:rPr>
          <w:sz w:val="24"/>
          <w:szCs w:val="24"/>
        </w:rPr>
      </w:pPr>
      <w:bookmarkStart w:id="10" w:name="_Toc75446569"/>
      <w:bookmarkEnd w:id="10"/>
      <w:r>
        <w:rPr>
          <w:sz w:val="24"/>
          <w:szCs w:val="24"/>
          <w:shd w:fill="FFFFFF" w:val="clear"/>
        </w:rPr>
        <w:t xml:space="preserve">ОКПД2 13.10.31.120 Поставка противоосколочных укрытий с защитными баллистическими пакетами 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432" w:firstLine="567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  <w:lang w:eastAsia="x-none"/>
        </w:rPr>
      </w:pPr>
      <w:r>
        <w:rPr/>
      </w:r>
      <w:bookmarkStart w:id="11" w:name="_Toc75446569"/>
      <w:bookmarkStart w:id="12" w:name="_Toc75446569"/>
      <w:bookmarkEnd w:id="12"/>
    </w:p>
    <w:p>
      <w:pPr>
        <w:pStyle w:val="Normal"/>
        <w:ind w:firstLine="709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3" w:name="_Toc75446573"/>
      <w:bookmarkStart w:id="14" w:name="_Toc51339693"/>
      <w:r>
        <w:rPr>
          <w:iCs/>
          <w:sz w:val="24"/>
          <w:szCs w:val="24"/>
        </w:rPr>
        <w:t>Требования к продукции</w:t>
      </w:r>
      <w:bookmarkEnd w:id="13"/>
      <w:bookmarkEnd w:id="14"/>
    </w:p>
    <w:p>
      <w:pPr>
        <w:pStyle w:val="Heading4"/>
        <w:numPr>
          <w:ilvl w:val="1"/>
          <w:numId w:val="3"/>
        </w:numPr>
        <w:rPr/>
      </w:pPr>
      <w:bookmarkStart w:id="15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5"/>
    </w:p>
    <w:p>
      <w:pPr>
        <w:pStyle w:val="Heading3"/>
        <w:numPr>
          <w:ilvl w:val="2"/>
          <w:numId w:val="3"/>
        </w:numPr>
        <w:rPr/>
      </w:pPr>
      <w:bookmarkStart w:id="16" w:name="_Toc75446575"/>
      <w:r>
        <w:rPr>
          <w:lang w:val="ru-RU"/>
        </w:rPr>
        <w:t>Перечень и объем закупаемой продукции</w:t>
      </w:r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75446576"/>
      <w:bookmarkStart w:id="18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1.1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8"/>
      <w:r>
        <w:rPr>
          <w:sz w:val="24"/>
          <w:szCs w:val="24"/>
          <w:lang w:val="ru-RU"/>
        </w:rPr>
        <w:t>и объем закупаемой продукции</w:t>
      </w:r>
      <w:bookmarkEnd w:id="17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99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39"/>
        <w:gridCol w:w="2693"/>
        <w:gridCol w:w="1841"/>
        <w:gridCol w:w="1843"/>
        <w:gridCol w:w="1843"/>
        <w:gridCol w:w="992"/>
      </w:tblGrid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  <w:r>
              <w:rPr>
                <w:b/>
                <w:sz w:val="24"/>
                <w:szCs w:val="24"/>
                <w:lang w:val="en-US"/>
              </w:rPr>
              <w:t>, тип продукции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Противоосколочное укрытие с защитными баллистическими пакетами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13.10.31.120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Преимущество на поставку товаров российского 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Противоосколочное укрытие с защитными баллистическими пакетами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13.10.31.120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Преимущество на поставку товаров российского производства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0"/>
          <w:numId w:val="0"/>
        </w:numPr>
        <w:spacing w:before="0" w:after="0"/>
        <w:ind w:left="1224" w:hanging="0"/>
        <w:rPr>
          <w:lang w:val="ru-RU"/>
        </w:rPr>
      </w:pPr>
      <w:r>
        <w:rPr>
          <w:lang w:val="ru-RU"/>
        </w:rPr>
      </w:r>
    </w:p>
    <w:p>
      <w:pPr>
        <w:pStyle w:val="Heading3"/>
        <w:numPr>
          <w:ilvl w:val="2"/>
          <w:numId w:val="3"/>
        </w:numPr>
        <w:spacing w:before="0" w:after="0"/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rPr>
          <w:sz w:val="24"/>
          <w:szCs w:val="24"/>
          <w:lang w:val="ru-RU"/>
        </w:rPr>
      </w:pPr>
      <w:bookmarkStart w:id="19" w:name="_Toc75446579"/>
      <w:bookmarkStart w:id="20" w:name="_Toc50125127"/>
      <w:bookmarkStart w:id="21" w:name="_Toc51339697"/>
      <w:bookmarkStart w:id="22" w:name="_Toc50125126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100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4"/>
        <w:gridCol w:w="3260"/>
        <w:gridCol w:w="2977"/>
        <w:gridCol w:w="3117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Противоосколочные укрытия с защитными баллистическими пакетами (Позиции 1-2  таблицы 1.1 настоящих Технических требований)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Десятый рабочий день 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Десятый рабочий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99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4" w:name="_Toc51339698"/>
      <w:bookmarkStart w:id="25" w:name="_Toc75446581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7"/>
      <w:r>
        <w:rPr>
          <w:sz w:val="24"/>
          <w:szCs w:val="24"/>
        </w:rPr>
        <w:t xml:space="preserve"> </w:t>
      </w:r>
      <w:bookmarkEnd w:id="24"/>
    </w:p>
    <w:p>
      <w:pPr>
        <w:pStyle w:val="Normal"/>
        <w:widowControl w:val="false"/>
        <w:spacing w:before="120" w:after="120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Наименование продукции (позиции 1-2 Таблицы 1.1</w:t>
      </w:r>
      <w:r>
        <w:rPr>
          <w:sz w:val="24"/>
          <w:szCs w:val="24"/>
        </w:rPr>
        <w:t xml:space="preserve"> настоящих Технических требований</w:t>
      </w:r>
      <w:r>
        <w:rPr>
          <w:bCs/>
          <w:iCs/>
          <w:sz w:val="24"/>
          <w:szCs w:val="24"/>
        </w:rPr>
        <w:t xml:space="preserve">): </w:t>
      </w:r>
      <w:r>
        <w:rPr>
          <w:sz w:val="24"/>
          <w:szCs w:val="24"/>
          <w:shd w:fill="FFFFFF" w:val="clear"/>
        </w:rPr>
        <w:t xml:space="preserve">ОКПД2 13.10.31.120 Поставка противоосколочных укрытий с баллистическими пакетами </w:t>
      </w:r>
    </w:p>
    <w:tbl>
      <w:tblPr>
        <w:tblStyle w:val="affff6"/>
        <w:tblW w:w="1488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1700"/>
        <w:gridCol w:w="283"/>
        <w:gridCol w:w="5249"/>
        <w:gridCol w:w="2552"/>
        <w:gridCol w:w="2267"/>
        <w:gridCol w:w="1984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8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2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8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8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2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8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2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2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Ткань верха (чехла)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Износостойкий материал Оксфорд с влагостойким полиуретановым покрытием и обработкой гидрофобизатором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 защиты по ГОСТ 34286-2017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БР1/С2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Предоставление сертификата соответствия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ГОСТ 34286-2017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противопулевой и противоосколочной стойкости, не хуже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Противоосколочная стойкость V50% ≥524 м/с, где V50% - скорость, показывающая вероятность 50% непробития при воздействии стального шарика диаметром 6,3 мм и массой 1,05 г. на расстоянии 0,75 м по ГОСТ 34286-2017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Предоставление протокола испытаний технических средств защиты 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баллистики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Параарамидная ткань (кевлар), плотность материала не менее 220 г/м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Цвет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бежевый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Количество слоев параарамидного волокна (кевлара), не менее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17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Размер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ы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позиция № 1 Таблицы 1.1 настоящих Технических требований – 230х220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позиция № 2 Таблицы 1.1 настоящих Технических требований – 230х420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524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позиция № 1 Таблицы 1.1 настоящих Технических требований: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Петли навесные – 32 шт. (по периметру изделия равное расстояние между петлями, длина петли – 10 см)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Люверсы усиленные оцинкованные – 28 шт. (по периметру изделия равное расстояние между люверсами, расстояние от люверса до края изделия – 3 см)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Анкер с кольцом усиленного распирания М12 20х95 цинк – 60 шт.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Карабин пружинный усиленный М8 цинк – 60 шт.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позиция № 2 Таблицы 1.1 настоящих Технических требований: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Петли навесные – 46 шт. (по периметру изделия равное расстояние между петлями, длина петли – 10 см)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Люверсы усиленные оцинкованные – 42 шт. (по периметру изделия равное расстояние между люверсами, расстояние от люверса до края изделия – 3 см)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Анкер с кольцом усиленного распирания М12 20х95 цинк – 88 шт.</w:t>
            </w:r>
          </w:p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Карабин пружинный усиленный М8 цинк – 88 шт.</w:t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2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28" w:name="_Toc523836096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Место и условия поставки </w:t>
            </w:r>
            <w:bookmarkEnd w:id="28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продукции</w:t>
            </w:r>
          </w:p>
        </w:tc>
        <w:tc>
          <w:tcPr>
            <w:tcW w:w="524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д.100.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Приемка продукции производится в рабочие дни с 9-00 до 11-00 и с 13-00 до 16-00.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2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8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bookmarkStart w:id="29" w:name="_Toc523836095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Срок гарантии на продукцию</w:t>
            </w:r>
            <w:bookmarkEnd w:id="29"/>
          </w:p>
        </w:tc>
        <w:tc>
          <w:tcPr>
            <w:tcW w:w="524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Гарантийный срок годности закупаемой продукции не менее 12 (двенадцати) месяцев с  даты подписания ТОРГ-12 /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универсального передаточного документа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Предложение по гарантийному сроку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</w:tc>
        <w:tc>
          <w:tcPr>
            <w:tcW w:w="72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.1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/ универсальный передаточный документ в 2 экз.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72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553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5.2.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553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Меры национального режима, предусмотренные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указаны в таблице 1.1  настоящих Технических требований.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составе заявки необходимо представить: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34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0" w:name="_Toc46743519"/>
      <w:bookmarkStart w:id="31" w:name="_Toc51339699"/>
    </w:p>
    <w:p>
      <w:pPr>
        <w:pStyle w:val="Heading1"/>
        <w:numPr>
          <w:ilvl w:val="0"/>
          <w:numId w:val="7"/>
        </w:numPr>
        <w:spacing w:before="120" w:after="60"/>
        <w:ind w:left="0" w:hanging="0"/>
        <w:contextualSpacing/>
        <w:rPr>
          <w:sz w:val="24"/>
          <w:szCs w:val="24"/>
        </w:rPr>
      </w:pPr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ценообразованию </w:t>
      </w:r>
    </w:p>
    <w:p>
      <w:pPr>
        <w:pStyle w:val="Normal"/>
        <w:numPr>
          <w:ilvl w:val="1"/>
          <w:numId w:val="7"/>
        </w:numPr>
        <w:spacing w:before="0" w:after="120"/>
        <w:ind w:left="0" w:hanging="0"/>
        <w:jc w:val="both"/>
        <w:rPr>
          <w:bCs/>
          <w:iCs/>
          <w:sz w:val="24"/>
          <w:szCs w:val="24"/>
          <w:lang w:eastAsia="x-none"/>
        </w:rPr>
      </w:pPr>
      <w:bookmarkStart w:id="32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поставляемого оборудования по форме, </w:t>
      </w:r>
      <w:bookmarkEnd w:id="32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7"/>
        </w:numPr>
        <w:ind w:left="0" w:hanging="0"/>
        <w:rPr>
          <w:sz w:val="24"/>
          <w:szCs w:val="24"/>
        </w:rPr>
      </w:pPr>
      <w:bookmarkStart w:id="33" w:name="_Toc150420660"/>
      <w:r>
        <w:rPr>
          <w:sz w:val="24"/>
          <w:szCs w:val="24"/>
        </w:rPr>
        <w:t>Приложения</w:t>
      </w:r>
      <w:bookmarkEnd w:id="33"/>
    </w:p>
    <w:p>
      <w:pPr>
        <w:pStyle w:val="Heading1"/>
        <w:numPr>
          <w:ilvl w:val="0"/>
          <w:numId w:val="0"/>
        </w:numPr>
        <w:spacing w:before="0" w:after="60"/>
        <w:ind w:left="426" w:hanging="0"/>
        <w:rPr>
          <w:b w:val="false"/>
          <w:sz w:val="24"/>
          <w:szCs w:val="24"/>
        </w:rPr>
      </w:pPr>
      <w:bookmarkStart w:id="34" w:name="_Toc150420661"/>
      <w:r>
        <w:rPr>
          <w:b w:val="false"/>
          <w:sz w:val="24"/>
          <w:szCs w:val="24"/>
        </w:rPr>
        <w:t xml:space="preserve">Приложение № 1: </w:t>
      </w:r>
      <w:r>
        <w:rPr>
          <w:b w:val="false"/>
          <w:sz w:val="24"/>
          <w:szCs w:val="24"/>
          <w:lang w:val="ru-RU"/>
        </w:rPr>
        <w:t>Форма спецификации поставляемого оборудования</w:t>
      </w:r>
      <w:r>
        <w:rPr>
          <w:b w:val="false"/>
          <w:sz w:val="24"/>
          <w:szCs w:val="24"/>
        </w:rPr>
        <w:t>.</w:t>
      </w:r>
      <w:bookmarkEnd w:id="34"/>
    </w:p>
    <w:p>
      <w:pPr>
        <w:pStyle w:val="Heading1"/>
        <w:numPr>
          <w:ilvl w:val="0"/>
          <w:numId w:val="0"/>
        </w:numPr>
        <w:ind w:left="568" w:hanging="0"/>
        <w:jc w:val="center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keepNext w:val="true"/>
        <w:keepLines/>
        <w:spacing w:before="0" w:after="120"/>
        <w:rPr>
          <w:sz w:val="24"/>
          <w:szCs w:val="24"/>
        </w:rPr>
      </w:pPr>
      <w:r>
        <w:rPr>
          <w:sz w:val="24"/>
          <w:szCs w:val="24"/>
        </w:rPr>
      </w:r>
      <w:bookmarkStart w:id="35" w:name="_Hlk48224758"/>
      <w:bookmarkStart w:id="36" w:name="_Hlk48224758"/>
      <w:bookmarkEnd w:id="36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  <w:t>Форма спецификации поставляемого оборудования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tbl>
      <w:tblPr>
        <w:tblW w:w="15047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‍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b/>
          <w:u w:val="single"/>
        </w:rPr>
        <w:t>Примечание</w:t>
      </w:r>
      <w:r>
        <w:rPr/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b/>
        </w:rPr>
      </w:pPr>
      <w:r>
        <w:rPr>
          <w:b/>
        </w:rPr>
        <w:t>*</w:t>
      </w:r>
      <w:r>
        <w:rPr/>
        <w:t>В случае включения в спецификацию стоимости за единицу оборудования, МТР с учетом доставки, указать данное условие.</w:t>
      </w:r>
    </w:p>
    <w:p>
      <w:pPr>
        <w:pStyle w:val="Heading1"/>
        <w:numPr>
          <w:ilvl w:val="0"/>
          <w:numId w:val="0"/>
        </w:numPr>
        <w:ind w:left="0" w:hanging="0"/>
        <w:jc w:val="both"/>
        <w:rPr>
          <w:b w:val="false"/>
          <w:lang w:val="ru-RU"/>
        </w:rPr>
      </w:pPr>
      <w:r>
        <w:rPr>
          <w:b w:val="false"/>
          <w:lang w:val="ru-RU"/>
        </w:rPr>
      </w:r>
      <w:bookmarkEnd w:id="30"/>
      <w:bookmarkEnd w:id="31"/>
    </w:p>
    <w:p>
      <w:pPr>
        <w:pStyle w:val="Heading1"/>
        <w:numPr>
          <w:ilvl w:val="0"/>
          <w:numId w:val="0"/>
        </w:numPr>
        <w:ind w:left="0" w:hanging="0"/>
        <w:jc w:val="both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/>
      </w:rPr>
    </w:pPr>
    <w:r>
      <w:rPr>
        <w:lang w:val="en-US"/>
      </w:rPr>
    </w:r>
  </w:p>
  <w:p>
    <w:pPr>
      <w:pStyle w:val="Header"/>
      <w:rPr>
        <w:lang w:val="en-US"/>
      </w:rPr>
    </w:pPr>
    <w:r>
      <w:rPr>
        <w:lang w:val="en-US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/>
      </w:rPr>
    </w:pPr>
    <w:r>
      <w:rPr>
        <w:lang w:val="en-US"/>
      </w:rPr>
    </w:r>
  </w:p>
  <w:p>
    <w:pPr>
      <w:pStyle w:val="Header"/>
      <w:rPr>
        <w:lang w:val="en-US"/>
      </w:rPr>
    </w:pPr>
    <w:r>
      <w:rPr>
        <w:lang w:val="en-US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/>
      </w:rPr>
    </w:pPr>
    <w:r>
      <w:rPr>
        <w:lang w:val="en-US"/>
      </w:rPr>
    </w:r>
  </w:p>
  <w:p>
    <w:pPr>
      <w:pStyle w:val="Header"/>
      <w:rPr>
        <w:lang w:val="en-US"/>
      </w:rPr>
    </w:pPr>
    <w:r>
      <w:rPr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Typography" w:customStyle="1">
    <w:name w:val="typography"/>
    <w:basedOn w:val="DefaultParagraphFont"/>
    <w:qFormat/>
    <w:rsid w:val="00135a2a"/>
    <w:rPr/>
  </w:style>
  <w:style w:type="character" w:styleId="Zyvcpr" w:customStyle="1">
    <w:name w:val="zyvcpr"/>
    <w:basedOn w:val="DefaultParagraphFont"/>
    <w:qFormat/>
    <w:rsid w:val="00056a3f"/>
    <w:rPr/>
  </w:style>
  <w:style w:type="character" w:styleId="Qshczy" w:customStyle="1">
    <w:name w:val="qshczy"/>
    <w:basedOn w:val="DefaultParagraphFont"/>
    <w:qFormat/>
    <w:rsid w:val="00c93637"/>
    <w:rPr/>
  </w:style>
  <w:style w:type="character" w:styleId="1ooc" w:customStyle="1">
    <w:name w:val="_1oo_c"/>
    <w:basedOn w:val="DefaultParagraphFont"/>
    <w:qFormat/>
    <w:rsid w:val="00042b08"/>
    <w:rPr/>
  </w:style>
  <w:style w:type="character" w:styleId="Style14" w:customStyle="1">
    <w:name w:val="Ссылка указателя"/>
    <w:qFormat/>
    <w:rPr/>
  </w:style>
  <w:style w:type="character" w:styleId="Style15" w:customStyle="1">
    <w:name w:val="Нижний колонтитул Знак"/>
    <w:basedOn w:val="DefaultParagraphFont"/>
    <w:uiPriority w:val="99"/>
    <w:qFormat/>
    <w:rsid w:val="00fd6fb3"/>
    <w:rPr>
      <w:sz w:val="28"/>
      <w:szCs w:val="28"/>
    </w:rPr>
  </w:style>
  <w:style w:type="character" w:styleId="LineNumber">
    <w:name w:val="Line Number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406d5e"/>
    <w:pPr>
      <w:tabs>
        <w:tab w:val="clear" w:pos="708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5E29-3507-4632-9AA4-A45AFBC2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Application>AlterOffice/3.4.0.9$Linux_X86_64 LibreOffice_project/b8daf9e823b1a5463a2f48435ddc2e8696e7d4fc</Application>
  <AppVersion>15.0000</AppVersion>
  <Pages>9</Pages>
  <Words>1057</Words>
  <Characters>6966</Characters>
  <CharactersWithSpaces>7827</CharactersWithSpaces>
  <Paragraphs>232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2024-08-06T13:20:00Z</dcterms:created>
  <dc:creator>Быстров Олег Геннадьевич</dc:creator>
  <dc:description/>
  <dc:language>ru-RU</dc:language>
  <cp:lastModifiedBy>vakhrushevaoa@corp.gidroogk.com</cp:lastModifiedBy>
  <cp:lastPrinted>2006-07-26T14:04:00Z</cp:lastPrinted>
  <dcterms:modified xsi:type="dcterms:W3CDTF">2026-08-05T16:38:29Z</dcterms:modified>
  <cp:revision>42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