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5.xml" ContentType="application/vnd.openxmlformats-officedocument.wordprocessingml.header+xml"/>
  <Override PartName="/word/header1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numPr>
          <w:ilvl w:val="0"/>
          <w:numId w:val="0"/>
        </w:numPr>
        <w:ind w:left="5245" w:hanging="0"/>
        <w:jc w:val="right"/>
        <w:outlineLvl w:val="0"/>
        <w:rPr>
          <w:lang w:eastAsia="x-none"/>
        </w:rPr>
      </w:pPr>
      <w:r>
        <w:rPr>
          <w:lang w:eastAsia="x-none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jc w:val="right"/>
        <w:rPr>
          <w:sz w:val="24"/>
          <w:szCs w:val="24"/>
        </w:rPr>
      </w:pPr>
      <w:r>
        <w:rPr/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/>
      </w:pPr>
      <w:r>
        <w:rPr/>
      </w:r>
    </w:p>
    <w:p>
      <w:pPr>
        <w:pStyle w:val="Normal"/>
        <w:keepNext w:val="true"/>
        <w:keepLines/>
        <w:jc w:val="center"/>
        <w:rPr>
          <w:rFonts w:eastAsia="Calibri"/>
          <w:b/>
        </w:rPr>
      </w:pPr>
      <w:r>
        <w:rPr>
          <w:rFonts w:eastAsia="Calibri"/>
          <w:b/>
        </w:rPr>
        <w:t>Технические требования на оказание услуг</w:t>
      </w:r>
    </w:p>
    <w:p>
      <w:pPr>
        <w:pStyle w:val="Normal"/>
        <w:keepNext w:val="true"/>
        <w:keepLines/>
        <w:jc w:val="center"/>
        <w:rPr>
          <w:rFonts w:eastAsia="Calibri"/>
          <w:b/>
        </w:rPr>
      </w:pPr>
      <w:r>
        <w:rPr>
          <w:rFonts w:eastAsia="Calibri"/>
          <w:b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</w:rPr>
      </w:pPr>
      <w:r>
        <w:rPr>
          <w:rFonts w:eastAsia="Calibri"/>
          <w:b/>
          <w:i/>
          <w:iCs/>
        </w:rPr>
        <w:t>ОКПД 2 86.21.10 Оказание услуг по проведению периодического медицинского осмотра в г. Партизанск для нужд Дальневосточного филиала АО "ТК РусГидро"</w:t>
      </w:r>
    </w:p>
    <w:p>
      <w:pPr>
        <w:pStyle w:val="Normal"/>
        <w:jc w:val="center"/>
        <w:rPr>
          <w:rFonts w:eastAsia="Calibri"/>
          <w:b/>
          <w:i/>
          <w:i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Heading"/>
            <w:numPr>
              <w:ilvl w:val="0"/>
              <w:numId w:val="0"/>
            </w:numPr>
            <w:ind w:left="426" w:hanging="0"/>
            <w:rPr/>
          </w:pPr>
          <w:r>
            <w:br w:type="page"/>
          </w:r>
          <w:r>
            <w:rPr/>
            <w:t xml:space="preserve">                                                        </w:t>
          </w:r>
          <w:r>
            <w:rPr>
              <w:color w:val="000000"/>
            </w:rPr>
            <w:t xml:space="preserve">     </w:t>
          </w:r>
          <w:r>
            <w:rPr>
              <w:color w:val="000000"/>
            </w:rPr>
            <w:t>Содержание</w:t>
          </w:r>
        </w:p>
        <w:p>
          <w:pPr>
            <w:pStyle w:val="TOC1"/>
            <w:tabs>
              <w:tab w:val="clear" w:pos="284"/>
              <w:tab w:val="clear" w:pos="9911"/>
              <w:tab w:val="right" w:pos="9921" w:leader="dot"/>
            </w:tabs>
            <w:rPr/>
          </w:pPr>
          <w:r>
            <w:fldChar w:fldCharType="begin"/>
          </w:r>
          <w:r>
            <w:rPr/>
            <w:instrText xml:space="preserve"> TOC \f \o "1-9" \h</w:instrText>
          </w:r>
          <w:r>
            <w:rPr/>
            <w:fldChar w:fldCharType="separate"/>
          </w:r>
          <w:r>
            <w:rPr/>
            <w:t>1</w:t>
          </w:r>
          <w:hyperlink w:anchor="__RefHeading___Toc5426_315841478">
            <w:r>
              <w:rPr>
                <w:rStyle w:val="Style14"/>
              </w:rPr>
              <w:t>. Общие сведения</w:t>
              <w:tab/>
              <w:t>3</w:t>
            </w:r>
          </w:hyperlink>
        </w:p>
        <w:p>
          <w:pPr>
            <w:pStyle w:val="TOC4"/>
            <w:tabs>
              <w:tab w:val="clear" w:pos="1120"/>
              <w:tab w:val="clear" w:pos="9911"/>
              <w:tab w:val="right" w:pos="9921" w:leader="dot"/>
            </w:tabs>
            <w:rPr/>
          </w:pPr>
          <w:r>
            <w:rPr/>
            <w:t>1</w:t>
          </w:r>
          <w:hyperlink w:anchor="__RefHeading___Toc5428_315841478">
            <w:r>
              <w:rPr>
                <w:rStyle w:val="Style14"/>
              </w:rPr>
              <w:t>.1. Наименование закупаемой продукции</w:t>
              <w:tab/>
              <w:t>3</w:t>
            </w:r>
          </w:hyperlink>
        </w:p>
        <w:p>
          <w:pPr>
            <w:pStyle w:val="TOC4"/>
            <w:tabs>
              <w:tab w:val="clear" w:pos="1120"/>
              <w:tab w:val="clear" w:pos="9911"/>
              <w:tab w:val="right" w:pos="9921" w:leader="dot"/>
            </w:tabs>
            <w:rPr/>
          </w:pPr>
          <w:r>
            <w:rPr/>
            <w:t>1</w:t>
          </w:r>
          <w:hyperlink w:anchor="__RefHeading___Toc5430_315841478">
            <w:r>
              <w:rPr>
                <w:rStyle w:val="Style14"/>
              </w:rPr>
              <w:t>.2. Цель оказания услуг</w:t>
              <w:tab/>
              <w:t>3</w:t>
            </w:r>
          </w:hyperlink>
        </w:p>
        <w:p>
          <w:pPr>
            <w:pStyle w:val="Normal"/>
            <w:tabs>
              <w:tab w:val="clear" w:pos="708"/>
              <w:tab w:val="right" w:pos="9921" w:leader="dot"/>
            </w:tabs>
            <w:rPr>
              <w:sz w:val="20"/>
              <w:szCs w:val="20"/>
            </w:rPr>
          </w:pPr>
          <w:r>
            <w:rPr>
              <w:sz w:val="20"/>
              <w:szCs w:val="20"/>
            </w:rPr>
            <w:t>1.3. Существующее положение……………………………………………………………………………………………...3</w:t>
          </w:r>
        </w:p>
        <w:p>
          <w:pPr>
            <w:pStyle w:val="TOC1"/>
            <w:tabs>
              <w:tab w:val="clear" w:pos="284"/>
              <w:tab w:val="clear" w:pos="9911"/>
              <w:tab w:val="right" w:pos="9921" w:leader="dot"/>
            </w:tabs>
            <w:rPr/>
          </w:pPr>
          <w:hyperlink w:anchor="__RefHeading___Toc5432_315841478">
            <w:r>
              <w:rPr>
                <w:rStyle w:val="Style14"/>
              </w:rPr>
              <w:t>Таблица 1. Перечень объектов заказчика</w:t>
              <w:tab/>
              <w:t>3</w:t>
            </w:r>
          </w:hyperlink>
        </w:p>
        <w:p>
          <w:pPr>
            <w:pStyle w:val="TOC1"/>
            <w:tabs>
              <w:tab w:val="clear" w:pos="284"/>
              <w:tab w:val="clear" w:pos="9911"/>
              <w:tab w:val="right" w:pos="9921" w:leader="dot"/>
            </w:tabs>
            <w:rPr/>
          </w:pPr>
          <w:r>
            <w:rPr/>
            <w:t>2</w:t>
          </w:r>
          <w:hyperlink w:anchor="__RefHeading___Toc5434_315841478">
            <w:r>
              <w:rPr>
                <w:rStyle w:val="Style14"/>
              </w:rPr>
              <w:t>. Требования к продукции</w:t>
              <w:tab/>
              <w:t>3</w:t>
            </w:r>
          </w:hyperlink>
        </w:p>
        <w:p>
          <w:pPr>
            <w:pStyle w:val="TOC4"/>
            <w:tabs>
              <w:tab w:val="clear" w:pos="1120"/>
              <w:tab w:val="clear" w:pos="9911"/>
              <w:tab w:val="right" w:pos="9921" w:leader="dot"/>
            </w:tabs>
            <w:rPr/>
          </w:pPr>
          <w:r>
            <w:rPr/>
            <w:t>2</w:t>
          </w:r>
          <w:hyperlink w:anchor="__RefHeading___Toc5436_315841478">
            <w:r>
              <w:rPr>
                <w:rStyle w:val="Style14"/>
              </w:rPr>
              <w:t>.1. Требования к объемам и срокам оказания услуг</w:t>
              <w:tab/>
              <w:t>3</w:t>
            </w:r>
          </w:hyperlink>
        </w:p>
        <w:p>
          <w:pPr>
            <w:pStyle w:val="TOC3"/>
            <w:tabs>
              <w:tab w:val="clear" w:pos="9911"/>
              <w:tab w:val="right" w:pos="9921" w:leader="dot"/>
            </w:tabs>
            <w:rPr/>
          </w:pPr>
          <w:r>
            <w:rPr/>
            <w:t>2</w:t>
          </w:r>
          <w:hyperlink w:anchor="__RefHeading___Toc5438_315841478">
            <w:r>
              <w:rPr>
                <w:rStyle w:val="Style14"/>
              </w:rPr>
              <w:t>.1.1. Требования к перечню и объему услуг</w:t>
              <w:tab/>
              <w:t>3</w:t>
            </w:r>
          </w:hyperlink>
        </w:p>
        <w:p>
          <w:pPr>
            <w:pStyle w:val="TOC1"/>
            <w:tabs>
              <w:tab w:val="clear" w:pos="284"/>
              <w:tab w:val="clear" w:pos="9911"/>
              <w:tab w:val="right" w:pos="9921" w:leader="dot"/>
            </w:tabs>
            <w:rPr/>
          </w:pPr>
          <w:hyperlink w:anchor="__RefHeading___Toc5440_315841478">
            <w:r>
              <w:rPr>
                <w:rStyle w:val="Style14"/>
              </w:rPr>
              <w:t>Таблица 2. Перечень и объем оказываемых услуг</w:t>
              <w:tab/>
              <w:t>3</w:t>
            </w:r>
          </w:hyperlink>
        </w:p>
        <w:p>
          <w:pPr>
            <w:pStyle w:val="TOC3"/>
            <w:tabs>
              <w:tab w:val="clear" w:pos="9911"/>
              <w:tab w:val="right" w:pos="9921" w:leader="dot"/>
            </w:tabs>
            <w:rPr/>
          </w:pPr>
          <w:r>
            <w:rPr/>
            <w:t>2</w:t>
          </w:r>
          <w:hyperlink w:anchor="__RefHeading___Toc5442_315841478">
            <w:r>
              <w:rPr>
                <w:rStyle w:val="Style14"/>
              </w:rPr>
              <w:t>.1.2. Требования к срокам оказания услуг</w:t>
              <w:tab/>
              <w:t>4</w:t>
            </w:r>
          </w:hyperlink>
        </w:p>
        <w:p>
          <w:pPr>
            <w:pStyle w:val="TOC1"/>
            <w:tabs>
              <w:tab w:val="clear" w:pos="284"/>
              <w:tab w:val="clear" w:pos="9911"/>
              <w:tab w:val="right" w:pos="9921" w:leader="dot"/>
            </w:tabs>
            <w:rPr/>
          </w:pPr>
          <w:hyperlink w:anchor="__RefHeading___Toc5444_315841478">
            <w:r>
              <w:rPr>
                <w:rStyle w:val="Style14"/>
              </w:rPr>
              <w:t>Таблица 3. Требования к срокам оказания услуг</w:t>
              <w:tab/>
              <w:t>4</w:t>
            </w:r>
          </w:hyperlink>
        </w:p>
        <w:p>
          <w:pPr>
            <w:pStyle w:val="TOC4"/>
            <w:tabs>
              <w:tab w:val="clear" w:pos="1120"/>
              <w:tab w:val="clear" w:pos="9911"/>
              <w:tab w:val="right" w:pos="9921" w:leader="dot"/>
            </w:tabs>
            <w:rPr/>
          </w:pPr>
          <w:r>
            <w:rPr/>
            <w:t>2</w:t>
          </w:r>
          <w:hyperlink w:anchor="__RefHeading___Toc5446_315841478">
            <w:r>
              <w:rPr>
                <w:rStyle w:val="Style14"/>
              </w:rPr>
              <w:t>.2. Требования к качеству услуг</w:t>
              <w:tab/>
              <w:t>5</w:t>
            </w:r>
          </w:hyperlink>
        </w:p>
        <w:p>
          <w:pPr>
            <w:pStyle w:val="TOC1"/>
            <w:tabs>
              <w:tab w:val="clear" w:pos="284"/>
              <w:tab w:val="clear" w:pos="9911"/>
              <w:tab w:val="right" w:pos="9921" w:leader="dot"/>
            </w:tabs>
            <w:rPr/>
          </w:pPr>
          <w:hyperlink w:anchor="__RefHeading___Toc5448_315841478">
            <w:r>
              <w:rPr>
                <w:rStyle w:val="Style14"/>
              </w:rPr>
              <w:t>Таблица 4. Требования к качеству услуг.</w:t>
            </w:r>
          </w:hyperlink>
          <w:r>
            <w:rPr/>
            <w:t xml:space="preserve"> </w:t>
          </w:r>
          <w:hyperlink w:anchor="__RefHeading___Toc1062_2924392234">
            <w:r>
              <w:rPr>
                <w:rStyle w:val="Style14"/>
              </w:rPr>
              <w:t>Наименование услуг/этапа услуг: ОКПД 2 86.21.10 Оказание услуг по проведению периодического медицинского осмотра в г. Партизанск для нужд Дальневосточного филиала АО "ТК РусГидро"</w:t>
              <w:tab/>
              <w:t>5</w:t>
            </w:r>
          </w:hyperlink>
        </w:p>
        <w:p>
          <w:pPr>
            <w:pStyle w:val="TOC1"/>
            <w:tabs>
              <w:tab w:val="clear" w:pos="284"/>
              <w:tab w:val="clear" w:pos="9911"/>
              <w:tab w:val="right" w:pos="9921" w:leader="dot"/>
            </w:tabs>
            <w:rPr/>
          </w:pPr>
          <w:r>
            <w:rPr/>
            <w:t>3</w:t>
          </w:r>
          <w:hyperlink w:anchor="__RefHeading___Toc5450_315841478">
            <w:r>
              <w:rPr>
                <w:rStyle w:val="Style14"/>
              </w:rPr>
              <w:t>. Требования к документации по ценообразованию на этапе закупки</w:t>
              <w:tab/>
              <w:t>11</w:t>
            </w:r>
          </w:hyperlink>
          <w:r>
            <w:rPr>
              <w:rStyle w:val="Style14"/>
            </w:rPr>
            <w:fldChar w:fldCharType="end"/>
          </w:r>
        </w:p>
      </w:sdtContent>
    </w:sdt>
    <w:p>
      <w:pPr>
        <w:pStyle w:val="Normal"/>
        <w:rPr>
          <w:sz w:val="26"/>
          <w:szCs w:val="26"/>
          <w:highlight w:val="none"/>
          <w:shd w:fill="auto" w:val="clear"/>
        </w:rPr>
      </w:pPr>
      <w:r>
        <w:rPr>
          <w:sz w:val="26"/>
          <w:szCs w:val="26"/>
          <w:shd w:fill="auto" w:val="clear"/>
        </w:rPr>
      </w:r>
      <w:r>
        <w:br w:type="page"/>
      </w:r>
    </w:p>
    <w:p>
      <w:pPr>
        <w:pStyle w:val="Heading1"/>
        <w:numPr>
          <w:ilvl w:val="0"/>
          <w:numId w:val="3"/>
        </w:numPr>
        <w:ind w:left="426" w:hanging="426"/>
        <w:jc w:val="center"/>
        <w:rPr>
          <w:caps/>
        </w:rPr>
      </w:pPr>
      <w:bookmarkStart w:id="0" w:name="__RefHeading___Toc5426_315841478"/>
      <w:bookmarkStart w:id="1" w:name="_Toc54643694"/>
      <w:bookmarkStart w:id="2" w:name="_Toc135150390"/>
      <w:bookmarkEnd w:id="0"/>
      <w:r>
        <w:rPr/>
        <w:t>Общие сведения</w:t>
      </w:r>
      <w:bookmarkEnd w:id="1"/>
      <w:bookmarkEnd w:id="2"/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4"/>
        <w:numPr>
          <w:ilvl w:val="1"/>
          <w:numId w:val="3"/>
        </w:numPr>
        <w:ind w:left="426" w:hanging="426"/>
        <w:rPr/>
      </w:pPr>
      <w:bookmarkStart w:id="3" w:name="__RefHeading___Toc5428_315841478"/>
      <w:bookmarkStart w:id="4" w:name="_Toc54643696"/>
      <w:bookmarkStart w:id="5" w:name="_Toc135150391"/>
      <w:bookmarkStart w:id="6" w:name="_Toc46743506"/>
      <w:bookmarkEnd w:id="3"/>
      <w:r>
        <w:rPr/>
        <w:t>Наименование закупаемой продукции</w:t>
      </w:r>
      <w:bookmarkEnd w:id="4"/>
      <w:bookmarkEnd w:id="5"/>
      <w:bookmarkEnd w:id="6"/>
    </w:p>
    <w:p>
      <w:pPr>
        <w:pStyle w:val="Normal"/>
        <w:ind w:hanging="0"/>
        <w:jc w:val="both"/>
        <w:rPr>
          <w:sz w:val="24"/>
          <w:szCs w:val="24"/>
        </w:rPr>
      </w:pPr>
      <w:r>
        <w:rPr>
          <w:sz w:val="24"/>
          <w:szCs w:val="24"/>
        </w:rPr>
        <w:t>ОКПД 2 86.21.10 Оказание услуг по проведению периодического медицинского осмотра в г. Партизанск для нужд Дальневосточного филиала АО "ТК РусГидро"</w:t>
      </w:r>
      <w:bookmarkStart w:id="7" w:name="_Toc46743507"/>
    </w:p>
    <w:p>
      <w:pPr>
        <w:pStyle w:val="Heading4"/>
        <w:numPr>
          <w:ilvl w:val="1"/>
          <w:numId w:val="3"/>
        </w:numPr>
        <w:ind w:left="426" w:hanging="426"/>
        <w:rPr/>
      </w:pPr>
      <w:bookmarkStart w:id="8" w:name="__RefHeading___Toc5430_315841478"/>
      <w:bookmarkStart w:id="9" w:name="_Toc54643697"/>
      <w:bookmarkStart w:id="10" w:name="_Toc135150392"/>
      <w:bookmarkEnd w:id="8"/>
      <w:r>
        <w:rPr/>
        <w:t xml:space="preserve">Цель </w:t>
      </w:r>
      <w:bookmarkEnd w:id="7"/>
      <w:r>
        <w:rPr/>
        <w:t>оказания услуг</w:t>
      </w:r>
      <w:bookmarkEnd w:id="10"/>
      <w:r>
        <w:rPr/>
        <w:t xml:space="preserve"> </w:t>
      </w:r>
      <w:bookmarkEnd w:id="9"/>
    </w:p>
    <w:p>
      <w:pPr>
        <w:pStyle w:val="Normal"/>
        <w:tabs>
          <w:tab w:val="clear" w:pos="708"/>
          <w:tab w:val="left" w:pos="426" w:leader="none"/>
        </w:tabs>
        <w:ind w:hanging="0"/>
        <w:jc w:val="both"/>
        <w:rPr>
          <w:sz w:val="24"/>
          <w:szCs w:val="24"/>
        </w:rPr>
      </w:pPr>
      <w:r>
        <w:rPr>
          <w:sz w:val="24"/>
          <w:szCs w:val="24"/>
        </w:rPr>
        <w:t>Обязательные периодические медицинские осмотры (обследования) (далее - периодические осмотры) проводятся в целях динамического наблюдения за состоянием здоровья работников, своевременного выявления начальных форм профессиональных заболеваний, ранних признаков воздействия вредных и (или) опасных производственных факторов рабочей среды, трудового процесса на состояние здоровья работников в целях формирования групп риска развития профессиональных заболеваний, выявления медицинских противопоказаний к осуществлению отдельных видов работ.</w:t>
      </w:r>
    </w:p>
    <w:p>
      <w:pPr>
        <w:pStyle w:val="Normal"/>
        <w:tabs>
          <w:tab w:val="clear" w:pos="708"/>
          <w:tab w:val="left" w:pos="426" w:leader="none"/>
        </w:tabs>
        <w:ind w:hanging="0"/>
        <w:jc w:val="both"/>
        <w:rPr>
          <w:b/>
          <w:bCs/>
        </w:rPr>
      </w:pPr>
      <w:r>
        <w:rPr>
          <w:b/>
          <w:bCs/>
          <w:sz w:val="24"/>
          <w:szCs w:val="24"/>
        </w:rPr>
        <w:t>1.3. Существующее положение</w:t>
      </w:r>
    </w:p>
    <w:p>
      <w:pPr>
        <w:pStyle w:val="Normal"/>
        <w:keepNext w:val="true"/>
        <w:keepLines/>
        <w:numPr>
          <w:ilvl w:val="0"/>
          <w:numId w:val="0"/>
        </w:numPr>
        <w:spacing w:before="240" w:after="60"/>
        <w:ind w:left="0" w:hanging="0"/>
        <w:outlineLvl w:val="0"/>
        <w:rPr>
          <w:rFonts w:eastAsia="Calibri"/>
          <w:b/>
          <w:lang w:eastAsia="x-none"/>
        </w:rPr>
      </w:pPr>
      <w:bookmarkStart w:id="11" w:name="__RefHeading___Toc5432_315841478"/>
      <w:bookmarkStart w:id="12" w:name="_Toc135150395"/>
      <w:bookmarkStart w:id="13" w:name="_Toc129097754"/>
      <w:bookmarkStart w:id="14" w:name="_Toc54643699"/>
      <w:bookmarkEnd w:id="11"/>
      <w:r>
        <w:rPr>
          <w:rFonts w:eastAsia="Calibri"/>
          <w:b/>
          <w:lang w:val="x-none" w:eastAsia="x-none"/>
        </w:rPr>
        <w:t>Таблица 1</w:t>
      </w:r>
      <w:r>
        <w:rPr>
          <w:rFonts w:eastAsia="Calibri"/>
          <w:b/>
          <w:lang w:eastAsia="x-none"/>
        </w:rPr>
        <w:t>.</w:t>
      </w:r>
      <w:r>
        <w:rPr>
          <w:rFonts w:eastAsia="Calibri"/>
          <w:b/>
          <w:lang w:val="x-none" w:eastAsia="x-none"/>
        </w:rPr>
        <w:t xml:space="preserve"> </w:t>
      </w:r>
      <w:r>
        <w:rPr>
          <w:rFonts w:eastAsia="Calibri"/>
          <w:b/>
          <w:lang w:eastAsia="x-none"/>
        </w:rPr>
        <w:t>Перечень объектов заказчика</w:t>
      </w:r>
      <w:bookmarkEnd w:id="12"/>
      <w:bookmarkEnd w:id="13"/>
      <w:bookmarkEnd w:id="14"/>
    </w:p>
    <w:tbl>
      <w:tblPr>
        <w:tblW w:w="9918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562"/>
        <w:gridCol w:w="3261"/>
        <w:gridCol w:w="2103"/>
        <w:gridCol w:w="2008"/>
        <w:gridCol w:w="1984"/>
      </w:tblGrid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Расположение объекта </w:t>
              <w:br/>
            </w:r>
            <w:r>
              <w:rPr>
                <w:i/>
                <w:iCs/>
                <w:sz w:val="24"/>
                <w:szCs w:val="24"/>
              </w:rPr>
              <w:t>(место оказания услуг)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основного средства </w:t>
              <w:br/>
              <w:t>(в отношении которого оказываются услуги)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Примечания</w:t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>
        <w:trPr>
          <w:trHeight w:val="1268" w:hRule="atLeast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7"/>
              </w:numPr>
              <w:suppressAutoHyphens w:val="true"/>
              <w:spacing w:before="0" w:after="0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left="0" w:right="0" w:hanging="0"/>
              <w:jc w:val="both"/>
              <w:rPr>
                <w:lang w:val="ru-RU"/>
              </w:rPr>
            </w:pPr>
            <w:r>
              <w:rPr>
                <w:iCs/>
                <w:sz w:val="24"/>
                <w:szCs w:val="24"/>
                <w:lang w:val="ru-RU"/>
              </w:rPr>
              <w:t>ОКПД 2 86.21.10 Оказание услуг по проведению периодического медицинского осмотра в г. Партизанск для нужд Дальневосточного филиала АО "ТК РусГидро"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осмотров осуществляется в </w:t>
            </w:r>
            <w:r>
              <w:rPr>
                <w:iCs/>
                <w:sz w:val="24"/>
                <w:szCs w:val="24"/>
              </w:rPr>
              <w:t xml:space="preserve"> </w:t>
            </w:r>
            <w:r>
              <w:rPr>
                <w:iCs/>
                <w:sz w:val="24"/>
                <w:szCs w:val="24"/>
                <w:lang w:val="ru-RU"/>
              </w:rPr>
              <w:t>г. Партизанск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-</w:t>
            </w:r>
          </w:p>
        </w:tc>
      </w:tr>
    </w:tbl>
    <w:p>
      <w:pPr>
        <w:pStyle w:val="Normal"/>
        <w:jc w:val="both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</w:r>
    </w:p>
    <w:p>
      <w:pPr>
        <w:pStyle w:val="Heading1"/>
        <w:numPr>
          <w:ilvl w:val="0"/>
          <w:numId w:val="3"/>
        </w:numPr>
        <w:ind w:left="426" w:hanging="426"/>
        <w:jc w:val="center"/>
        <w:rPr>
          <w:caps/>
          <w:lang w:val="ru-RU"/>
        </w:rPr>
      </w:pPr>
      <w:bookmarkStart w:id="15" w:name="__RefHeading___Toc5434_315841478"/>
      <w:bookmarkStart w:id="16" w:name="_Toc54643702"/>
      <w:bookmarkStart w:id="17" w:name="_Toc135150396"/>
      <w:bookmarkStart w:id="18" w:name="_Toc51339693"/>
      <w:bookmarkEnd w:id="15"/>
      <w:r>
        <w:rPr>
          <w:lang w:val="ru-RU"/>
        </w:rPr>
        <w:t>Требования</w:t>
      </w:r>
      <w:r>
        <w:rPr/>
        <w:t xml:space="preserve"> к продукции</w:t>
      </w:r>
      <w:bookmarkEnd w:id="16"/>
      <w:bookmarkEnd w:id="17"/>
      <w:bookmarkEnd w:id="18"/>
    </w:p>
    <w:p>
      <w:pPr>
        <w:pStyle w:val="Heading4"/>
        <w:numPr>
          <w:ilvl w:val="1"/>
          <w:numId w:val="3"/>
        </w:numPr>
        <w:spacing w:lineRule="auto" w:line="240"/>
        <w:ind w:left="426" w:hanging="426"/>
        <w:rPr/>
      </w:pPr>
      <w:bookmarkStart w:id="19" w:name="__RefHeading___Toc5436_315841478"/>
      <w:bookmarkStart w:id="20" w:name="_Toc135150397"/>
      <w:bookmarkStart w:id="21" w:name="_Toc54643703"/>
      <w:bookmarkEnd w:id="19"/>
      <w:r>
        <w:rPr/>
        <w:t xml:space="preserve">Требования к объемам и срокам </w:t>
      </w:r>
      <w:r>
        <w:rPr>
          <w:lang w:val="ru-RU"/>
        </w:rPr>
        <w:t>оказания услуг</w:t>
      </w:r>
      <w:bookmarkEnd w:id="20"/>
      <w:bookmarkEnd w:id="21"/>
    </w:p>
    <w:p>
      <w:pPr>
        <w:pStyle w:val="Heading3"/>
        <w:numPr>
          <w:ilvl w:val="2"/>
          <w:numId w:val="3"/>
        </w:numPr>
        <w:spacing w:lineRule="auto" w:line="240"/>
        <w:ind w:left="426" w:hanging="426"/>
        <w:rPr/>
      </w:pPr>
      <w:bookmarkStart w:id="22" w:name="__RefHeading___Toc5438_315841478"/>
      <w:bookmarkStart w:id="23" w:name="_Toc54643704"/>
      <w:bookmarkStart w:id="24" w:name="_Toc135150398"/>
      <w:bookmarkEnd w:id="22"/>
      <w:r>
        <w:rPr/>
        <w:t>Требования к перечню и объему услуг</w:t>
      </w:r>
      <w:bookmarkEnd w:id="23"/>
      <w:bookmarkEnd w:id="24"/>
    </w:p>
    <w:p>
      <w:pPr>
        <w:pStyle w:val="Heading1"/>
        <w:numPr>
          <w:ilvl w:val="0"/>
          <w:numId w:val="0"/>
        </w:numPr>
        <w:ind w:left="0" w:hanging="0"/>
        <w:rPr/>
      </w:pPr>
      <w:bookmarkStart w:id="25" w:name="__RefHeading___Toc5440_315841478"/>
      <w:bookmarkStart w:id="26" w:name="_Toc135150399"/>
      <w:bookmarkStart w:id="27" w:name="_Toc54643705"/>
      <w:bookmarkStart w:id="28" w:name="_Toc51339695"/>
      <w:bookmarkEnd w:id="25"/>
      <w:r>
        <w:rPr/>
        <w:t xml:space="preserve">Таблица 2. Перечень </w:t>
      </w:r>
      <w:bookmarkEnd w:id="28"/>
      <w:r>
        <w:rPr/>
        <w:t>и объем оказываемых услуг</w:t>
      </w:r>
      <w:bookmarkEnd w:id="26"/>
      <w:bookmarkEnd w:id="27"/>
    </w:p>
    <w:p>
      <w:pPr>
        <w:pStyle w:val="Normal"/>
        <w:widowControl w:val="false"/>
        <w:tabs>
          <w:tab w:val="clear" w:pos="708"/>
          <w:tab w:val="left" w:pos="426" w:leader="none"/>
        </w:tabs>
        <w:spacing w:lineRule="auto" w:line="240" w:before="120" w:after="120"/>
        <w:ind w:firstLine="142"/>
        <w:rPr>
          <w:bCs/>
          <w:i/>
          <w:i/>
          <w:sz w:val="24"/>
          <w:szCs w:val="24"/>
          <w:shd w:fill="FFFF99" w:val="clear"/>
        </w:rPr>
      </w:pPr>
      <w:r>
        <w:rPr>
          <w:bCs/>
          <w:i/>
          <w:sz w:val="24"/>
          <w:szCs w:val="24"/>
          <w:shd w:fill="FFFF99" w:val="clear"/>
        </w:rPr>
      </w:r>
    </w:p>
    <w:tbl>
      <w:tblPr>
        <w:tblW w:w="9810" w:type="dxa"/>
        <w:jc w:val="left"/>
        <w:tblInd w:w="2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6"/>
        <w:gridCol w:w="6375"/>
        <w:gridCol w:w="1421"/>
        <w:gridCol w:w="1417"/>
      </w:tblGrid>
      <w:tr>
        <w:trPr/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6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 / этапа услуг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>
        <w:trPr/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5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3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i/>
                <w:sz w:val="24"/>
                <w:szCs w:val="24"/>
              </w:rPr>
              <w:t>Приложение №1 п. 18.2 Управление наземными транспортными средствами</w:t>
            </w:r>
          </w:p>
        </w:tc>
        <w:tc>
          <w:tcPr>
            <w:tcW w:w="14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Усл. ед.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>
        <w:trPr/>
        <w:tc>
          <w:tcPr>
            <w:tcW w:w="5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63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cs="Times New Roman"/>
                <w:i/>
                <w:iCs/>
                <w:sz w:val="24"/>
                <w:szCs w:val="24"/>
              </w:rPr>
              <w:t>Приложение №1 п.8  Работы в качестве крановщика (машиниста крана, машинист крана автомобильного);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cs="Times New Roman"/>
                <w:i/>
                <w:iCs/>
                <w:sz w:val="24"/>
                <w:szCs w:val="24"/>
              </w:rPr>
              <w:t>Приложение №1 п. 18.2 Управление наземными транспортными средствами</w:t>
            </w:r>
          </w:p>
        </w:tc>
        <w:tc>
          <w:tcPr>
            <w:tcW w:w="14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Усл. ед.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</w:tbl>
    <w:p>
      <w:pPr>
        <w:pStyle w:val="Heading3"/>
        <w:numPr>
          <w:ilvl w:val="2"/>
          <w:numId w:val="3"/>
        </w:numPr>
        <w:ind w:left="426" w:hanging="426"/>
        <w:rPr/>
      </w:pPr>
      <w:bookmarkStart w:id="29" w:name="__RefHeading___Toc5442_315841478"/>
      <w:bookmarkStart w:id="30" w:name="_Toc54643706"/>
      <w:bookmarkStart w:id="31" w:name="_Toc135150400"/>
      <w:bookmarkStart w:id="32" w:name="_Toc51339696"/>
      <w:bookmarkEnd w:id="29"/>
      <w:r>
        <w:rPr/>
        <w:t xml:space="preserve">Требования </w:t>
      </w:r>
      <w:bookmarkEnd w:id="32"/>
      <w:r>
        <w:rPr/>
        <w:t>к срокам оказания услуг</w:t>
      </w:r>
      <w:bookmarkEnd w:id="30"/>
      <w:bookmarkEnd w:id="31"/>
    </w:p>
    <w:p>
      <w:pPr>
        <w:pStyle w:val="Heading1"/>
        <w:numPr>
          <w:ilvl w:val="0"/>
          <w:numId w:val="0"/>
        </w:numPr>
        <w:ind w:left="0" w:hanging="0"/>
        <w:rPr>
          <w:lang w:val="ru-RU"/>
        </w:rPr>
      </w:pPr>
      <w:bookmarkStart w:id="33" w:name="__RefHeading___Toc5444_315841478"/>
      <w:bookmarkStart w:id="34" w:name="_Toc54643707"/>
      <w:bookmarkStart w:id="35" w:name="_Toc135150401"/>
      <w:bookmarkStart w:id="36" w:name="_Toc51339697"/>
      <w:bookmarkStart w:id="37" w:name="_Toc50125127"/>
      <w:bookmarkStart w:id="38" w:name="_Toc50125126_Копия_1"/>
      <w:bookmarkEnd w:id="33"/>
      <w:bookmarkEnd w:id="38"/>
      <w:r>
        <w:rPr/>
        <w:t xml:space="preserve">Таблица </w:t>
      </w:r>
      <w:r>
        <w:rPr>
          <w:lang w:val="ru-RU"/>
        </w:rPr>
        <w:t>3</w:t>
      </w:r>
      <w:r>
        <w:rPr/>
        <w:t xml:space="preserve">. </w:t>
      </w:r>
      <w:bookmarkStart w:id="39" w:name="_Hlk50465284"/>
      <w:r>
        <w:rPr/>
        <w:t xml:space="preserve">Требования </w:t>
      </w:r>
      <w:r>
        <w:rPr>
          <w:lang w:val="ru-RU"/>
        </w:rPr>
        <w:t>к</w:t>
      </w:r>
      <w:r>
        <w:rPr/>
        <w:t xml:space="preserve"> срокам </w:t>
      </w:r>
      <w:bookmarkEnd w:id="36"/>
      <w:bookmarkEnd w:id="37"/>
      <w:bookmarkEnd w:id="39"/>
      <w:r>
        <w:rPr>
          <w:lang w:val="ru-RU"/>
        </w:rPr>
        <w:t>оказания услуг</w:t>
      </w:r>
      <w:bookmarkEnd w:id="34"/>
      <w:bookmarkEnd w:id="35"/>
    </w:p>
    <w:tbl>
      <w:tblPr>
        <w:tblW w:w="9776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85"/>
        <w:gridCol w:w="3348"/>
        <w:gridCol w:w="2525"/>
        <w:gridCol w:w="3117"/>
      </w:tblGrid>
      <w:tr>
        <w:trPr/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услуг/ этапа услуг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оказания услуг/ этапа услуг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оказания услуг / этапа услуг</w:t>
            </w:r>
          </w:p>
        </w:tc>
      </w:tr>
      <w:tr>
        <w:trPr/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suppressAutoHyphens w:val="true"/>
              <w:rPr/>
            </w:pPr>
            <w:r>
              <w:rPr/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left="0" w:right="0" w:hanging="0"/>
              <w:jc w:val="both"/>
              <w:rPr>
                <w:lang w:val="ru-RU"/>
              </w:rPr>
            </w:pPr>
            <w:r>
              <w:rPr>
                <w:iCs/>
                <w:sz w:val="24"/>
                <w:szCs w:val="24"/>
                <w:lang w:val="ru-RU"/>
              </w:rPr>
              <w:t>ОКПД 2 86.21.10 Оказание услуг по проведению периодического медицинского осмотра в г. Партизанск для нужд Дальневосточного филиала АО "ТК РусГидро"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  <w:lang w:val="ru-RU"/>
              </w:rPr>
              <w:t>01.03.2027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bookmarkStart w:id="40" w:name="_Toc46743510_Копия_1"/>
            <w:bookmarkEnd w:id="40"/>
            <w:r>
              <w:rPr>
                <w:sz w:val="24"/>
                <w:szCs w:val="24"/>
                <w:lang w:val="ru-RU"/>
              </w:rPr>
              <w:t>31.12.202</w:t>
            </w:r>
            <w:r>
              <w:rPr>
                <w:sz w:val="24"/>
                <w:szCs w:val="24"/>
                <w:lang w:val="ru-RU"/>
              </w:rPr>
              <w:t>7</w:t>
            </w:r>
          </w:p>
        </w:tc>
      </w:tr>
    </w:tbl>
    <w:p>
      <w:pPr>
        <w:sectPr>
          <w:headerReference w:type="even" r:id="rId2"/>
          <w:headerReference w:type="default" r:id="rId3"/>
          <w:type w:val="nextPage"/>
          <w:pgSz w:w="11906" w:h="16838"/>
          <w:pgMar w:left="1134" w:right="851" w:gutter="0" w:header="680" w:top="1134" w:footer="0" w:bottom="992"/>
          <w:pgNumType w:fmt="decimal"/>
          <w:formProt w:val="false"/>
          <w:titlePg/>
          <w:textDirection w:val="lrTb"/>
          <w:docGrid w:type="default" w:linePitch="381" w:charSpace="0"/>
        </w:sectPr>
      </w:pPr>
    </w:p>
    <w:p>
      <w:pPr>
        <w:pStyle w:val="Heading4"/>
        <w:numPr>
          <w:ilvl w:val="1"/>
          <w:numId w:val="3"/>
        </w:numPr>
        <w:ind w:left="426" w:hanging="426"/>
        <w:rPr/>
      </w:pPr>
      <w:bookmarkStart w:id="41" w:name="__RefHeading___Toc5446_315841478"/>
      <w:bookmarkStart w:id="42" w:name="_Toc54643709"/>
      <w:bookmarkStart w:id="43" w:name="_Toc51339698"/>
      <w:bookmarkStart w:id="44" w:name="_Toc54643708"/>
      <w:bookmarkStart w:id="45" w:name="_Toc135150402"/>
      <w:bookmarkStart w:id="46" w:name="_Toc46743511"/>
      <w:bookmarkEnd w:id="41"/>
      <w:r>
        <w:rPr/>
        <w:t xml:space="preserve">Требования к </w:t>
      </w:r>
      <w:bookmarkEnd w:id="46"/>
      <w:r>
        <w:rPr>
          <w:lang w:val="ru-RU"/>
        </w:rPr>
        <w:t>качеству услуг</w:t>
      </w:r>
      <w:bookmarkEnd w:id="44"/>
      <w:bookmarkEnd w:id="45"/>
    </w:p>
    <w:p>
      <w:pPr>
        <w:pStyle w:val="Heading1"/>
        <w:numPr>
          <w:ilvl w:val="0"/>
          <w:numId w:val="0"/>
        </w:numPr>
        <w:ind w:left="0" w:hanging="0"/>
        <w:rPr/>
      </w:pPr>
      <w:bookmarkStart w:id="47" w:name="__RefHeading___Toc5448_315841478"/>
      <w:bookmarkStart w:id="48" w:name="_Toc135150403"/>
      <w:bookmarkEnd w:id="47"/>
      <w:r>
        <w:rPr/>
        <w:t>Таблица </w:t>
      </w:r>
      <w:r>
        <w:rPr>
          <w:lang w:val="ru-RU"/>
        </w:rPr>
        <w:t>4</w:t>
      </w:r>
      <w:r>
        <w:rPr/>
        <w:t xml:space="preserve">. Требования к </w:t>
      </w:r>
      <w:bookmarkEnd w:id="43"/>
      <w:r>
        <w:rPr>
          <w:lang w:val="ru-RU"/>
        </w:rPr>
        <w:t xml:space="preserve">качеству </w:t>
      </w:r>
      <w:bookmarkEnd w:id="42"/>
      <w:bookmarkEnd w:id="48"/>
      <w:r>
        <w:rPr>
          <w:lang w:val="ru-RU"/>
        </w:rPr>
        <w:t xml:space="preserve">услуг.  </w:t>
      </w:r>
    </w:p>
    <w:p>
      <w:pPr>
        <w:pStyle w:val="Heading1"/>
        <w:numPr>
          <w:ilvl w:val="0"/>
          <w:numId w:val="0"/>
        </w:numPr>
        <w:ind w:left="0" w:hanging="0"/>
        <w:rPr/>
      </w:pPr>
      <w:bookmarkStart w:id="49" w:name="__RefHeading___Toc1060_2924392234"/>
      <w:bookmarkEnd w:id="49"/>
      <w:r>
        <w:rPr/>
        <w:t>Наименование услуг/этапа услуг: ОКПД 2 86.21.10 Оказание услуг по проведению периодического медицинского осмотра в г. Партизанск для нужд Дальневосточного филиала АО "ТК РусГидро"</w:t>
      </w:r>
    </w:p>
    <w:p>
      <w:pPr>
        <w:pStyle w:val="Normal"/>
        <w:rPr>
          <w:i/>
          <w:i/>
          <w:iCs/>
          <w:shd w:fill="FFFF99" w:val="clear"/>
        </w:rPr>
      </w:pPr>
      <w:r>
        <w:rPr>
          <w:i/>
          <w:iCs/>
          <w:shd w:fill="FFFF99" w:val="clear"/>
        </w:rPr>
      </w:r>
    </w:p>
    <w:tbl>
      <w:tblPr>
        <w:tblW w:w="1528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840"/>
        <w:gridCol w:w="5779"/>
        <w:gridCol w:w="3247"/>
        <w:gridCol w:w="2868"/>
        <w:gridCol w:w="2546"/>
      </w:tblGrid>
      <w:tr>
        <w:trPr>
          <w:trHeight w:val="276" w:hRule="atLeast"/>
        </w:trPr>
        <w:tc>
          <w:tcPr>
            <w:tcW w:w="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№ </w:t>
            </w:r>
            <w:r>
              <w:rPr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57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32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54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</w:tr>
      <w:tr>
        <w:trPr>
          <w:trHeight w:val="276" w:hRule="atLeast"/>
        </w:trPr>
        <w:tc>
          <w:tcPr>
            <w:tcW w:w="8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57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32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8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25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b/>
                <w:bCs/>
                <w:sz w:val="24"/>
                <w:szCs w:val="24"/>
              </w:rPr>
            </w:pPr>
            <w:bookmarkStart w:id="50" w:name="_Toc53499667"/>
            <w:r>
              <w:rPr>
                <w:b/>
                <w:bCs/>
                <w:sz w:val="24"/>
                <w:szCs w:val="24"/>
              </w:rPr>
              <w:t>1</w:t>
            </w:r>
            <w:bookmarkEnd w:id="50"/>
          </w:p>
        </w:tc>
        <w:tc>
          <w:tcPr>
            <w:tcW w:w="5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5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pacing w:before="60" w:after="60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оказанию услуг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>
        <w:trPr>
          <w:trHeight w:val="2604" w:hRule="atLeast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1"/>
                <w:numId w:val="6"/>
              </w:numPr>
              <w:spacing w:before="60" w:after="60"/>
              <w:ind w:left="-117" w:firstLine="142"/>
              <w:contextualSpacing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60"/>
              <w:rPr>
                <w:highlight w:val="none"/>
                <w:shd w:fill="auto" w:val="clear"/>
              </w:rPr>
            </w:pPr>
            <w:r>
              <w:rPr>
                <w:b/>
                <w:sz w:val="24"/>
                <w:szCs w:val="24"/>
                <w:shd w:fill="auto" w:val="clear"/>
              </w:rPr>
              <w:t>Общие требования к оказанию услуг</w:t>
            </w:r>
          </w:p>
          <w:p>
            <w:pPr>
              <w:pStyle w:val="Normal"/>
              <w:widowControl w:val="false"/>
              <w:bidi w:val="0"/>
              <w:ind w:left="0" w:right="0" w:hanging="0"/>
              <w:jc w:val="both"/>
              <w:rPr>
                <w:highlight w:val="none"/>
                <w:shd w:fill="auto" w:val="clear"/>
              </w:rPr>
            </w:pPr>
            <w:r>
              <w:rPr>
                <w:b w:val="false"/>
                <w:bCs w:val="false"/>
                <w:sz w:val="24"/>
                <w:szCs w:val="24"/>
                <w:shd w:fill="auto" w:val="clear"/>
                <w:lang w:val="ru-RU"/>
              </w:rPr>
              <w:t>Исполнитель предоставляет медицинские услуги, согласно Приказа МЗ РФ от 28.01.2021 г. № 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</w:t>
            </w:r>
          </w:p>
        </w:tc>
        <w:tc>
          <w:tcPr>
            <w:tcW w:w="28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Участник должен предоставить в заявке согласие оказать услуги, полностью соответствующие настоящим техническим требованиям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sz w:val="24"/>
                <w:szCs w:val="24"/>
              </w:rPr>
              <w:t>-</w:t>
            </w:r>
          </w:p>
          <w:p>
            <w:pPr>
              <w:pStyle w:val="Normal"/>
              <w:widowControl w:val="false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1"/>
                <w:numId w:val="6"/>
              </w:numPr>
              <w:spacing w:before="60" w:after="60"/>
              <w:ind w:left="-117" w:firstLine="142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способам оказания услуг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2"/>
                <w:numId w:val="6"/>
              </w:numPr>
              <w:spacing w:before="60" w:after="60"/>
              <w:ind w:left="1224" w:hanging="1199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 xml:space="preserve">Проведение периодического медицинского осмотра осуществляется на территории медицинского учреждения в </w:t>
            </w:r>
            <w:r>
              <w:rPr>
                <w:iCs/>
                <w:sz w:val="24"/>
                <w:szCs w:val="24"/>
                <w:shd w:fill="auto" w:val="clear"/>
                <w:lang w:val="ru-RU"/>
              </w:rPr>
              <w:t>г. Партизанск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1"/>
                <w:numId w:val="6"/>
              </w:numPr>
              <w:spacing w:before="60" w:after="60"/>
              <w:ind w:left="-117" w:firstLine="142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процедурам оказания услуг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6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6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2"/>
                <w:numId w:val="6"/>
              </w:numPr>
              <w:spacing w:before="60" w:after="60"/>
              <w:ind w:left="1224" w:hanging="1199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  <w:lang w:eastAsia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ar-SA" w:bidi="ar-SA"/>
              </w:rPr>
              <w:t>При проведении периодического осмотра работника учитываются результаты ранее проведенных диспансеризации, иных медицинских осмотров, подтвержденных медицинскими документами, за исключением случаев выявления у него симптомов и синдромов заболеваний, свидетельствующих о наличии медицинских показаний для повторного проведения исследований либо иных медицинских мероприятий в рамках периодического осмотра.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rPr>
          <w:trHeight w:val="90" w:hRule="atLeast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1.3.2.</w:t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  <w:lang w:eastAsia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ar-SA" w:bidi="ar-SA"/>
              </w:rPr>
              <w:t>Приём работников Заказчика не должен осуществляться одновременно несколькими врачами-специалистами в одном помещении.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rPr>
          <w:trHeight w:val="90" w:hRule="atLeast"/>
        </w:trPr>
        <w:tc>
          <w:tcPr>
            <w:tcW w:w="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1.3.3.</w:t>
            </w:r>
          </w:p>
        </w:tc>
        <w:tc>
          <w:tcPr>
            <w:tcW w:w="902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ar-SA" w:bidi="ar-SA"/>
              </w:rPr>
              <w:t>Проведение периодических медосмотров должно быть организовано из расчёта экономии времени сотрудников Заказчика, без очередей и при наличии всех врачей-специалистов согласно представленному перечню услуг.</w:t>
            </w:r>
          </w:p>
        </w:tc>
        <w:tc>
          <w:tcPr>
            <w:tcW w:w="286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1"/>
                <w:numId w:val="6"/>
              </w:numPr>
              <w:spacing w:before="60" w:after="60"/>
              <w:ind w:left="-117" w:firstLine="142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применяемым при оказании услуг оборудованию и материалам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6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6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2"/>
                <w:numId w:val="6"/>
              </w:numPr>
              <w:spacing w:before="60" w:after="60"/>
              <w:ind w:left="1224" w:hanging="1199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Забор анализов производить только одноразовыми медицинскими инструментами, использовать только одноразовый расходный материал: медицинские перчатки, бесконтактные пробирки, гинекологические зеркала, зонды и т.д.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1.4.2.</w:t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Оборудование, применяемое для проведения медицинского осмотра должно</w:t>
            </w:r>
            <w:r>
              <w:rPr>
                <w:rFonts w:eastAsia="Times New Roman" w:cs="Times New Roman"/>
                <w:color w:val="333333"/>
                <w:kern w:val="0"/>
                <w:sz w:val="24"/>
                <w:szCs w:val="24"/>
                <w:lang w:val="ru-RU" w:eastAsia="ru-RU" w:bidi="ar-SA"/>
              </w:rPr>
              <w:t xml:space="preserve"> соответствовать нормам безопасности и технико-эксплуатационной надёжности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1.4.3.</w:t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Оборудование должно иметь обязательную соответствующую сертификацию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rPr>
          <w:trHeight w:val="337" w:hRule="atLeast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1"/>
                <w:numId w:val="6"/>
              </w:numPr>
              <w:spacing w:before="60" w:after="60"/>
              <w:ind w:left="-117" w:firstLine="142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персоналу исполнителя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>
        <w:trPr>
          <w:trHeight w:val="1234" w:hRule="atLeast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2"/>
                <w:numId w:val="6"/>
              </w:numPr>
              <w:spacing w:before="60" w:after="60"/>
              <w:ind w:left="1224" w:hanging="1199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Медицинские работники, осуществляющие проведение медицинского осмотра </w:t>
            </w:r>
            <w:r>
              <w:rPr>
                <w:rFonts w:eastAsia="Times New Roman" w:cs="Times New Roman"/>
                <w:bCs/>
                <w:color w:val="202124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должны иметь высшее и (или) среднее образование профессиональное образование, действующий сертификат специалиста и документ, подтверждающий прохождение специального обучения.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rPr>
          <w:trHeight w:val="856" w:hRule="atLeast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2"/>
                <w:numId w:val="6"/>
              </w:numPr>
              <w:spacing w:before="60" w:after="60"/>
              <w:ind w:left="1224" w:hanging="1199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color w:val="333333"/>
                <w:kern w:val="0"/>
                <w:sz w:val="24"/>
                <w:szCs w:val="24"/>
                <w:lang w:val="ru-RU" w:eastAsia="ru-RU" w:bidi="ar-SA"/>
              </w:rPr>
              <w:t>Аппаратура и приборы не должны представлять угрозы для пациентов, сотрудников медучреждений и окружающей среды (при строгом соблюдении инструкций, правил применения и эксплуатации и поддержании стабильных внешних условий).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rPr>
          <w:trHeight w:val="856" w:hRule="atLeast"/>
        </w:trPr>
        <w:tc>
          <w:tcPr>
            <w:tcW w:w="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2"/>
                <w:numId w:val="6"/>
              </w:numPr>
              <w:spacing w:before="60" w:after="60"/>
              <w:ind w:left="1224" w:hanging="1199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902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Медицинские осмотры должны проводиться медицинскими организациями любой формы собственности, имеющих лицензию на осуществление медицинской деятельности.</w:t>
            </w:r>
          </w:p>
        </w:tc>
        <w:tc>
          <w:tcPr>
            <w:tcW w:w="286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составе заявки Участник предоставляет цветную скан копию действующей лицензии со всеми приложениями в формате PortableDocumentFormat (*.pdf) или копию выписки из реестра лицензий в формате PortableDocumentFormat (*.pdf).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pacing w:before="60" w:after="60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результатам у</w:t>
            </w:r>
            <w:r>
              <w:rPr>
                <w:b/>
                <w:sz w:val="24"/>
                <w:szCs w:val="24"/>
              </w:rPr>
              <w:t>слуг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1"/>
                <w:numId w:val="6"/>
              </w:numPr>
              <w:spacing w:before="60" w:after="60"/>
              <w:ind w:left="-117" w:firstLine="142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Общие требования к результатам услуг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2"/>
                <w:numId w:val="6"/>
              </w:numPr>
              <w:spacing w:before="60" w:after="60"/>
              <w:ind w:left="1224" w:hanging="1199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Heading3"/>
              <w:keepNext w:val="true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before="120" w:after="60"/>
              <w:ind w:left="25" w:right="0" w:hanging="0"/>
              <w:jc w:val="left"/>
              <w:rPr>
                <w:rFonts w:ascii="Times New Roman" w:hAnsi="Times New Roman" w:eastAsia="Calibri" w:cs="Times New Roman"/>
                <w:color w:val="auto"/>
                <w:kern w:val="0"/>
                <w:sz w:val="24"/>
                <w:szCs w:val="24"/>
                <w:lang w:eastAsia="x-none" w:bidi="ar-SA"/>
              </w:rPr>
            </w:pPr>
            <w:bookmarkStart w:id="51" w:name="__RefHeading___Toc1062_2924392234"/>
            <w:bookmarkStart w:id="52" w:name="_Toc125983874"/>
            <w:bookmarkEnd w:id="51"/>
            <w:r>
              <w:rPr>
                <w:rFonts w:eastAsia="Calibri" w:cs="Times New Roman"/>
                <w:color w:val="auto"/>
                <w:kern w:val="0"/>
                <w:sz w:val="24"/>
                <w:szCs w:val="24"/>
                <w:lang w:eastAsia="x-none" w:bidi="ar-SA"/>
              </w:rPr>
              <w:t>По окончании прохождения работником периодического медицинского осмотра медицинской организацией оформляется заключение по его результатам (далее - Заключение).</w:t>
            </w:r>
            <w:bookmarkEnd w:id="52"/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2"/>
                <w:numId w:val="6"/>
              </w:numPr>
              <w:spacing w:before="60" w:after="60"/>
              <w:ind w:left="1224" w:hanging="1199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По итогам проведения периодических осмотров медицинская организация не позднее чем через 30 дней после завершения проведения периодических осмотров обобщает их результаты и совместно с территориальными органами федерального органа исполнительной власти, уполномоченного на осуществление государственного контроля и надзора в сфере обеспечения санитарно-эпидемиологического благополучия населения, и представителями работодателя составляет заключительный акт.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1"/>
                <w:numId w:val="6"/>
              </w:numPr>
              <w:spacing w:before="60" w:after="60"/>
              <w:ind w:left="-117" w:firstLine="142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приемке результата оказания у</w:t>
            </w:r>
            <w:r>
              <w:rPr>
                <w:b/>
                <w:sz w:val="24"/>
                <w:szCs w:val="24"/>
              </w:rPr>
              <w:t>слуг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6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6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2"/>
                <w:numId w:val="6"/>
              </w:numPr>
              <w:spacing w:before="60" w:after="60"/>
              <w:ind w:left="1224" w:hanging="1199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Заключение составляется в трех экземплярах, один экземпляр которого не позднее 5 рабочих дней выдается лицу, поступающему на работу, второй экземпляр Заключения приобщается к медицинской карте, оформляемой в медицинской организации, в которой проводился предварительный осмотр, третий - направляется работодателю.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rPr/>
        <w:tc>
          <w:tcPr>
            <w:tcW w:w="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2"/>
                <w:numId w:val="6"/>
              </w:numPr>
              <w:spacing w:before="60" w:after="60"/>
              <w:ind w:left="1224" w:hanging="1199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902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Заключительный акт подписывается председателем врачебной комиссии и заверяется печатью медицинской организации (при наличии).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6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2"/>
                <w:numId w:val="6"/>
              </w:numPr>
              <w:spacing w:before="60" w:after="60"/>
              <w:ind w:left="1224" w:hanging="1199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902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Заключительный акт (в том числе в электронной форме) составляется в пяти экземплярах, которые направляются медицинской организацией в течение 5 рабочих дней от даты утверждения акта работодателю, в центр профпатологии субъекта Российской Федерации, Фонд социального страхования, в территориальный орган Федеральной службы по надзору в сфере защиты прав потребителей и благополучия человека.</w:t>
            </w:r>
          </w:p>
        </w:tc>
        <w:tc>
          <w:tcPr>
            <w:tcW w:w="286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</w:t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безопасности использования результата оказания услуг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2.3.1.</w:t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fill="FFFFFF"/>
              <w:tabs>
                <w:tab w:val="clear" w:pos="708"/>
                <w:tab w:val="left" w:pos="538" w:leader="none"/>
              </w:tabs>
              <w:suppressAutoHyphens w:val="true"/>
              <w:spacing w:before="0" w:after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Исполнитель обязуются сохранять конфиденциальность информации, полученной в ходе исполнения услуг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2.3.2.</w:t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Передача конфиденциальной информации третьим лицам, опубликование или иное разглашение такой информации может осуществляться только с письменного согласия Сторон, </w:t>
            </w:r>
            <w:r>
              <w:rPr>
                <w:rFonts w:eastAsia="Times New Roman" w:cs="Times New Roman"/>
                <w:color w:val="000000"/>
                <w:spacing w:val="7"/>
                <w:kern w:val="0"/>
                <w:sz w:val="24"/>
                <w:szCs w:val="24"/>
                <w:lang w:val="ru-RU" w:eastAsia="ru-RU" w:bidi="ar-SA"/>
              </w:rPr>
              <w:t>за исключением случаев, предусмотренных законодательством Российской Федерации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2.4.</w:t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документации, описывающей результат оказания услуг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2.4.1.</w:t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В Заключении указываются: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-дата выдачи Заключения;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-фамилия, имя, отчество (при наличии), дата рождения, пол лица, поступающего на работу;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-наименование работодателя;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-наименование структурного подразделения работодателя (при наличии), должности (профессии) или вида работы;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-наименование вредных и (или) опасных производственных факторов, видов работ;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-результаты предварительного осмотра: медицинские противопоказания к работе выявлены (перечислить вредные факторы или виды работ, в отношении которых выявлены противопоказания) или медицинские противопоказания к работе не выявлены; группа здоровья лица, поступающего на работу.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2.4.2.</w:t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В заключительном акте указывается: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-наименование медицинской организации, проводившей периодический осмотр, адрес ее местонахождения и код по ОГРН;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-дата составления акта;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-наименование работодателя;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-общая численность работников, в том числе женщин, работников в возрасте до 18 лет, работников, которым установлена стойкая степень утраты трудоспособности;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-численность работников, занятых на работах с вредными и (или) опасными условиями труда;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-численность работников, занятых на работах, при выполнении которых обязательно проведение периодических медицинских осмотров (обследований) в целях охраны здоровья населения, предупреждения возникновения и распространения заболеваний, в том числе женщин, работников в возрасте до 18 лет, работников, которым установлена стойкая степень утраты трудоспособности;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-численность работников, подлежащих периодическому медицинскому осмотру, в том числе женщин, работников в возрасте до 18 лет, работников, которым установлена стойкая степень утраты трудоспособности;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-численность работников, прошедших периодический медицинский осмотр, в том числе женщин, работников в возрасте до 18 лет, работников, которым установлена стойкая степень утраты трудоспособности;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-процент охвата работников периодическим медицинским осмотром;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-список лиц, прошедших периодический медицинский осмотр, с указанием пола, даты рождения, структурного подразделения (при наличии), заключения медицинской комиссии;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-численность работников, не завершивших периодический медицинский осмотр, в том числе женщин;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-список работников, не завершивших периодический медицинский осмотр;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-численность работников, не прошедших периодический медицинский осмотр, в том числе женщин;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-список работников, не прошедших периодический медицинский осмотр;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-численность работников, не имеющих медицинские противопоказания к работе;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-численность работников, имеющих медицинские противопоказания к работе;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-численность работников, нуждающихся в проведении дополнительного обследования;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-численность работников, нуждающихся в обследовании в центре профпатологии;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-численность работников, нуждающихся в амбулаторном обследовании и лечении;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-численность работников, нуждающихся в стационарном обследовании и лечении;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-численность работников, нуждающихся в санаторно-курортном лечении;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-численность работников, нуждающихся в диспансерном наблюдении;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-список лиц с установленным предварительным диагнозом профессионального заболевания с указанием пола, даты рождения; структурного подразделения (при наличии), профессии (должности), вредных и (или) опасных производственных факторов и работ;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-перечень впервые установленных хронических соматических заболеваний с указанием класса заболеваний по действующей Международной </w:t>
            </w:r>
            <w:r>
              <w:fldChar w:fldCharType="begin"/>
            </w:r>
            <w:r>
              <w:rPr>
                <w:sz w:val="24"/>
                <w:u w:val="single"/>
                <w:kern w:val="0"/>
                <w:szCs w:val="24"/>
                <w:rFonts w:eastAsia="Times New Roman" w:cs="Times New Roman"/>
                <w:lang w:val="ru-RU" w:eastAsia="ru-RU" w:bidi="ar-SA"/>
              </w:rPr>
              <w:instrText xml:space="preserve"> HYPERLINK "https://normativ.kontur.ru/document?moduleid=1&amp;documentid=71591" \l "l0"</w:instrText>
            </w:r>
            <w:r>
              <w:rPr>
                <w:sz w:val="24"/>
                <w:u w:val="single"/>
                <w:kern w:val="0"/>
                <w:szCs w:val="24"/>
                <w:rFonts w:eastAsia="Times New Roman" w:cs="Times New Roman"/>
                <w:lang w:val="ru-RU" w:eastAsia="ru-RU" w:bidi="ar-SA"/>
              </w:rPr>
              <w:fldChar w:fldCharType="separate"/>
            </w:r>
            <w:r>
              <w:rPr>
                <w:rFonts w:eastAsia="Times New Roman" w:cs="Times New Roman"/>
                <w:kern w:val="0"/>
                <w:sz w:val="24"/>
                <w:szCs w:val="24"/>
                <w:u w:val="single"/>
                <w:lang w:val="ru-RU" w:eastAsia="ru-RU" w:bidi="ar-SA"/>
              </w:rPr>
              <w:t>классификации</w:t>
            </w:r>
            <w:r>
              <w:rPr>
                <w:sz w:val="24"/>
                <w:u w:val="single"/>
                <w:kern w:val="0"/>
                <w:szCs w:val="24"/>
                <w:rFonts w:eastAsia="Times New Roman" w:cs="Times New Roman"/>
                <w:lang w:val="ru-RU" w:eastAsia="ru-RU" w:bidi="ar-SA"/>
              </w:rPr>
              <w:fldChar w:fldCharType="end"/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 болезней и проблем, связанных со здоровьем (далее - МКБ);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-перечень впервые установленных профессиональных заболеваний с указанием класса заболеваний по </w:t>
            </w:r>
            <w:r>
              <w:fldChar w:fldCharType="begin"/>
            </w:r>
            <w:r>
              <w:rPr>
                <w:sz w:val="24"/>
                <w:u w:val="single"/>
                <w:kern w:val="0"/>
                <w:szCs w:val="24"/>
                <w:rFonts w:eastAsia="Times New Roman" w:cs="Times New Roman"/>
                <w:lang w:val="ru-RU" w:eastAsia="ru-RU" w:bidi="ar-SA"/>
              </w:rPr>
              <w:instrText xml:space="preserve"> HYPERLINK "https://normativ.kontur.ru/document?moduleid=1&amp;documentid=71591" \l "l0"</w:instrText>
            </w:r>
            <w:r>
              <w:rPr>
                <w:sz w:val="24"/>
                <w:u w:val="single"/>
                <w:kern w:val="0"/>
                <w:szCs w:val="24"/>
                <w:rFonts w:eastAsia="Times New Roman" w:cs="Times New Roman"/>
                <w:lang w:val="ru-RU" w:eastAsia="ru-RU" w:bidi="ar-SA"/>
              </w:rPr>
              <w:fldChar w:fldCharType="separate"/>
            </w:r>
            <w:r>
              <w:rPr>
                <w:rFonts w:eastAsia="Times New Roman" w:cs="Times New Roman"/>
                <w:kern w:val="0"/>
                <w:sz w:val="24"/>
                <w:szCs w:val="24"/>
                <w:u w:val="single"/>
                <w:lang w:val="ru-RU" w:eastAsia="ru-RU" w:bidi="ar-SA"/>
              </w:rPr>
              <w:t>МКБ</w:t>
            </w:r>
            <w:r>
              <w:rPr>
                <w:sz w:val="24"/>
                <w:u w:val="single"/>
                <w:kern w:val="0"/>
                <w:szCs w:val="24"/>
                <w:rFonts w:eastAsia="Times New Roman" w:cs="Times New Roman"/>
                <w:lang w:val="ru-RU" w:eastAsia="ru-RU" w:bidi="ar-SA"/>
              </w:rPr>
              <w:fldChar w:fldCharType="end"/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-перечень впервые установленных инфекционных заболеваний (отравлений), связанных с условиями труда;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-результаты выполнения рекомендаций предыдущего заключительного акта;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-рекомендации работодателю по реализации комплекса оздоровительных мероприятий, включая профилактические и другие мероприятия.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60"/>
              <w:ind w:left="25" w:hanging="0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ответственности и гарантиям исполнителя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6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6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3.1.</w:t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Вред, причиненный жизни и здоровью пациента в результате предоставления некачественной платной медицинской услуги, подлежит возмещению Исполнителем в соответствии с законодательством Российской Федерации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исполнителю (и соисполнителям) и его обязательствам, влияющим на исполнение договора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4.1.</w:t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Исполнитель обязан обеспечить соответствие оказываемых им медицинских услуг требованиям, предъявляемым к методам диагностики, профилактики и лечения, разрешенным на территории Российской Федерации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>
      <w:pPr>
        <w:sectPr>
          <w:headerReference w:type="default" r:id="rId4"/>
          <w:headerReference w:type="first" r:id="rId5"/>
          <w:type w:val="nextPage"/>
          <w:pgSz w:orient="landscape" w:w="16838" w:h="11906"/>
          <w:pgMar w:left="992" w:right="567" w:gutter="0" w:header="680" w:top="851" w:footer="0" w:bottom="851"/>
          <w:pgNumType w:fmt="decimal"/>
          <w:formProt w:val="false"/>
          <w:titlePg/>
          <w:textDirection w:val="lrTb"/>
          <w:docGrid w:type="default" w:linePitch="381" w:charSpace="0"/>
        </w:sectPr>
      </w:pPr>
      <w:r>
        <w:br w:type="page"/>
      </w:r>
    </w:p>
    <w:p>
      <w:pPr>
        <w:pStyle w:val="Heading1"/>
        <w:numPr>
          <w:ilvl w:val="0"/>
          <w:numId w:val="3"/>
        </w:numPr>
        <w:ind w:left="426" w:hanging="426"/>
        <w:rPr>
          <w:sz w:val="28"/>
          <w:szCs w:val="28"/>
        </w:rPr>
      </w:pPr>
      <w:bookmarkStart w:id="53" w:name="__RefHeading___Toc5450_315841478"/>
      <w:bookmarkStart w:id="54" w:name="_Toc135150404"/>
      <w:bookmarkStart w:id="55" w:name="_Toc54643710"/>
      <w:bookmarkStart w:id="56" w:name="_Toc53395937"/>
      <w:bookmarkStart w:id="57" w:name="_Toc53393312"/>
      <w:bookmarkEnd w:id="53"/>
      <w:r>
        <w:rPr>
          <w:sz w:val="28"/>
          <w:szCs w:val="28"/>
        </w:rPr>
        <w:t>Требования к документации по ценообразованию</w:t>
      </w:r>
      <w:bookmarkEnd w:id="56"/>
      <w:bookmarkEnd w:id="57"/>
      <w:r>
        <w:rPr>
          <w:sz w:val="28"/>
          <w:szCs w:val="28"/>
        </w:rPr>
        <w:t xml:space="preserve"> на этапе </w:t>
      </w:r>
      <w:bookmarkEnd w:id="54"/>
      <w:bookmarkEnd w:id="55"/>
      <w:r>
        <w:rPr>
          <w:sz w:val="28"/>
          <w:szCs w:val="28"/>
        </w:rPr>
        <w:t>заключения (исполнения) договора.</w:t>
      </w:r>
    </w:p>
    <w:p>
      <w:pPr>
        <w:pStyle w:val="ListParagraph"/>
        <w:numPr>
          <w:ilvl w:val="0"/>
          <w:numId w:val="0"/>
        </w:numPr>
        <w:ind w:left="0" w:hanging="0"/>
        <w:jc w:val="both"/>
        <w:rPr>
          <w:sz w:val="28"/>
          <w:szCs w:val="28"/>
        </w:rPr>
      </w:pPr>
      <w:r>
        <w:rPr>
          <w:iCs/>
          <w:color w:val="000000" w:themeColor="text1"/>
          <w:sz w:val="28"/>
          <w:szCs w:val="28"/>
        </w:rPr>
        <w:t>3.1 В обоснование стоимости своей заявки Участник предоставляет Коммерческое предложение.</w:t>
      </w:r>
    </w:p>
    <w:p>
      <w:pPr>
        <w:pStyle w:val="ListParagraph"/>
        <w:numPr>
          <w:ilvl w:val="0"/>
          <w:numId w:val="0"/>
        </w:numPr>
        <w:ind w:left="0" w:hanging="0"/>
        <w:jc w:val="both"/>
        <w:rPr>
          <w:sz w:val="28"/>
          <w:szCs w:val="28"/>
        </w:rPr>
      </w:pPr>
      <w:r>
        <w:rPr>
          <w:iCs/>
          <w:color w:val="000000" w:themeColor="text1"/>
          <w:sz w:val="28"/>
          <w:szCs w:val="28"/>
        </w:rPr>
        <w:t>3.2. Дополнительные документы по ценообразованию в состав заявки не включаются.</w:t>
      </w:r>
    </w:p>
    <w:p>
      <w:pPr>
        <w:pStyle w:val="Normal"/>
        <w:snapToGrid w:val="false"/>
        <w:jc w:val="both"/>
        <w:rPr/>
      </w:pPr>
      <w:r>
        <w:rPr/>
      </w:r>
      <w:bookmarkStart w:id="58" w:name="_Ref40301253"/>
      <w:bookmarkStart w:id="59" w:name="_Ref40301253"/>
      <w:bookmarkEnd w:id="59"/>
    </w:p>
    <w:p>
      <w:pPr>
        <w:pStyle w:val="Normal"/>
        <w:rPr>
          <w:rFonts w:eastAsia="Calibri"/>
        </w:rPr>
      </w:pPr>
      <w:r>
        <w:rPr>
          <w:rFonts w:eastAsia="Calibri"/>
        </w:rPr>
      </w:r>
    </w:p>
    <w:p>
      <w:pPr>
        <w:pStyle w:val="Normal"/>
        <w:rPr>
          <w:rFonts w:eastAsia="Calibri"/>
        </w:rPr>
      </w:pPr>
      <w:r>
        <w:rPr/>
        <w:t>Подпись Ответственного исполнителя:</w:t>
      </w:r>
    </w:p>
    <w:p>
      <w:pPr>
        <w:pStyle w:val="Normal"/>
        <w:rPr>
          <w:rFonts w:eastAsia="Calibri"/>
        </w:rPr>
      </w:pPr>
      <w:r>
        <w:rPr/>
        <w:t>Инженер ОТ и БД</w:t>
        <w:tab/>
        <w:tab/>
        <w:tab/>
        <w:tab/>
        <w:t xml:space="preserve">          </w:t>
        <w:tab/>
        <w:t>_____________ А.Ю. Козырева</w:t>
      </w:r>
    </w:p>
    <w:p>
      <w:pPr>
        <w:pStyle w:val="Normal"/>
        <w:rPr>
          <w:rFonts w:eastAsia="Calibri"/>
        </w:rPr>
      </w:pPr>
      <w:r>
        <w:rPr/>
      </w:r>
    </w:p>
    <w:sectPr>
      <w:headerReference w:type="default" r:id="rId6"/>
      <w:headerReference w:type="first" r:id="rId7"/>
      <w:type w:val="nextPage"/>
      <w:pgSz w:w="11906" w:h="16838"/>
      <w:pgMar w:left="1134" w:right="851" w:gutter="0" w:header="680" w:top="1134" w:footer="0" w:bottom="992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4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10</w:t>
    </w:r>
    <w:r>
      <w:rPr/>
      <w:fldChar w:fldCharType="end"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t>5</w:t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12</w:t>
    </w:r>
    <w:r>
      <w:rPr/>
      <w:fldChar w:fldCharType="end"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t>11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39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25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9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w="http://schemas.openxmlformats.org/wordprocessingml/2006/main">
  <w:zoom w:percent="9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2166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b5269f"/>
    <w:pPr>
      <w:keepNext w:val="true"/>
      <w:numPr>
        <w:ilvl w:val="2"/>
        <w:numId w:val="3"/>
      </w:numPr>
      <w:spacing w:before="120" w:after="60"/>
      <w:ind w:left="426" w:hanging="426"/>
      <w:outlineLvl w:val="2"/>
    </w:pPr>
    <w:rPr>
      <w:rFonts w:eastAsia="Calibri"/>
      <w:b w:val="false"/>
      <w:bCs w:val="false"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>
    <w:name w:val="Символ сноски"/>
    <w:qFormat/>
    <w:rsid w:val="00d561d9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semiHidden/>
    <w:qFormat/>
    <w:rsid w:val="00b714b0"/>
    <w:rPr>
      <w:sz w:val="16"/>
      <w:szCs w:val="16"/>
    </w:rPr>
  </w:style>
  <w:style w:type="character" w:styleId="Strong">
    <w:name w:val="Strong"/>
    <w:uiPriority w:val="22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b5269f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4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1"/>
    <w:qFormat/>
    <w:locked/>
    <w:rsid w:val="00d22f6d"/>
    <w:rPr>
      <w:sz w:val="28"/>
    </w:rPr>
  </w:style>
  <w:style w:type="character" w:styleId="Style5" w:customStyle="1">
    <w:name w:val="Текст сноски Знак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29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5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>
    <w:name w:val="Символ концевой сноски"/>
    <w:qFormat/>
    <w:rsid w:val="003879d4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2" w:customStyle="1">
    <w:name w:val="УРОВЕНЬ_1. Знак"/>
    <w:link w:val="18"/>
    <w:qFormat/>
    <w:rsid w:val="004a17ae"/>
    <w:rPr>
      <w:rFonts w:eastAsia="Calibri"/>
      <w:caps/>
      <w:sz w:val="28"/>
      <w:szCs w:val="28"/>
      <w:lang w:eastAsia="en-US"/>
    </w:rPr>
  </w:style>
  <w:style w:type="character" w:styleId="Style14">
    <w:name w:val="Ссылка указателя"/>
    <w:qFormat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 w:customStyle="1">
    <w:name w:val="Caption"/>
    <w:basedOn w:val="Normal"/>
    <w:qFormat/>
    <w:rsid w:val="006a3667"/>
    <w:pPr>
      <w:spacing w:lineRule="auto" w:line="276" w:before="0" w:after="200"/>
      <w:jc w:val="center"/>
    </w:pPr>
    <w:rPr>
      <w:rFonts w:ascii="Calibri" w:hAnsi="Calibri"/>
      <w:b/>
      <w:sz w:val="24"/>
      <w:szCs w:val="20"/>
    </w:rPr>
  </w:style>
  <w:style w:type="paragraph" w:styleId="Style16">
    <w:name w:val="Указатель"/>
    <w:basedOn w:val="Normal"/>
    <w:qFormat/>
    <w:pPr>
      <w:suppressLineNumbers/>
    </w:pPr>
    <w:rPr/>
  </w:style>
  <w:style w:type="paragraph" w:styleId="Style17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18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19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rsid w:val="00d561d9"/>
    <w:pPr/>
    <w:rPr>
      <w:sz w:val="20"/>
      <w:szCs w:val="20"/>
    </w:rPr>
  </w:style>
  <w:style w:type="paragraph" w:styleId="13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2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4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0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uiPriority w:val="99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1" w:customStyle="1">
    <w:name w:val="Подпункт"/>
    <w:basedOn w:val="Normal"/>
    <w:link w:val="11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8"/>
        <w:tab w:val="left" w:pos="1134" w:leader="none"/>
      </w:tabs>
      <w:suppressAutoHyphens w:val="true"/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b97371"/>
    <w:pPr>
      <w:tabs>
        <w:tab w:val="clear" w:pos="708"/>
        <w:tab w:val="left" w:pos="284" w:leader="none"/>
        <w:tab w:val="right" w:pos="9911" w:leader="dot"/>
      </w:tabs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dd2f9f"/>
    <w:pPr>
      <w:tabs>
        <w:tab w:val="clear" w:pos="708"/>
        <w:tab w:val="right" w:pos="9911" w:leader="dot"/>
      </w:tabs>
    </w:pPr>
    <w:rPr>
      <w:rFonts w:cs="Calibri" w:cstheme="minorHAnsi"/>
      <w:sz w:val="20"/>
      <w:szCs w:val="20"/>
    </w:rPr>
  </w:style>
  <w:style w:type="paragraph" w:styleId="Style22" w:customStyle="1">
    <w:name w:val="Раздел регламента"/>
    <w:basedOn w:val="Normal"/>
    <w:qFormat/>
    <w:rsid w:val="00e228fa"/>
    <w:pPr/>
    <w:rPr/>
  </w:style>
  <w:style w:type="paragraph" w:styleId="Style23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693883"/>
    <w:pPr>
      <w:spacing w:before="240" w:after="0"/>
    </w:pPr>
    <w:rPr>
      <w:rFonts w:cs="Calibri" w:cstheme="minorHAnsi"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5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dd2f9f"/>
    <w:pPr>
      <w:tabs>
        <w:tab w:val="clear" w:pos="708"/>
        <w:tab w:val="left" w:pos="1120" w:leader="none"/>
        <w:tab w:val="right" w:pos="9911" w:leader="none"/>
      </w:tabs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4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">
    <w:name w:val="caption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5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5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3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ListBullet4" w:customStyle="1">
    <w:name w:val="List Bullet 4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4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6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6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7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28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29" w:customStyle="1">
    <w:name w:val="Подподпункт"/>
    <w:basedOn w:val="Style21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0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5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1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7" w:customStyle="1">
    <w:name w:val="Стиль Заголовок 1 + по ширине"/>
    <w:basedOn w:val="Heading1"/>
    <w:qFormat/>
    <w:rsid w:val="005773b2"/>
    <w:pPr>
      <w:keepLines/>
      <w:numPr>
        <w:ilvl w:val="0"/>
        <w:numId w:val="0"/>
      </w:numPr>
      <w:tabs>
        <w:tab w:val="clear" w:pos="708"/>
        <w:tab w:val="left" w:pos="567" w:leader="none"/>
      </w:tabs>
      <w:suppressAutoHyphens w:val="true"/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uppressAutoHyphens w:val="true"/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2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8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Style33">
    <w:name w:val="Содержимое врезки"/>
    <w:basedOn w:val="Normal"/>
    <w:qFormat/>
    <w:pPr/>
    <w:rPr/>
  </w:style>
  <w:style w:type="paragraph" w:styleId="Style34">
    <w:name w:val="Содержимое таблицы"/>
    <w:basedOn w:val="Normal"/>
    <w:qFormat/>
    <w:pPr>
      <w:widowControl w:val="false"/>
      <w:suppressLineNumbers/>
    </w:pPr>
    <w:rPr/>
  </w:style>
  <w:style w:type="paragraph" w:styleId="Style35">
    <w:name w:val="Заголовок таблицы"/>
    <w:basedOn w:val="Style34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19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c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header" Target="header6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CB6433-85A2-423E-B903-A2FA64E26F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1484</TotalTime>
  <Application>AlterOffice/3.4.0.9$Linux_X86_64 LibreOffice_project/b8daf9e823b1a5463a2f48435ddc2e8696e7d4fc</Application>
  <AppVersion>15.0000</AppVersion>
  <Pages>11</Pages>
  <Words>1638</Words>
  <Characters>12011</Characters>
  <CharactersWithSpaces>13487</CharactersWithSpaces>
  <Paragraphs>235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2021-04-04T11:05:00Z</dcterms:created>
  <dc:creator>Быстров Олег Геннадьевич</dc:creator>
  <dc:description/>
  <dc:language>ru-RU</dc:language>
  <cp:lastModifiedBy>kozyrevaay@corp.gidroogk.com</cp:lastModifiedBy>
  <cp:lastPrinted>2025-12-08T11:40:49Z</cp:lastPrinted>
  <dcterms:modified xsi:type="dcterms:W3CDTF">2026-08-06T09:54:20Z</dcterms:modified>
  <cp:revision>169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