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>
          <w:rFonts w:cs="Times New Roman"/>
          <w:sz w:val="20"/>
          <w:szCs w:val="20"/>
        </w:rPr>
      </w:pPr>
      <w:r>
        <w:rPr>
          <w:rFonts w:ascii="Liberation Serif" w:hAnsi="Liberation Serif"/>
          <w:color w:val="000000"/>
          <w:shd w:fill="auto" w:val="clear"/>
        </w:rPr>
      </w:r>
    </w:p>
    <w:p>
      <w:pPr>
        <w:pStyle w:val="Normal"/>
        <w:spacing w:before="0" w:after="0"/>
        <w:rPr>
          <w:rFonts w:ascii="Liberation Serif" w:hAnsi="Liberation Serif" w:cs="Times New Roman"/>
          <w:color w:val="auto"/>
          <w:sz w:val="20"/>
          <w:szCs w:val="20"/>
          <w:highlight w:val="none"/>
          <w:shd w:fill="auto" w:val="clear"/>
        </w:rPr>
      </w:pPr>
      <w:r>
        <w:rPr>
          <w:rFonts w:cs="Times New Roman" w:ascii="Liberation Serif" w:hAnsi="Liberation Serif"/>
          <w:color w:val="000000"/>
          <w:sz w:val="20"/>
          <w:szCs w:val="20"/>
          <w:shd w:fill="auto" w:val="clear"/>
        </w:rPr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jc w:val="center"/>
        <w:textAlignment w:val="baseline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kern w:val="2"/>
          <w:shd w:fill="auto" w:val="clear"/>
          <w:lang w:bidi="hi-IN"/>
        </w:rPr>
        <w:t xml:space="preserve">Описание объекта закупки (Техническое задание) 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color w:val="auto"/>
          <w:sz w:val="20"/>
          <w:szCs w:val="20"/>
          <w:highlight w:val="none"/>
          <w:shd w:fill="auto" w:val="clear"/>
          <w:lang w:bidi="ru-RU"/>
        </w:rPr>
      </w:pPr>
      <w:r>
        <w:rPr>
          <w:rFonts w:eastAsia="Calibri" w:cs="Times New Roman" w:ascii="Liberation Serif" w:hAnsi="Liberation Serif"/>
          <w:color w:val="000000"/>
          <w:sz w:val="20"/>
          <w:szCs w:val="20"/>
          <w:shd w:fill="auto" w:val="clear"/>
          <w:lang w:bidi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center"/>
        <w:rPr>
          <w:rFonts w:ascii="Liberation Serif" w:hAnsi="Liberation Serif" w:eastAsiaTheme="minorEastAsia"/>
          <w:color w:val="auto"/>
          <w:highlight w:val="none"/>
          <w:shd w:fill="auto" w:val="clear"/>
        </w:rPr>
      </w:pPr>
      <w:r>
        <w:rPr>
          <w:rFonts w:eastAsia="Calibri" w:cs="Times New Roman" w:ascii="Liberation Serif" w:hAnsi="Liberation Serif"/>
          <w:color w:val="000000"/>
          <w:sz w:val="24"/>
          <w:szCs w:val="24"/>
          <w:shd w:fill="auto" w:val="clear"/>
          <w:lang w:bidi="ru-RU"/>
        </w:rPr>
        <w:t xml:space="preserve">Поставка модуля </w:t>
      </w:r>
      <w:r>
        <w:rPr>
          <w:rFonts w:eastAsia="Calibri" w:cs="Times New Roman" w:ascii="Liberation Serif" w:hAnsi="Liberation Serif"/>
          <w:color w:val="000000"/>
          <w:sz w:val="24"/>
          <w:szCs w:val="24"/>
          <w:shd w:fill="auto" w:val="clear"/>
          <w:lang w:bidi="ru-RU"/>
        </w:rPr>
        <w:t>речевого оповещения Р</w:t>
      </w:r>
      <w:r>
        <w:rPr>
          <w:rFonts w:eastAsia="Calibri" w:cs="Times New Roman" w:ascii="Liberation Serif" w:hAnsi="Liberation Serif"/>
          <w:color w:val="000000"/>
          <w:sz w:val="24"/>
          <w:szCs w:val="24"/>
          <w:shd w:fill="auto" w:val="clear"/>
          <w:lang w:bidi="ru-RU"/>
        </w:rPr>
        <w:t xml:space="preserve">упор - 300 </w:t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textAlignment w:val="baseline"/>
        <w:rPr>
          <w:rFonts w:ascii="Liberation Serif" w:hAnsi="Liberation Serif" w:eastAsia="Times New Roman" w:cs="Times New Roman"/>
          <w:b/>
          <w:color w:val="auto"/>
          <w:kern w:val="2"/>
          <w:sz w:val="24"/>
          <w:szCs w:val="24"/>
          <w:highlight w:val="none"/>
          <w:shd w:fill="auto" w:val="clear"/>
          <w:lang w:bidi="hi-IN"/>
        </w:rPr>
      </w:pPr>
      <w:r>
        <w:rPr>
          <w:rFonts w:eastAsia="Times New Roman" w:cs="Times New Roman" w:ascii="Liberation Serif" w:hAnsi="Liberation Serif"/>
          <w:b/>
          <w:color w:val="000000"/>
          <w:kern w:val="2"/>
          <w:sz w:val="24"/>
          <w:szCs w:val="24"/>
          <w:shd w:fill="auto" w:val="clear"/>
          <w:lang w:bidi="hi-IN"/>
        </w:rPr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napToGrid w:val="false"/>
        <w:spacing w:lineRule="auto" w:line="240" w:before="0" w:after="0"/>
        <w:jc w:val="both"/>
        <w:textAlignment w:val="baseline"/>
        <w:rPr>
          <w:color w:val="auto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bidi="hi-IN"/>
        </w:rPr>
        <w:t xml:space="preserve"> </w:t>
      </w:r>
      <w:r>
        <w:rPr>
          <w:rFonts w:eastAsia="Times New Roman" w:cs="Times New Roman" w:ascii="Liberation Serif" w:hAnsi="Liberation Serif"/>
          <w:b/>
          <w:color w:val="000000"/>
          <w:kern w:val="2"/>
          <w:shd w:fill="auto" w:val="clear"/>
          <w:lang w:bidi="hi-IN"/>
        </w:rPr>
        <w:t>Общие сведения</w:t>
      </w: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bidi="hi-IN"/>
        </w:rPr>
        <w:t xml:space="preserve"> </w:t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jc w:val="both"/>
        <w:textAlignment w:val="baseline"/>
        <w:rPr>
          <w:rFonts w:ascii="Liberation Serif" w:hAnsi="Liberation Serif" w:eastAsia="Times New Roman" w:cs="Times New Roman"/>
          <w:color w:val="auto"/>
          <w:kern w:val="2"/>
          <w:highlight w:val="none"/>
          <w:shd w:fill="auto" w:val="clear"/>
          <w:lang w:bidi="hi-IN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bidi="hi-IN"/>
        </w:rPr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jc w:val="both"/>
        <w:textAlignment w:val="baseline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bidi="hi-IN"/>
        </w:rPr>
        <w:t xml:space="preserve">1.1 </w:t>
      </w:r>
      <w:r>
        <w:rPr>
          <w:rFonts w:eastAsia="Times New Roman" w:cs="Times New Roman" w:ascii="Liberation Serif" w:hAnsi="Liberation Serif"/>
          <w:color w:val="000000"/>
          <w:kern w:val="2"/>
          <w:sz w:val="22"/>
          <w:szCs w:val="22"/>
          <w:shd w:fill="auto" w:val="clear"/>
          <w:lang w:bidi="hi-IN"/>
        </w:rPr>
        <w:t xml:space="preserve">Модуль </w:t>
      </w:r>
      <w:r>
        <w:rPr>
          <w:rFonts w:eastAsia="Calibri" w:cs="Times New Roman" w:ascii="Liberation Serif" w:hAnsi="Liberation Serif"/>
          <w:color w:val="000000"/>
          <w:kern w:val="2"/>
          <w:sz w:val="22"/>
          <w:szCs w:val="22"/>
          <w:shd w:fill="auto" w:val="clear"/>
          <w:lang w:bidi="ru-RU"/>
        </w:rPr>
        <w:t>речевого оповещения Р</w:t>
      </w:r>
      <w:r>
        <w:rPr>
          <w:rFonts w:eastAsia="Calibri" w:cs="Times New Roman" w:ascii="Liberation Serif" w:hAnsi="Liberation Serif"/>
          <w:color w:val="000000"/>
          <w:kern w:val="2"/>
          <w:sz w:val="22"/>
          <w:szCs w:val="22"/>
          <w:shd w:fill="auto" w:val="clear"/>
          <w:lang w:bidi="ru-RU"/>
        </w:rPr>
        <w:t xml:space="preserve">упор - 300 </w:t>
      </w:r>
      <w:r>
        <w:rPr>
          <w:rFonts w:eastAsia="Times New Roman" w:cs="Times New Roman" w:ascii="Liberation Serif" w:hAnsi="Liberation Serif"/>
          <w:color w:val="000000"/>
          <w:kern w:val="2"/>
          <w:sz w:val="22"/>
          <w:szCs w:val="22"/>
          <w:shd w:fill="auto" w:val="clear"/>
          <w:lang w:bidi="hi-IN"/>
        </w:rPr>
        <w:t>(в дал</w:t>
      </w:r>
      <w:r>
        <w:rPr>
          <w:rFonts w:eastAsia="Times New Roman" w:cs="Times New Roman" w:ascii="Liberation Serif" w:hAnsi="Liberation Serif"/>
          <w:color w:val="000000"/>
          <w:kern w:val="2"/>
          <w:sz w:val="22"/>
          <w:szCs w:val="22"/>
          <w:shd w:fill="auto" w:val="clear"/>
          <w:lang w:bidi="hi-IN"/>
        </w:rPr>
        <w:t>ее</w:t>
      </w:r>
      <w:r>
        <w:rPr>
          <w:rFonts w:eastAsia="Times New Roman" w:cs="Times New Roman" w:ascii="Liberation Serif" w:hAnsi="Liberation Serif"/>
          <w:color w:val="000000"/>
          <w:kern w:val="2"/>
          <w:sz w:val="22"/>
          <w:szCs w:val="22"/>
          <w:shd w:fill="auto" w:val="clear"/>
          <w:lang w:bidi="hi-IN"/>
        </w:rPr>
        <w:t xml:space="preserve"> – модуль) </w:t>
      </w: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color w:val="000000"/>
          <w:spacing w:val="0"/>
          <w:kern w:val="2"/>
          <w:sz w:val="24"/>
          <w:szCs w:val="22"/>
          <w:shd w:fill="auto" w:val="clear"/>
          <w:lang w:bidi="hi-IN"/>
        </w:rPr>
        <w:t>предназначен для воспроизведения записанных в его памяти или трансляции внешних речевых сообщений о действиях, направленных на обеспечение безопасности и оповещения при возникновении пожара и других чрезвычайных ситуаций.</w:t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jc w:val="both"/>
        <w:textAlignment w:val="baseline"/>
        <w:rPr>
          <w:rFonts w:ascii="Liberation Serif" w:hAnsi="Liberation Serif" w:eastAsiaTheme="minorEastAsia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bidi="hi-IN"/>
        </w:rPr>
        <w:t>1.2 Модуль рассчитан на круглосуточный режим работы.</w:t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textAlignment w:val="baseline"/>
        <w:rPr>
          <w:rFonts w:ascii="Liberation Serif" w:hAnsi="Liberation Serif" w:eastAsiaTheme="minorEastAsia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bidi="hi-IN"/>
        </w:rPr>
        <w:t>1.3 Модуль является восстанавливаемым, периодически обслуживаемым изделием.</w:t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textAlignment w:val="baseline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bidi="hi-IN"/>
        </w:rPr>
        <w:t>1.4 Конструкция модуля не предусматривает его использование в условиях воздействия агрессивных сред, пыли, а также во взрывопожароопасных помещен</w:t>
      </w: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bidi="hi-IN"/>
        </w:rPr>
        <w:t>иях.</w:t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720" w:hanging="0"/>
        <w:textAlignment w:val="baseline"/>
        <w:rPr>
          <w:rFonts w:ascii="Liberation Serif" w:hAnsi="Liberation Serif" w:eastAsia="Times New Roman" w:cs="Times New Roman"/>
          <w:b/>
          <w:color w:val="auto"/>
          <w:kern w:val="2"/>
          <w:highlight w:val="none"/>
          <w:shd w:fill="auto" w:val="clear"/>
          <w:lang w:bidi="hi-IN"/>
        </w:rPr>
      </w:pPr>
      <w:r>
        <w:rPr>
          <w:rFonts w:eastAsia="Times New Roman" w:cs="Times New Roman" w:ascii="Liberation Serif" w:hAnsi="Liberation Serif"/>
          <w:b/>
          <w:color w:val="000000"/>
          <w:kern w:val="2"/>
          <w:shd w:fill="auto" w:val="clear"/>
          <w:lang w:bidi="hi-IN"/>
        </w:rPr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napToGrid w:val="false"/>
        <w:spacing w:lineRule="auto" w:line="240" w:before="0" w:after="0"/>
        <w:textAlignment w:val="baseline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kern w:val="2"/>
          <w:shd w:fill="auto" w:val="clear"/>
          <w:lang w:bidi="hi-IN"/>
        </w:rPr>
        <w:t>Технические характеристики</w:t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textAlignment w:val="baseline"/>
        <w:rPr>
          <w:rFonts w:ascii="Liberation Serif" w:hAnsi="Liberation Serif" w:eastAsia="Times New Roman" w:cs="Times New Roman"/>
          <w:b/>
          <w:color w:val="auto"/>
          <w:kern w:val="2"/>
          <w:highlight w:val="none"/>
          <w:shd w:fill="auto" w:val="clear"/>
          <w:lang w:bidi="hi-IN"/>
        </w:rPr>
      </w:pPr>
      <w:r>
        <w:rPr>
          <w:rFonts w:eastAsia="Times New Roman" w:cs="Times New Roman" w:ascii="Liberation Serif" w:hAnsi="Liberation Serif"/>
          <w:b/>
          <w:color w:val="000000"/>
          <w:kern w:val="2"/>
          <w:shd w:fill="auto" w:val="clear"/>
          <w:lang w:bidi="hi-IN"/>
        </w:rPr>
      </w:r>
    </w:p>
    <w:tbl>
      <w:tblPr>
        <w:tblW w:w="112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6"/>
        <w:gridCol w:w="7142"/>
        <w:gridCol w:w="337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hanging="111"/>
              <w:textAlignment w:val="baseline"/>
              <w:rPr>
                <w:rFonts w:ascii="Liberation Serif" w:hAnsi="Liberation Serif" w:eastAsia="Times New Roman" w:cs="Times New Roman"/>
                <w:b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2"/>
                <w:shd w:fill="auto" w:val="clear"/>
                <w:lang w:bidi="hi-IN"/>
              </w:rPr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2"/>
                <w:shd w:fill="auto" w:val="clear"/>
                <w:lang w:bidi="hi-IN"/>
              </w:rPr>
              <w:t>Наименование характеристики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2"/>
                <w:shd w:fill="auto" w:val="clear"/>
                <w:lang w:bidi="hi-IN"/>
              </w:rPr>
              <w:t>Значение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2.1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z w:val="22"/>
                <w:szCs w:val="22"/>
                <w:shd w:fill="auto" w:val="clear"/>
                <w:lang w:bidi="hi-IN"/>
              </w:rPr>
              <w:t>Питание модуля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z w:val="22"/>
                <w:szCs w:val="22"/>
                <w:shd w:fill="auto" w:val="clear"/>
                <w:lang w:bidi="hi-IN"/>
              </w:rPr>
              <w:t xml:space="preserve">От </w:t>
            </w:r>
            <w:r>
              <w:rPr>
                <w:rFonts w:eastAsia="Times New Roman" w:cs="Times New Roman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2"/>
                <w:szCs w:val="22"/>
                <w:shd w:fill="auto" w:val="clear"/>
                <w:lang w:bidi="hi-IN"/>
              </w:rPr>
              <w:t>сети 220 В или от встроенного резервного источника (2 АКБ 12 В, 17 А·ч).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2.2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Максимальная потребляемая мощность в режиме «Оповещение», Вт не более 340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340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2.3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Ток потребления от основного источника: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В дежурном режиме (АКБ заряжены), мА не более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В дежурном режиме (АКБ разряжены), мА не более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В режиме «Оповещение», А не более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Theme="minorEastAsia" w:ascii="Liberation Serif" w:hAnsi="Liberation Serif"/>
                <w:color w:val="000000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100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160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2.4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 xml:space="preserve">Количество входов питания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2.5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Постоянное напряжение встроенного резервного источника питания (2 аккумуляторных батареи 12В, 17А·ч), В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21-26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2.6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Ток потребления от резервного источника: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В режиме «Оповещение», А не более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В режиме «Ожидание» при включенном контроле линии, мА не более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В режиме «Ожидание» при выключенном контроле линии, мА не более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Theme="minorEastAsia" w:ascii="Liberation Serif" w:hAnsi="Liberation Serif"/>
                <w:color w:val="000000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15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200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50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2.7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Время работы блока от резервного источника: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В дежурном режиме, ч не менее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В режиме «Оповещение» при длительности сообщения 7 секунд и паузе между сообщениями 10 секунд, ч не менее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Theme="minorEastAsia" w:ascii="Liberation Serif" w:hAnsi="Liberation Serif"/>
                <w:color w:val="000000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24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2.8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Время технической готовности блока к работе, c не более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5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2.9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Интервал замены АКБ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не реже 1 раза в 3 года</w:t>
            </w:r>
          </w:p>
        </w:tc>
      </w:tr>
      <w:tr>
        <w:trPr/>
        <w:tc>
          <w:tcPr>
            <w:tcW w:w="11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b/>
                <w:bCs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2"/>
                <w:shd w:fill="auto" w:val="clear"/>
                <w:lang w:bidi="hi-IN"/>
              </w:rPr>
              <w:t>Выход оповещения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2.10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Количество каналов оповещения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2.11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Максимальная амплитуда выходного сигнала, В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100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2.12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Theme="minorEastAsia" w:ascii="Liberation Serif" w:hAnsi="Liberation Serif"/>
                <w:color w:val="000000"/>
                <w:shd w:fill="auto" w:val="clear"/>
              </w:rPr>
              <w:t>Номинальная суммарная выходная мощность, Вт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Theme="minorEastAsia" w:ascii="Liberation Serif" w:hAnsi="Liberation Serif"/>
                <w:color w:val="000000"/>
                <w:shd w:fill="auto" w:val="clear"/>
              </w:rPr>
              <w:t>300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2.13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eastAsia="Times New Roman" w:cs="Times New Roman"/>
                <w:kern w:val="2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Максимальная длина линии оповещения, м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400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2.14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eastAsia="Times New Roman" w:cs="Times New Roman"/>
                <w:kern w:val="2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Количество ответвлений линии оповещения, не более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20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2.15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Theme="minorEastAsia" w:ascii="Liberation Serif" w:hAnsi="Liberation Serif"/>
                <w:color w:val="000000"/>
                <w:shd w:fill="auto" w:val="clear"/>
              </w:rPr>
              <w:t>Диапазон воспроизводимых частот, Гц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Theme="minorEastAsia" w:ascii="Liberation Serif" w:hAnsi="Liberation Serif"/>
                <w:color w:val="000000"/>
                <w:shd w:fill="auto" w:val="clear"/>
              </w:rPr>
              <w:t>100-16000</w:t>
            </w:r>
          </w:p>
        </w:tc>
      </w:tr>
      <w:tr>
        <w:trPr/>
        <w:tc>
          <w:tcPr>
            <w:tcW w:w="112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b/>
                <w:bCs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2"/>
                <w:shd w:fill="auto" w:val="clear"/>
                <w:lang w:bidi="hi-IN"/>
              </w:rPr>
              <w:t>Линейный вход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Theme="minorEastAsia"/>
                <w:color w:val="auto"/>
                <w:highlight w:val="none"/>
                <w:shd w:fill="auto" w:val="clear"/>
              </w:rPr>
            </w:pPr>
            <w:r>
              <w:rPr>
                <w:rFonts w:eastAsiaTheme="minorEastAsia" w:ascii="Liberation Serif" w:hAnsi="Liberation Serif"/>
                <w:color w:val="000000"/>
                <w:shd w:fill="auto" w:val="clear"/>
              </w:rPr>
              <w:t>2.16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Количество линейных входов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2.17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Максимальное действующее напряжение входного сигнала, В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0,775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2.18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Входное сопротивление, кОм не менее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2.19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Вход запуска внешнего оповещения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2.20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Тип входа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контакт на замыкание</w:t>
            </w:r>
          </w:p>
        </w:tc>
      </w:tr>
      <w:tr>
        <w:trPr/>
        <w:tc>
          <w:tcPr>
            <w:tcW w:w="112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b/>
                <w:bCs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2"/>
                <w:shd w:fill="auto" w:val="clear"/>
                <w:lang w:bidi="hi-IN"/>
              </w:rPr>
              <w:t>Сопряжение с ИСО «Орион»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2.21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Параметры подключения для порта RS-485: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Скорость передачи, бод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Тип передачи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9600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полудуплексный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2.22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Буфер событий ИСО «Орион»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300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2.23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Количество сообщений оповещения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до 255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2.24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Количество звуковых фрагментов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до 255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2.25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Общая продолжительность звуковых фрагментов, хранимых в памяти блока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не более 400 секунд при записи в формате MP3 (моно, частота дискретизации 16 кГц, поток 32 кбит/с)</w:t>
            </w:r>
          </w:p>
        </w:tc>
      </w:tr>
      <w:tr>
        <w:trPr/>
        <w:tc>
          <w:tcPr>
            <w:tcW w:w="112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b/>
                <w:bCs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2"/>
                <w:shd w:fill="auto" w:val="clear"/>
                <w:lang w:bidi="hi-IN"/>
              </w:rPr>
              <w:t>Прочие характеристики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2.26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Класс защиты от поражения электрическим током по ГОСТ 12.2.007.0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I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2.27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 xml:space="preserve">Степень защиты оболочки по ГОСТ 14254 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IP30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2.28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 xml:space="preserve">Устойчивость к механическим воздействиям по ОСТ 25 1099 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категория размещения 4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2.29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Вибрационные нагрузки: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- диапазон частот, Гц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- максимальное ускорение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1-35 (для категории 4);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0,5g (для категории 4)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2.30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Климатическое исполнение по ОСТ 25 1099-83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О4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2.31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Диапазон рабочих температур, °С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+1…+40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2.32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Относительная влажность воздуха, %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90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2.33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Масса прибора, кг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19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2.34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Габаритные размеры прибора, мм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440x415x95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2.35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Время непрерывной работы прибора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круглосуточно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2.36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Средняя наработка прибора на отказ в дежурном режиме работы, ч не менее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80000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2.37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Вероятность безотказной работы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0,98758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2.38</w:t>
            </w:r>
          </w:p>
        </w:tc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Средний срок службы прибора, лет</w:t>
            </w: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Liberation Serif" w:hAnsi="Liberation Serif" w:eastAsia="Times New Roman" w:cs="Times New Roman"/>
                <w:color w:val="auto"/>
                <w:kern w:val="2"/>
                <w:highlight w:val="none"/>
                <w:shd w:fill="auto" w:val="clear"/>
                <w:lang w:bidi="hi-IN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2"/>
                <w:shd w:fill="auto" w:val="clear"/>
                <w:lang w:bidi="hi-IN"/>
              </w:rPr>
              <w:t>12</w:t>
            </w:r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jc w:val="center"/>
        <w:textAlignment w:val="baseline"/>
        <w:rPr>
          <w:rFonts w:ascii="Liberation Serif" w:hAnsi="Liberation Serif" w:eastAsia="Times New Roman" w:cs="Times New Roman"/>
          <w:b/>
          <w:color w:val="auto"/>
          <w:kern w:val="2"/>
          <w:highlight w:val="none"/>
          <w:shd w:fill="auto" w:val="clear"/>
          <w:lang w:bidi="hi-IN"/>
        </w:rPr>
      </w:pPr>
      <w:r>
        <w:rPr>
          <w:rFonts w:eastAsia="Times New Roman" w:cs="Times New Roman" w:ascii="Liberation Serif" w:hAnsi="Liberation Serif"/>
          <w:b/>
          <w:color w:val="000000"/>
          <w:kern w:val="2"/>
          <w:shd w:fill="auto" w:val="clear"/>
          <w:lang w:bidi="hi-IN"/>
        </w:rPr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textAlignment w:val="baseline"/>
        <w:rPr>
          <w:rFonts w:ascii="Liberation Serif" w:hAnsi="Liberation Serif" w:eastAsiaTheme="minorEastAsia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kern w:val="2"/>
          <w:shd w:fill="auto" w:val="clear"/>
          <w:lang w:bidi="hi-IN"/>
        </w:rPr>
        <w:t xml:space="preserve">  </w:t>
      </w: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bidi="hi-IN"/>
        </w:rPr>
        <w:t>2.17</w:t>
      </w:r>
      <w:r>
        <w:rPr>
          <w:rFonts w:eastAsia="Times New Roman" w:cs="Times New Roman" w:ascii="Liberation Serif" w:hAnsi="Liberation Serif"/>
          <w:b/>
          <w:color w:val="000000"/>
          <w:kern w:val="2"/>
          <w:shd w:fill="auto" w:val="clear"/>
          <w:lang w:bidi="hi-IN"/>
        </w:rPr>
        <w:t xml:space="preserve"> </w:t>
      </w:r>
      <w:r>
        <w:rPr>
          <w:rFonts w:eastAsia="Times New Roman" w:cs="Times New Roman" w:ascii="Liberation Serif" w:hAnsi="Liberation Serif"/>
          <w:i/>
          <w:color w:val="000000"/>
          <w:kern w:val="2"/>
          <w:shd w:fill="auto" w:val="clear"/>
          <w:lang w:bidi="hi-IN"/>
        </w:rPr>
        <w:t xml:space="preserve">Прибор удовлетворяет нормам индустриальных радиопомех, установленным для оборудования класса </w:t>
      </w:r>
      <w:r>
        <w:rPr>
          <w:rFonts w:eastAsia="Times New Roman" w:cs="Times New Roman" w:ascii="Liberation Serif" w:hAnsi="Liberation Serif"/>
          <w:i/>
          <w:color w:val="000000"/>
          <w:kern w:val="2"/>
          <w:shd w:fill="auto" w:val="clear"/>
          <w:lang w:bidi="hi-IN"/>
        </w:rPr>
        <w:t>Б</w:t>
      </w:r>
      <w:r>
        <w:rPr>
          <w:rFonts w:eastAsia="Times New Roman" w:cs="Times New Roman" w:ascii="Liberation Serif" w:hAnsi="Liberation Serif"/>
          <w:i/>
          <w:color w:val="000000"/>
          <w:kern w:val="2"/>
          <w:shd w:fill="auto" w:val="clear"/>
          <w:lang w:bidi="hi-IN"/>
        </w:rPr>
        <w:t xml:space="preserve"> по ГОСТ </w:t>
      </w:r>
      <w:r>
        <w:rPr>
          <w:rFonts w:eastAsia="Times New Roman" w:cs="Times New Roman" w:ascii="Liberation Serif" w:hAnsi="Liberation Serif"/>
          <w:i/>
          <w:color w:val="000000"/>
          <w:kern w:val="2"/>
          <w:shd w:fill="auto" w:val="clear"/>
          <w:lang w:bidi="hi-IN"/>
        </w:rPr>
        <w:t>30805</w:t>
      </w:r>
      <w:r>
        <w:rPr>
          <w:rFonts w:eastAsia="Times New Roman" w:cs="Times New Roman" w:ascii="Liberation Serif" w:hAnsi="Liberation Serif"/>
          <w:i/>
          <w:color w:val="000000"/>
          <w:kern w:val="2"/>
          <w:shd w:fill="auto" w:val="clear"/>
          <w:lang w:bidi="hi-IN"/>
        </w:rPr>
        <w:t>.22.</w:t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textAlignment w:val="baseline"/>
        <w:rPr>
          <w:rFonts w:ascii="Liberation Serif" w:hAnsi="Liberation Serif" w:eastAsiaTheme="minorEastAsia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bidi="hi-IN"/>
        </w:rPr>
        <w:t xml:space="preserve">  </w:t>
      </w: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bidi="hi-IN"/>
        </w:rPr>
        <w:t xml:space="preserve">2.18 </w:t>
      </w:r>
      <w:r>
        <w:rPr>
          <w:rFonts w:eastAsia="Times New Roman" w:cs="Times New Roman" w:ascii="Liberation Serif" w:hAnsi="Liberation Serif"/>
          <w:i/>
          <w:color w:val="000000"/>
          <w:kern w:val="2"/>
          <w:shd w:fill="auto" w:val="clear"/>
          <w:lang w:bidi="hi-IN"/>
        </w:rPr>
        <w:t xml:space="preserve">По устойчивости к индустриальным радиопомехам прибор соответствует требованиям третьей степени жесткости по ГОСТ </w:t>
      </w:r>
      <w:r>
        <w:rPr>
          <w:rFonts w:eastAsia="Times New Roman" w:cs="Times New Roman" w:ascii="Liberation Serif" w:hAnsi="Liberation Serif"/>
          <w:i/>
          <w:color w:val="000000"/>
          <w:kern w:val="2"/>
          <w:shd w:fill="auto" w:val="clear"/>
          <w:lang w:bidi="hi-IN"/>
        </w:rPr>
        <w:t>Р 53385-2012</w:t>
      </w:r>
      <w:r>
        <w:rPr>
          <w:rFonts w:eastAsia="Times New Roman" w:cs="Times New Roman" w:ascii="Liberation Serif" w:hAnsi="Liberation Serif"/>
          <w:i/>
          <w:color w:val="000000"/>
          <w:kern w:val="2"/>
          <w:shd w:fill="auto" w:val="clear"/>
          <w:lang w:bidi="hi-IN"/>
        </w:rPr>
        <w:t>.</w:t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textAlignment w:val="baseline"/>
        <w:rPr>
          <w:rFonts w:ascii="Liberation Serif" w:hAnsi="Liberation Serif" w:eastAsia="Times New Roman" w:cs="Times New Roman"/>
          <w:i/>
          <w:i/>
          <w:color w:val="auto"/>
          <w:kern w:val="2"/>
          <w:highlight w:val="none"/>
          <w:shd w:fill="auto" w:val="clear"/>
          <w:lang w:bidi="hi-IN"/>
        </w:rPr>
      </w:pPr>
      <w:r>
        <w:rPr>
          <w:rFonts w:eastAsia="Times New Roman" w:cs="Times New Roman" w:ascii="Liberation Serif" w:hAnsi="Liberation Serif"/>
          <w:i/>
          <w:color w:val="000000"/>
          <w:kern w:val="2"/>
          <w:shd w:fill="auto" w:val="clear"/>
          <w:lang w:bidi="hi-IN"/>
        </w:rPr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0"/>
        <w:jc w:val="both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kern w:val="2"/>
          <w:shd w:fill="auto" w:val="clear"/>
          <w:lang w:eastAsia="hi-IN" w:bidi="hi-IN"/>
        </w:rPr>
        <w:t>Требования к поставке и качеству товара</w:t>
      </w:r>
    </w:p>
    <w:p>
      <w:pPr>
        <w:pStyle w:val="Normal"/>
        <w:widowControl w:val="false"/>
        <w:suppressAutoHyphens w:val="true"/>
        <w:spacing w:lineRule="auto" w:line="240" w:before="0" w:after="0"/>
        <w:ind w:left="720" w:hanging="0"/>
        <w:jc w:val="both"/>
        <w:rPr>
          <w:rFonts w:ascii="Liberation Serif" w:hAnsi="Liberation Serif" w:eastAsia="Times New Roman" w:cs="Times New Roman"/>
          <w:color w:val="auto"/>
          <w:kern w:val="2"/>
          <w:highlight w:val="none"/>
          <w:shd w:fill="auto" w:val="clear"/>
          <w:lang w:eastAsia="hi-IN" w:bidi="hi-IN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eastAsia="hi-I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eastAsia="hi-IN" w:bidi="hi-IN"/>
        </w:rPr>
        <w:t>Разгрузочные работы на объекте Заказчика осуществляются силами Поставщика. Стоимость доставки должна быть включена в стоимость товара. Поставщик берет на себя все расходы, связанные с транспортировкой оборудования.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eastAsia="hi-IN" w:bidi="hi-IN"/>
        </w:rPr>
        <w:t>Обязательство Поставщика по поставке Товара считается исполненным с момента надлежащей передачи Товара и подтверждается подписанием представителем Заказчика и представителем Поставщика товарной накладной и Акта приема - передачи Товара. До момента передачи Товара уполномоченному представителю Заказчика и подписания приемо-сдаточных документов риск случайной гибели Товара несет Поставщик.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eastAsia="hi-IN" w:bidi="hi-IN"/>
        </w:rPr>
        <w:t>Заказчик оплачивает поставленный Товар в соответствии с условиями Контракта.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eastAsia="hi-IN" w:bidi="hi-IN"/>
        </w:rPr>
        <w:t>Год изготовления - не ранее 202</w:t>
      </w: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eastAsia="hi-IN" w:bidi="hi-IN"/>
        </w:rPr>
        <w:t>5</w:t>
      </w: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eastAsia="hi-IN" w:bidi="hi-IN"/>
        </w:rPr>
        <w:t xml:space="preserve"> г.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eastAsia="hi-IN" w:bidi="hi-IN"/>
        </w:rPr>
        <w:t>Качество поставляемого товара должно подтверждаться гарантийными талонами, паспортами качества, инструкциями по эксплуатации и иными документами, оформленными в соответствии с законодательством Российской Федерации</w:t>
      </w: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eastAsia="hi-IN" w:bidi="hi-IN"/>
        </w:rPr>
        <w:t xml:space="preserve">. Все прилагаемые документы должны быть составлены на русском языке. </w:t>
      </w:r>
      <w:r>
        <w:rPr>
          <w:rFonts w:eastAsia="Times New Roman" w:cs="Times New Roman" w:ascii="Liberation Serif" w:hAnsi="Liberation Serif"/>
          <w:bCs/>
          <w:color w:val="000000"/>
          <w:kern w:val="2"/>
          <w:shd w:fill="auto" w:val="clear"/>
          <w:lang w:eastAsia="hi-IN" w:bidi="hi-IN"/>
        </w:rPr>
        <w:t>Товар должен быть новый, не бывший в употреблении, не восстановленный, без характерных дефектов, не прошедший ремонт, восстановление потребительских свойств, без следов деформации, без следов грязи, без запаха.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40"/>
        <w:jc w:val="both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eastAsia="ar-SA" w:bidi="hi-IN"/>
        </w:rPr>
        <w:t>Поставляемые товары должны быть изготовлены в соответствии со стандартами качества (не бывший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>
      <w:pPr>
        <w:pStyle w:val="Normal"/>
        <w:widowControl w:val="false"/>
        <w:tabs>
          <w:tab w:val="clear" w:pos="708"/>
          <w:tab w:val="left" w:pos="142" w:leader="none"/>
        </w:tabs>
        <w:suppressAutoHyphens w:val="true"/>
        <w:spacing w:lineRule="auto" w:line="240" w:before="0" w:after="0"/>
        <w:ind w:firstLine="539"/>
        <w:jc w:val="both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bCs/>
          <w:color w:val="000000"/>
          <w:kern w:val="2"/>
          <w:shd w:fill="auto" w:val="clear"/>
          <w:lang w:eastAsia="hi-IN" w:bidi="hi-IN"/>
        </w:rPr>
        <w:t>Товар должен поставляться в упаковке и обеспечивающей его сохранность, при перевозке тем видом транспорта, который используется для доставки Товара Заказчику, погрузо-разгрузочных работах и хранении в условиях воздействия климатических факторов (температура, влажность, осадки), соответствующих тому времени года, в которое осуществляется поставка.</w:t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hd w:val="clear" w:color="auto" w:fill="FFFFFF"/>
        <w:suppressAutoHyphens w:val="true"/>
        <w:spacing w:lineRule="auto" w:line="240" w:before="0" w:after="0"/>
        <w:ind w:firstLine="539"/>
        <w:jc w:val="both"/>
        <w:textAlignment w:val="baseline"/>
        <w:outlineLvl w:val="0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eastAsia="hi-IN" w:bidi="hi-IN"/>
        </w:rPr>
        <w:t xml:space="preserve">Требования к упаковке Товара должны соответствовать </w:t>
      </w:r>
      <w:r>
        <w:rPr>
          <w:rFonts w:eastAsia="Times New Roman" w:cs="Times New Roman" w:ascii="Liberation Serif" w:hAnsi="Liberation Serif"/>
          <w:bCs/>
          <w:color w:val="000000"/>
          <w:spacing w:val="2"/>
          <w:kern w:val="2"/>
          <w:shd w:fill="auto" w:val="clear"/>
          <w:lang w:eastAsia="hi-IN" w:bidi="hi-IN"/>
        </w:rPr>
        <w:t xml:space="preserve">Решению Комиссии Таможенного союза от 16.08.2011 № 769 «О принятии технического регламента Таможенного союза «О безопасности упаковки», </w:t>
      </w:r>
      <w:r>
        <w:rPr>
          <w:rFonts w:eastAsia="Times New Roman" w:cs="Times New Roman" w:ascii="Liberation Serif" w:hAnsi="Liberation Serif"/>
          <w:bCs/>
          <w:color w:val="000000"/>
          <w:spacing w:val="2"/>
          <w:kern w:val="2"/>
          <w:shd w:fill="auto" w:val="clear"/>
          <w:lang w:eastAsia="hi-IN" w:bidi="hi-IN"/>
        </w:rPr>
        <w:t>ГОСТ 17527-2020 «Упаковка. Термины и определения».</w:t>
      </w:r>
    </w:p>
    <w:p>
      <w:pPr>
        <w:pStyle w:val="Normal"/>
        <w:widowControl w:val="false"/>
        <w:tabs>
          <w:tab w:val="clear" w:pos="708"/>
          <w:tab w:val="left" w:pos="142" w:leader="none"/>
        </w:tabs>
        <w:suppressAutoHyphens w:val="true"/>
        <w:spacing w:lineRule="auto" w:line="240" w:before="0" w:after="0"/>
        <w:ind w:firstLine="540"/>
        <w:jc w:val="both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bCs/>
          <w:color w:val="000000"/>
          <w:kern w:val="2"/>
          <w:shd w:fill="auto" w:val="clear"/>
          <w:lang w:eastAsia="hi-IN" w:bidi="hi-IN"/>
        </w:rPr>
        <w:t>Маркировка Товара должна содержать также информацию о наименовании, виде и сорте Товара, наименовании фирмы-изготовителя, юридическом адресе изготовителя, сроке годности и дате изготовления Товара.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40"/>
        <w:jc w:val="both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bCs/>
          <w:color w:val="000000"/>
          <w:kern w:val="2"/>
          <w:shd w:fill="auto" w:val="clear"/>
          <w:lang w:eastAsia="hi-IN" w:bidi="hi-IN"/>
        </w:rPr>
        <w:t>Качество поставляемого Товара должно соответствовать стандартам (техническим условиям) и обязательным требованиям, установленными нормативно-техническим актами (СанПиНы, ОСТы, ГОСТы, ТУ, Технические регламенты).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40"/>
        <w:jc w:val="both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eastAsia="hi-IN" w:bidi="hi-IN"/>
        </w:rPr>
        <w:t>Поставщик гарантирует качество и безопасность поставляемого Товара в соответствии с действующими стандартами, утвержденными на соответствующий вид Товара, и наличием сертификатов, обязательных для Товара, оформленных в соответствии с российскими стандартами. Бирки и наклейки на упаковках должны быть четкими, чистыми и хорошо читаемыми. Производственные коды на Товаре должны совпадать с производственными кодами на упаковке.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40"/>
        <w:jc w:val="both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eastAsia="hi-IN" w:bidi="hi-IN"/>
        </w:rPr>
        <w:t>В случае форс-мажорных обстоятельств, замедляющих ход исполнения условий Договора против установленного срока, Поставщик обязан немедленно поставить в известность Заказчика.</w:t>
      </w:r>
    </w:p>
    <w:p>
      <w:pPr>
        <w:pStyle w:val="Normal"/>
        <w:widowControl w:val="false"/>
        <w:suppressAutoHyphens w:val="true"/>
        <w:spacing w:lineRule="auto" w:line="240" w:before="0" w:after="0"/>
        <w:ind w:right="10" w:firstLine="567"/>
        <w:jc w:val="both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eastAsia="ar-SA" w:bidi="hi-IN"/>
        </w:rPr>
        <w:t>Товар должен иметь сертификаты или санитарно-гигиенические заключения и иные документы, подтверждающие качество Товара, оформленные в соответствии с законодательством Российской Федерации.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eastAsia="ar-SA" w:bidi="hi-IN"/>
        </w:rPr>
        <w:t>Поставляемые Товары должны быть экологически чистыми, безопасными для здоровья человека.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true"/>
        <w:spacing w:lineRule="auto" w:line="240" w:before="0" w:after="0"/>
        <w:ind w:firstLine="567"/>
        <w:jc w:val="both"/>
        <w:rPr>
          <w:rFonts w:ascii="Liberation Serif" w:hAnsi="Liberation Serif"/>
          <w:color w:val="auto"/>
          <w:highlight w:val="none"/>
          <w:shd w:fill="auto" w:val="clear"/>
        </w:rPr>
      </w:pP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eastAsia="hi-IN" w:bidi="hi-IN"/>
        </w:rPr>
        <w:t>В случае поставки некачественного товара Поставщик за свой счет обязуется устранить</w:t>
      </w:r>
      <w:r>
        <w:rPr>
          <w:rFonts w:eastAsia="Times New Roman" w:cs="Times New Roman" w:ascii="Liberation Serif" w:hAnsi="Liberation Serif"/>
          <w:bCs/>
          <w:color w:val="000000"/>
          <w:kern w:val="2"/>
          <w:shd w:fill="auto" w:val="clear"/>
          <w:lang w:eastAsia="hi-IN" w:bidi="hi-IN"/>
        </w:rPr>
        <w:t xml:space="preserve"> выявленные Заказчиком дефекты или </w:t>
      </w:r>
      <w:r>
        <w:rPr>
          <w:rFonts w:eastAsia="Times New Roman" w:cs="Times New Roman" w:ascii="Liberation Serif" w:hAnsi="Liberation Serif"/>
          <w:color w:val="000000"/>
          <w:kern w:val="2"/>
          <w:shd w:fill="auto" w:val="clear"/>
          <w:lang w:eastAsia="hi-IN" w:bidi="hi-IN"/>
        </w:rPr>
        <w:t xml:space="preserve">осуществить замену товара, если неисправность вызвана дефектом конструкции, некачественным материалом, и не является результатом действия непреодолимой силы, неправильного обращения, внесения изменений или повреждения товара со стороны персонала Заказчика. </w:t>
      </w:r>
    </w:p>
    <w:sectPr>
      <w:type w:val="nextPage"/>
      <w:pgSz w:w="11906" w:h="16838"/>
      <w:pgMar w:left="284" w:right="284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458c2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Абзац списка Знак"/>
    <w:link w:val="ListParagraph"/>
    <w:uiPriority w:val="34"/>
    <w:qFormat/>
    <w:locked/>
    <w:rsid w:val="007b35ca"/>
    <w:rPr>
      <w:rFonts w:ascii="Times New Roman" w:hAnsi="Times New Roman" w:eastAsia="Times New Roman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link w:val="Style9"/>
    <w:uiPriority w:val="34"/>
    <w:qFormat/>
    <w:rsid w:val="007b35ca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/>
      <w:lang w:eastAsia="en-US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Application>AlterOffice/3.3.0.4$Linux_X86_64 LibreOffice_project/fa736b558560ebea8f92088bfd7720f4b3918f3f</Application>
  <AppVersion>15.0000</AppVersion>
  <Pages>3</Pages>
  <Words>984</Words>
  <Characters>6555</Characters>
  <CharactersWithSpaces>7387</CharactersWithSpaces>
  <Paragraphs>165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2023-01-24T08:44:00Z</dcterms:created>
  <dc:creator>User</dc:creator>
  <dc:description/>
  <dc:language>ru-RU</dc:language>
  <cp:lastModifiedBy>petrov_ny</cp:lastModifiedBy>
  <dcterms:modified xsi:type="dcterms:W3CDTF">2026-07-29T11:44:40Z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