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Calibri"/>
          <w:b/>
          <w:sz w:val="30"/>
          <w:szCs w:val="30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30"/>
          <w:szCs w:val="30"/>
        </w:rPr>
        <w:t>«</w:t>
      </w:r>
      <w:r>
        <w:rPr>
          <w:rStyle w:val="Style8"/>
          <w:rFonts w:eastAsia="Calibri" w:cs="Times New Roman"/>
          <w:i w:val="false"/>
          <w:color w:val="000000"/>
          <w:kern w:val="0"/>
          <w:sz w:val="30"/>
          <w:szCs w:val="30"/>
          <w:shd w:fill="auto" w:val="clear"/>
          <w:lang w:val="ru-RU" w:eastAsia="ru-RU" w:bidi="ar-SA"/>
        </w:rPr>
        <w:t>ОКПД2 47.41.30 По</w:t>
      </w:r>
      <w:r>
        <w:rPr>
          <w:rStyle w:val="Style8"/>
          <w:rFonts w:eastAsia="Calibri"/>
          <w:i w:val="false"/>
          <w:sz w:val="30"/>
          <w:szCs w:val="30"/>
          <w:shd w:fill="auto" w:val="clear"/>
        </w:rPr>
        <w:t>ставка материалов ССИиТС</w:t>
      </w:r>
      <w:r>
        <w:rPr>
          <w:rFonts w:eastAsia="Calibri"/>
          <w:b/>
          <w:sz w:val="30"/>
          <w:szCs w:val="30"/>
        </w:rPr>
        <w:t>»</w:t>
      </w:r>
      <w:r>
        <w:rPr>
          <w:rStyle w:val="FootnoteReference"/>
          <w:rFonts w:eastAsia="Calibri"/>
          <w:b/>
          <w:sz w:val="30"/>
          <w:szCs w:val="30"/>
        </w:rPr>
        <w:footnoteReference w:id="2"/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30"/>
          <w:szCs w:val="30"/>
          <w:shd w:fill="auto" w:val="clear"/>
        </w:rPr>
        <w:t xml:space="preserve">Лот № </w:t>
      </w:r>
      <w:r>
        <w:rPr>
          <w:rStyle w:val="Style8"/>
          <w:rFonts w:eastAsia="Calibri"/>
          <w:i w:val="false"/>
          <w:sz w:val="30"/>
          <w:szCs w:val="30"/>
          <w:shd w:fill="auto" w:val="clear"/>
        </w:rPr>
        <w:t>3-ЭКСПДИТ-2026-КЧФ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tabs>
          <w:tab w:val="clear" w:pos="0"/>
        </w:tabs>
        <w:ind w:left="432" w:hanging="0"/>
        <w:rPr/>
      </w:pPr>
      <w:r>
        <w:rPr/>
        <w:t xml:space="preserve">1.1. </w:t>
      </w: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  <w:r>
        <w:rPr>
          <w:rStyle w:val="Style8"/>
          <w:rFonts w:eastAsia="Times New Roman" w:cs="Times New Roman"/>
          <w:b w:val="false"/>
          <w:i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«ОКПД2 47.41.30 Поставка материалов ССИиТС»</w:t>
      </w:r>
      <w:r>
        <w:rPr>
          <w:rFonts w:eastAsia="Calibri"/>
          <w:i/>
          <w:lang w:eastAsia="x-none"/>
        </w:rPr>
        <w:br/>
      </w:r>
    </w:p>
    <w:p>
      <w:pPr>
        <w:pStyle w:val="Heading4"/>
        <w:tabs>
          <w:tab w:val="clear" w:pos="0"/>
        </w:tabs>
        <w:spacing w:before="240" w:after="60"/>
        <w:ind w:left="0" w:hanging="0"/>
        <w:rPr/>
      </w:pPr>
      <w:r>
        <w:rPr/>
        <w:t xml:space="preserve">1.2. </w:t>
      </w: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МТР, расходные материалы и запасные части закупаются для выполнения работ по эксплуатационно техническому обслуживанию и содержания в рабочем состоянии и устранение дефектов систем и оборудования связи телекоммуникаций и  АСУ ТП  ССИиТС, в соответствии с прилагаемым перечнем (Приложение №1).</w:t>
      </w:r>
      <w:bookmarkStart w:id="6" w:name="_Hlk48209761"/>
      <w:bookmarkEnd w:id="6"/>
    </w:p>
    <w:p>
      <w:pPr>
        <w:pStyle w:val="Heading4"/>
        <w:tabs>
          <w:tab w:val="clear" w:pos="0"/>
        </w:tabs>
        <w:ind w:left="432" w:hanging="0"/>
        <w:rPr>
          <w:rStyle w:val="Style8"/>
          <w:lang w:val="ru-RU"/>
        </w:rPr>
      </w:pPr>
      <w:r>
        <w:rPr>
          <w:lang w:val="ru-RU"/>
        </w:rPr>
      </w:r>
      <w:bookmarkStart w:id="7" w:name="_Toc50125126"/>
      <w:bookmarkStart w:id="8" w:name="_Toc50125126"/>
      <w:bookmarkEnd w:id="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51339693"/>
      <w:bookmarkStart w:id="10" w:name="_Toc75446573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75446575"/>
      <w:r>
        <w:rPr>
          <w:lang w:val="ru-RU"/>
        </w:rPr>
        <w:t>Перечень и объем закупаемой продукции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3" w:name="_Toc75446576"/>
      <w:bookmarkStart w:id="14" w:name="_Toc51339695"/>
      <w:r>
        <w:rPr>
          <w:b w:val="false"/>
          <w:sz w:val="24"/>
          <w:szCs w:val="24"/>
          <w:lang w:val="ru-RU"/>
        </w:rPr>
        <w:t xml:space="preserve">Перечень </w:t>
      </w:r>
      <w:bookmarkEnd w:id="14"/>
      <w:r>
        <w:rPr>
          <w:b w:val="false"/>
          <w:sz w:val="24"/>
          <w:szCs w:val="24"/>
          <w:lang w:val="ru-RU"/>
        </w:rPr>
        <w:t>и объем закупаемой продукции</w:t>
      </w:r>
      <w:bookmarkEnd w:id="13"/>
      <w:r>
        <w:rPr>
          <w:b w:val="false"/>
          <w:sz w:val="24"/>
          <w:szCs w:val="24"/>
          <w:lang w:val="ru-RU"/>
        </w:rPr>
        <w:t xml:space="preserve"> обозначены в Таблице (Приложение №1), являющейся неотъемлемой частью данных ТТ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75446578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поставки продукции и оказания сопутствующих услуг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75446579"/>
      <w:bookmarkStart w:id="18" w:name="_Toc50125127"/>
      <w:bookmarkStart w:id="19" w:name="_Toc51339697"/>
      <w:bookmarkStart w:id="20" w:name="_Toc50125126_Копия_1"/>
      <w:bookmarkEnd w:id="20"/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Требования к началу срока поставки продукции – с даты заключения договора; Требования к окончанию срока поставки продукции – в течение 60 дней с даты заключения договора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Поставка производится одним этапом всего комплекта МТР указанная в Таблице (Приложение №1)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bookmarkStart w:id="22" w:name="_Toc46743510"/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 случае возникновения срочной потребности в продукции – поставка необходимых комплектующих в течение 3-х суток (сумма в пределах заключенного договора).</w:t>
      </w:r>
      <w:bookmarkEnd w:id="2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 </w:t>
      </w:r>
      <w:r>
        <w:rPr>
          <w:rStyle w:val="Style8"/>
          <w:bCs/>
          <w:i w:val="false"/>
          <w:sz w:val="24"/>
          <w:szCs w:val="24"/>
          <w:shd w:fill="auto" w:val="clear"/>
        </w:rPr>
        <w:t>Требования к перечню и объему закупаемых сопутствующих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Доставка МТР до склада Заказчика в объеме и на сумму, указанную в договоре поставки производится по адресу: 369244, Карачаево-Черкесская Республика, Карачаевский район, пгт. Правокубанский, Зеленчукская ГЭС Филиала «ПАО РусГидро» - «Карачаево-Черкесский филиал».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2.2. Требования к качеству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Требования к продукции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Все МТР должны соответствовать требованиям ГОСТов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    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Наличие сертификатов соответствия обязательно.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Доставка товара Заказчику осуществляется силами Поставщика и за его же счет и производится на склад Заказчика в рабочее время с 08-00 до 16-00 согласно графика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Приемка товара по качеству и количеству осуществляется на складе Заказчика.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Товар без документов не принимается, ответственность за его сохранность Заказчик не несет.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Упаковка товара должна обеспечивать его сохранность при транспортировке и хранении.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Год выпуска расходных материалов и запасных частей: Не позднее 2025 года.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Гарантийный срок на поставленные МТР должен составлять не менее одного года с момента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3.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3.1. В обоснование стоимости своей заявки Участник предоставляет Коммерческое предложение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4. Приложения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4.1. Приложение № 1, Перечень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к техническим требованиям на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поставку материалов и запасных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частей на эксплуатацию систем и оборудования ССИиТС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b/>
          <w:bCs/>
        </w:rPr>
        <w:t>Перечень МТР</w:t>
      </w:r>
    </w:p>
    <w:tbl>
      <w:tblPr>
        <w:tblW w:w="9975" w:type="dxa"/>
        <w:jc w:val="left"/>
        <w:tblInd w:w="-2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601"/>
        <w:gridCol w:w="7199"/>
        <w:gridCol w:w="1079"/>
        <w:gridCol w:w="1095"/>
      </w:tblGrid>
      <w:tr>
        <w:trPr>
          <w:trHeight w:val="330" w:hRule="atLeast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Наименование материала и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Ед. изм.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Кол-во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оборудования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2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3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4</w:t>
            </w:r>
          </w:p>
        </w:tc>
      </w:tr>
      <w:tr>
        <w:trPr>
          <w:trHeight w:val="111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Кримпер 0,08-16мм (пресс клещи обжимные)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Вилка электрическая разборная угловая с заземлением 16А 250В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Переносная светодиодная лампа 60 W 15 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Штангенциркуль электронный цифровой 150 мм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5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Изолента ПВХ  0,18х10 9,1 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6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Изолента ПВХ 18 мм X 9,1 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7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Изолента  ПВХ  18 мм X 9,1 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8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Изолента ПВХ морозостойкая высшего класса 33, рулон 19 мм х 20 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9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Зарядное устройство Foxsur F20 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10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Перчатки для точных работ ,2XL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Телефонный коннектор RJ-11 (6P4C) 100 шт. в упаковке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12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Втулочный наконечник НШВИ 2120 шт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наб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13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TISHRIC TSR172 USB 3.0 к SAS адаптер для HDD 2.5/3.5 дюйма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14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Аккумулятор для телефона MITEL 612D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15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Клеммы для проводов соединительные набор в кейсе 50шт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наб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16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Клеммы обжимные кольцевые наконечники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наб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17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Вафельное полотно рулон 50 м хлопок, плотность 240 г/м2, ширина 45 см.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18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Стяжка (хомут) нейлоновая пластиковая, крепеж 2,5х100мм,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19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Стяжка (хомут) нейлоновая пластиковая, крепеж 2,5х150мм,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20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Стяжка (хомут) нейлоновая пластиковая, крепеж 2,5х200мм,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98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Стяжки пластиковые 3,6х250мм, 100 штук,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22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Стяжки пластиковые 3,6х300мм, 100 штук,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23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Стяжка (хомут) нейлоновая пластиковая, крепеж 7,6х350мм,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24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Стяжка (хомут) нейлоновая пластиковая, крепеж 7,6х400мм,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25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Стяжка (хомут) нейлоновая пластиковая, крепеж 7,6х450мм, цвет черный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26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Витая пара U/UTP кат 5E 4 пары LSZH 305м белый GENERICA BC1-C5E04-128-305-G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27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Влажные чистящие салфетки для экранов мониторов и оптических поверхностей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28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Антибактериальные универсальные спиртовые салфетки 13x17 см, 100 шт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29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IPmatika IGW410 - VoIP-шлюз на 4 порта FXO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9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30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IPmatika IGW400 — VoIP-шлюз на 4 порта FXS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АРМ-5153 столик подкатной АКТАКОМ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32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Проходной соединительный адаптер RJ45 Cablexpert TA350/1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33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Нагрузочная вилка для аккумулятора 12-24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34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Набор термоусадочных трубок термоусадка черный, 100мм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35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Набор термоусадочных трубок, термоусадка белая, 100мм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36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Коннектор телефонный RJ-12 6P6C CAT 3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наб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37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Коннектор RJ11/6P4C - 100 штук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наб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38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Клеммы для проводов обжимные 315 шт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наб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39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Профи Инструмент для снятия изоляции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40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Телефонный витой трубочный шнур RJ-11(4P-4C) 2 м для подключения телефонных трубок,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41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Проводной телефон RITMIX RT-311 black, световая индикация входящего звонка, настольная/настенная установка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42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Телефон RITMIX RT-330 white, 3 однокнопочных набора номера в памяти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43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JetKVM IP-KVM контроллер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650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44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Коннектор RJ45 для витой пары универсальные ножи экранированный 100 шт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45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Кримпер + стриппер + набор НШВИ 1250 штук + прочный кейс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46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Cabeus UTP-4P-Cat.5e-SOLID-GY Кабель витая пара UTP (U/UTP), категория 5e, 4 пары (24 AWG), одножильный, PVC нг(А)-LS, серый (305 м) </w:t>
            </w:r>
            <w:r>
              <w:rPr>
                <w:color w:val="000000"/>
                <w:sz w:val="24"/>
              </w:rPr>
              <w:t>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47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Набор для трассировки кабелей Fluke Networks Intellitone Pro 200 Lan MT-8200-60-KIT, цифровой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48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Овен ПР103-24.1618.16.1.0 м или эквивалент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49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Midspan-2/602G - PoE-инжектор Gigabit Ethernet на 2 порта. Соответствует стандартам PoE IEEE 802.3af/at. Автоматическое определение PoE устройств. Мощность PoE на порт - до 30W. Суммарная мощность PoE - до 60W (или эквивалент)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50</w:t>
            </w:r>
          </w:p>
        </w:tc>
        <w:tc>
          <w:tcPr>
            <w:tcW w:w="7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PoE коммутатор/удлинитель интерфейса Ethernet 10/100/1000Mbs PEXT 1/4. 4 PoE выхода, 1 PoE вход, совм. с 802.3af/at, до -40С (или эквивалент)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>
          <w:rStyle w:val="Style8"/>
          <w:b w:val="false"/>
          <w:bCs/>
          <w:iCs/>
        </w:rPr>
      </w:pPr>
      <w:r>
        <w:rPr>
          <w:rStyle w:val="Style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9B25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F99B25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3AFB7-77FD-434B-A3E7-956FE92F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Application>AlterOffice/3.4.0.9$Linux_X86_64 LibreOffice_project/b8daf9e823b1a5463a2f48435ddc2e8696e7d4fc</Application>
  <AppVersion>15.0000</AppVersion>
  <Pages>7</Pages>
  <Words>1036</Words>
  <Characters>5971</Characters>
  <CharactersWithSpaces>6788</CharactersWithSpaces>
  <Paragraphs>249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cp:lastPrinted>2006-07-26T14:04:00Z</cp:lastPrinted>
  <dcterms:modified xsi:type="dcterms:W3CDTF">2026-08-06T10:03:19Z</dcterms:modified>
  <cp:revision>32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