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 xml:space="preserve">                                                                                           </w:t>
      </w:r>
    </w:p>
    <w:p>
      <w:pPr>
        <w:pStyle w:val="Normal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-2" w:hanging="0"/>
        <w:jc w:val="center"/>
        <w:rPr>
          <w:rFonts w:eastAsia="Arial Unicode MS"/>
          <w:b/>
        </w:rPr>
      </w:pPr>
      <w:r>
        <w:rPr>
          <w:rFonts w:eastAsia="Arial Unicode MS"/>
          <w:b/>
        </w:rPr>
        <w:t>Технические требования</w:t>
      </w:r>
    </w:p>
    <w:p>
      <w:pPr>
        <w:pStyle w:val="Normal"/>
        <w:ind w:right="-2" w:hanging="0"/>
        <w:jc w:val="center"/>
        <w:rPr>
          <w:rFonts w:eastAsia="Arial Unicode MS"/>
        </w:rPr>
      </w:pPr>
      <w:r>
        <w:rPr>
          <w:rFonts w:eastAsia="Arial Unicode MS"/>
          <w:b w:val="false"/>
          <w:bCs w:val="false"/>
        </w:rPr>
        <w:t xml:space="preserve">на оказание услуг ОКПД2 </w:t>
      </w:r>
      <w:r>
        <w:rPr>
          <w:rFonts w:eastAsia="Arial Unicode MS"/>
          <w:b w:val="false"/>
          <w:bCs w:val="false"/>
          <w:i w:val="false"/>
          <w:caps w:val="false"/>
          <w:smallCaps w:val="false"/>
          <w:color w:val="333333"/>
          <w:spacing w:val="0"/>
          <w:sz w:val="24"/>
        </w:rPr>
        <w:t xml:space="preserve">71.20.11.190 </w:t>
      </w:r>
      <w:r>
        <w:rPr>
          <w:rFonts w:eastAsia="Arial Unicode MS"/>
          <w:b w:val="false"/>
          <w:bCs w:val="false"/>
        </w:rPr>
        <w:t>«</w:t>
      </w:r>
      <w:r>
        <w:rPr>
          <w:rFonts w:eastAsia="Arial Unicode MS"/>
          <w:b w:val="false"/>
          <w:bCs w:val="false"/>
          <w:i w:val="false"/>
          <w:strike w:val="false"/>
          <w:dstrike w:val="false"/>
          <w:outline w:val="false"/>
          <w:shadow w:val="false"/>
          <w:sz w:val="24"/>
          <w:u w:val="none"/>
          <w:em w:val="none"/>
        </w:rPr>
        <w:t>К</w:t>
      </w: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u w:val="none"/>
          <w:em w:val="none"/>
        </w:rPr>
        <w:t>онтроль качества дистиллированной воды</w:t>
      </w:r>
      <w:r>
        <w:rPr/>
        <w:t xml:space="preserve">» </w:t>
      </w:r>
    </w:p>
    <w:p>
      <w:pPr>
        <w:pStyle w:val="Normal"/>
        <w:ind w:right="-2" w:hanging="0"/>
        <w:jc w:val="center"/>
        <w:rPr>
          <w:rFonts w:eastAsia="Arial Unicode MS"/>
          <w:b/>
        </w:rPr>
      </w:pPr>
      <w:r>
        <w:rPr>
          <w:rFonts w:eastAsia="Arial Unicode MS"/>
          <w:b/>
          <w:sz w:val="16"/>
          <w:szCs w:val="16"/>
        </w:rPr>
      </w:r>
    </w:p>
    <w:p>
      <w:pPr>
        <w:pStyle w:val="Normal"/>
        <w:numPr>
          <w:ilvl w:val="0"/>
          <w:numId w:val="3"/>
        </w:numPr>
        <w:ind w:left="426" w:right="-2" w:hanging="360"/>
        <w:jc w:val="both"/>
        <w:rPr>
          <w:b/>
          <w:bCs/>
        </w:rPr>
      </w:pPr>
      <w:r>
        <w:rPr>
          <w:b/>
          <w:bCs/>
        </w:rPr>
        <w:t>Наименование услуги</w:t>
      </w:r>
    </w:p>
    <w:p>
      <w:pPr>
        <w:pStyle w:val="Normal"/>
        <w:ind w:left="426" w:right="-2" w:hanging="0"/>
        <w:jc w:val="both"/>
        <w:rPr/>
      </w:pP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u w:val="none"/>
          <w:em w:val="none"/>
        </w:rPr>
        <w:t>Контроль качества дистиллированной воды (далее по тексту — деминерализованноя вода) на соответствие требованиям ГОСТ Р 52501-2005, ГОСТ Р 58144-2018</w:t>
      </w:r>
      <w:r>
        <w:rPr/>
        <w:t xml:space="preserve"> для нужд филиала ПАО «РусГидро» - «Камская ГЭС»</w:t>
      </w:r>
    </w:p>
    <w:p>
      <w:pPr>
        <w:pStyle w:val="Normal"/>
        <w:ind w:left="426" w:right="-2" w:hanging="0"/>
        <w:jc w:val="both"/>
        <w:rPr>
          <w:rFonts w:eastAsia="Arial Unicode MS"/>
        </w:rPr>
      </w:pPr>
      <w:r>
        <w:rPr>
          <w:rFonts w:eastAsia="Arial Unicode MS"/>
        </w:rPr>
      </w:r>
    </w:p>
    <w:p>
      <w:pPr>
        <w:pStyle w:val="Normal"/>
        <w:numPr>
          <w:ilvl w:val="0"/>
          <w:numId w:val="2"/>
        </w:numPr>
        <w:ind w:left="426" w:right="-2" w:hanging="360"/>
        <w:jc w:val="both"/>
        <w:rPr>
          <w:b/>
          <w:bCs/>
        </w:rPr>
      </w:pPr>
      <w:r>
        <w:rPr>
          <w:b/>
          <w:bCs/>
        </w:rPr>
        <w:t>Заказчик:</w:t>
      </w:r>
    </w:p>
    <w:p>
      <w:pPr>
        <w:pStyle w:val="Normal"/>
        <w:ind w:left="426" w:firstLine="283"/>
        <w:jc w:val="both"/>
        <w:rPr/>
      </w:pPr>
      <w:r>
        <w:rPr/>
        <w:t>Наименование филиала: филиал ПАО «РусГидро» - «Камская ГЭС» (далее по тексту Филиал)</w:t>
      </w:r>
    </w:p>
    <w:p>
      <w:pPr>
        <w:pStyle w:val="Normal"/>
        <w:ind w:left="426" w:hanging="0"/>
        <w:jc w:val="both"/>
        <w:rPr/>
      </w:pPr>
      <w:r>
        <w:rPr/>
        <w:t>Адрес Филиала: 614030, г. Пермь, Соликамская, 329</w:t>
      </w:r>
    </w:p>
    <w:p>
      <w:pPr>
        <w:pStyle w:val="Normal"/>
        <w:ind w:left="426" w:right="-2" w:firstLine="283"/>
        <w:jc w:val="both"/>
        <w:rPr/>
      </w:pPr>
      <w:r>
        <w:rPr/>
        <w:t>Подразделение-куратор: Участок химического анализа Службы мониторинга оборудования и ГТС филиала ПАО «РусГидро» - «Камская ГЭС» (далее по тексту Участок)</w:t>
      </w:r>
    </w:p>
    <w:p>
      <w:pPr>
        <w:pStyle w:val="Normal"/>
        <w:ind w:left="426" w:right="-2" w:hanging="0"/>
        <w:jc w:val="both"/>
        <w:rPr>
          <w:bCs/>
        </w:rPr>
      </w:pPr>
      <w:r>
        <w:rPr>
          <w:bCs/>
        </w:rPr>
      </w:r>
    </w:p>
    <w:p>
      <w:pPr>
        <w:pStyle w:val="Normal"/>
        <w:numPr>
          <w:ilvl w:val="0"/>
          <w:numId w:val="2"/>
        </w:numPr>
        <w:spacing w:before="0" w:after="120"/>
        <w:ind w:left="426" w:hanging="360"/>
        <w:jc w:val="both"/>
        <w:rPr>
          <w:rFonts w:eastAsia="Calibri"/>
        </w:rPr>
      </w:pPr>
      <w:r>
        <w:rPr>
          <w:b/>
          <w:bCs/>
        </w:rPr>
        <w:t>Цели и задачи. Существующее положение</w:t>
      </w:r>
    </w:p>
    <w:p>
      <w:pPr>
        <w:pStyle w:val="Normal"/>
        <w:numPr>
          <w:ilvl w:val="1"/>
          <w:numId w:val="2"/>
        </w:numPr>
        <w:spacing w:before="0" w:after="120"/>
        <w:ind w:left="426" w:hanging="360"/>
        <w:jc w:val="both"/>
        <w:rPr>
          <w:b/>
          <w:bCs/>
        </w:rPr>
      </w:pPr>
      <w:r>
        <w:rPr>
          <w:b/>
          <w:bCs/>
        </w:rPr>
        <w:t>Цели</w:t>
      </w:r>
    </w:p>
    <w:p>
      <w:pPr>
        <w:pStyle w:val="Normal"/>
        <w:spacing w:before="0" w:after="120"/>
        <w:ind w:left="426" w:firstLine="283"/>
        <w:jc w:val="both"/>
        <w:rPr>
          <w:bCs/>
        </w:rPr>
      </w:pPr>
      <w:r>
        <w:rPr/>
        <w:t xml:space="preserve">Подтверждение соответствия качества деминерализованной воды, производимой и используемой в процессе производственной деятельности Участка  требованиям </w:t>
      </w: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u w:val="none"/>
          <w:em w:val="none"/>
        </w:rPr>
        <w:t>ГОСТ Р 52501-2005, ГОСТ Р 58144-2018</w:t>
      </w:r>
      <w:r>
        <w:rPr>
          <w:bCs/>
        </w:rPr>
        <w:t>.</w:t>
      </w:r>
    </w:p>
    <w:p>
      <w:pPr>
        <w:pStyle w:val="Normal"/>
        <w:numPr>
          <w:ilvl w:val="1"/>
          <w:numId w:val="2"/>
        </w:numPr>
        <w:spacing w:before="0" w:after="120"/>
        <w:ind w:left="426" w:hanging="360"/>
        <w:jc w:val="both"/>
        <w:rPr>
          <w:b/>
          <w:bCs/>
        </w:rPr>
      </w:pPr>
      <w:r>
        <w:rPr>
          <w:b/>
          <w:bCs/>
        </w:rPr>
        <w:t xml:space="preserve">Задачи </w:t>
      </w:r>
    </w:p>
    <w:p>
      <w:pPr>
        <w:pStyle w:val="Normal"/>
        <w:spacing w:before="0" w:after="120"/>
        <w:ind w:left="426" w:firstLine="283"/>
        <w:jc w:val="both"/>
        <w:rPr/>
      </w:pPr>
      <w:r>
        <w:rPr/>
        <w:t xml:space="preserve">Осуществление контроля качества деминерализованной воды, производимой на Участке, методами физико-химического анализа в объеме требований нормативных документов, указанных в п. 3.4 технических требований. </w:t>
      </w:r>
    </w:p>
    <w:p>
      <w:pPr>
        <w:pStyle w:val="Normal"/>
        <w:numPr>
          <w:ilvl w:val="1"/>
          <w:numId w:val="2"/>
        </w:numPr>
        <w:spacing w:before="0" w:after="120"/>
        <w:ind w:left="426" w:hanging="360"/>
        <w:jc w:val="both"/>
        <w:rPr>
          <w:b/>
          <w:bCs/>
        </w:rPr>
      </w:pPr>
      <w:r>
        <w:rPr>
          <w:b/>
          <w:bCs/>
        </w:rPr>
        <w:t>Существующее положение</w:t>
      </w:r>
    </w:p>
    <w:p>
      <w:pPr>
        <w:pStyle w:val="ListParagraph"/>
        <w:spacing w:before="0" w:after="120"/>
        <w:ind w:left="426" w:firstLine="25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Деминерализованная вода, используемая  в производственной деятельности Участка, производится системой очистки воды «Elix-3». </w:t>
      </w:r>
    </w:p>
    <w:p>
      <w:pPr>
        <w:pStyle w:val="ListParagraph"/>
        <w:spacing w:before="0" w:after="120"/>
        <w:ind w:left="426" w:firstLine="25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Контроль качества деминерализованной воды осуществляется ежегодно на основании требований: аттестованных методик измерений,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z w:val="22"/>
          <w:szCs w:val="24"/>
          <w:u w:val="none"/>
          <w:em w:val="none"/>
        </w:rPr>
        <w:t>п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auto"/>
          <w:sz w:val="22"/>
          <w:u w:val="none"/>
          <w:em w:val="none"/>
        </w:rPr>
        <w:t xml:space="preserve">. 5.2а ГОСТ Р 58144-2018, ГОСТ Р 52501-2005. </w:t>
      </w:r>
    </w:p>
    <w:p>
      <w:pPr>
        <w:pStyle w:val="Normal"/>
        <w:numPr>
          <w:ilvl w:val="1"/>
          <w:numId w:val="2"/>
        </w:numPr>
        <w:ind w:left="426" w:right="-2" w:hanging="360"/>
        <w:jc w:val="both"/>
        <w:rPr>
          <w:rFonts w:eastAsia="Calibri"/>
          <w:b/>
        </w:rPr>
      </w:pPr>
      <w:r>
        <w:rPr>
          <w:rFonts w:eastAsia="Calibri"/>
          <w:b/>
        </w:rPr>
        <w:t>Основание на закупку</w:t>
      </w:r>
    </w:p>
    <w:p>
      <w:pPr>
        <w:pStyle w:val="ListParagraph"/>
        <w:numPr>
          <w:ilvl w:val="0"/>
          <w:numId w:val="4"/>
        </w:numPr>
        <w:ind w:left="426" w:hanging="360"/>
        <w:jc w:val="both"/>
        <w:rPr>
          <w:rFonts w:eastAsia="Calibri"/>
          <w:sz w:val="24"/>
          <w:szCs w:val="24"/>
        </w:rPr>
      </w:pPr>
      <w:r>
        <w:rPr>
          <w:rFonts w:eastAsia="Calibri"/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ГОСТ Р 52501-2005 Вода для лабораторного анализа. Технические условия;</w:t>
      </w:r>
    </w:p>
    <w:p>
      <w:pPr>
        <w:pStyle w:val="ListParagraph"/>
        <w:numPr>
          <w:ilvl w:val="0"/>
          <w:numId w:val="4"/>
        </w:numPr>
        <w:ind w:left="426" w:hanging="360"/>
        <w:jc w:val="both"/>
        <w:rPr>
          <w:rFonts w:eastAsia="Calibri"/>
          <w:sz w:val="24"/>
          <w:szCs w:val="24"/>
        </w:rPr>
      </w:pPr>
      <w:r>
        <w:rPr>
          <w:rFonts w:eastAsia="Calibri"/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ГОСТ Р 58144-2018 Вода дистиллированная. Технические условия</w:t>
      </w:r>
      <w:r>
        <w:rPr>
          <w:rFonts w:eastAsia="Calibri"/>
          <w:sz w:val="24"/>
          <w:szCs w:val="24"/>
        </w:rPr>
        <w:t>;</w:t>
      </w:r>
    </w:p>
    <w:p>
      <w:pPr>
        <w:pStyle w:val="ListParagraph"/>
        <w:numPr>
          <w:ilvl w:val="0"/>
          <w:numId w:val="4"/>
        </w:numPr>
        <w:ind w:left="426" w:hanging="36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ГКПЗ на 2026 год.</w:t>
      </w:r>
    </w:p>
    <w:p>
      <w:pPr>
        <w:pStyle w:val="Normal"/>
        <w:ind w:right="-2" w:hanging="0"/>
        <w:jc w:val="both"/>
        <w:rPr>
          <w:bCs/>
        </w:rPr>
      </w:pPr>
      <w:r>
        <w:rPr>
          <w:bCs/>
        </w:rPr>
      </w:r>
    </w:p>
    <w:p>
      <w:pPr>
        <w:pStyle w:val="Normal"/>
        <w:numPr>
          <w:ilvl w:val="0"/>
          <w:numId w:val="2"/>
        </w:numPr>
        <w:ind w:left="720" w:right="-2" w:hanging="360"/>
        <w:jc w:val="both"/>
        <w:rPr>
          <w:b/>
          <w:bCs/>
        </w:rPr>
      </w:pPr>
      <w:r>
        <w:rPr>
          <w:b/>
          <w:bCs/>
        </w:rPr>
        <w:t>Требования к закупаемым услугам</w:t>
      </w:r>
    </w:p>
    <w:p>
      <w:pPr>
        <w:pStyle w:val="Normal"/>
        <w:ind w:left="720" w:right="-2" w:hanging="0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709" w:leader="none"/>
          <w:tab w:val="left" w:pos="851" w:leader="none"/>
        </w:tabs>
        <w:jc w:val="both"/>
        <w:rPr>
          <w:b/>
        </w:rPr>
      </w:pPr>
      <w:r>
        <w:rPr>
          <w:b/>
        </w:rPr>
        <w:t>4.1 Состав и объем выполняемых работ указан в таблице 1.</w:t>
      </w:r>
    </w:p>
    <w:p>
      <w:pPr>
        <w:pStyle w:val="Normal"/>
        <w:tabs>
          <w:tab w:val="clear" w:pos="708"/>
          <w:tab w:val="left" w:pos="709" w:leader="none"/>
          <w:tab w:val="left" w:pos="851" w:leader="none"/>
        </w:tabs>
        <w:jc w:val="both"/>
        <w:rPr/>
      </w:pPr>
      <w:r>
        <w:rPr/>
      </w:r>
    </w:p>
    <w:p>
      <w:pPr>
        <w:pStyle w:val="Normal"/>
        <w:tabs>
          <w:tab w:val="clear" w:pos="708"/>
          <w:tab w:val="left" w:pos="709" w:leader="none"/>
          <w:tab w:val="left" w:pos="851" w:leader="none"/>
        </w:tabs>
        <w:jc w:val="both"/>
        <w:rPr>
          <w:rFonts w:ascii="Times New Roman" w:hAnsi="Times New Roman"/>
        </w:rPr>
      </w:pPr>
      <w:r>
        <w:rPr/>
        <w:t xml:space="preserve">Анализу подлежит проба деминерализованной воды </w:t>
      </w:r>
      <w:r>
        <w:rPr>
          <w:b w:val="false"/>
          <w:i w:val="false"/>
          <w:caps w:val="false"/>
          <w:smallCaps w:val="false"/>
          <w:color w:val="212529"/>
          <w:spacing w:val="0"/>
          <w:sz w:val="24"/>
        </w:rPr>
        <w:t>(степень чистоты 2 по ГОСТ Р 52501-2005) </w:t>
      </w:r>
      <w:r>
        <w:rPr/>
        <w:t>.</w:t>
      </w:r>
    </w:p>
    <w:p>
      <w:pPr>
        <w:pStyle w:val="Normal"/>
        <w:tabs>
          <w:tab w:val="clear" w:pos="708"/>
          <w:tab w:val="left" w:pos="567" w:leader="none"/>
        </w:tabs>
        <w:ind w:left="426" w:hanging="0"/>
        <w:jc w:val="both"/>
        <w:rPr/>
      </w:pPr>
      <w:r>
        <w:rPr/>
      </w:r>
    </w:p>
    <w:p>
      <w:pPr>
        <w:pStyle w:val="Normal"/>
        <w:tabs>
          <w:tab w:val="clear" w:pos="708"/>
          <w:tab w:val="left" w:pos="709" w:leader="none"/>
          <w:tab w:val="left" w:pos="851" w:leader="none"/>
        </w:tabs>
        <w:jc w:val="right"/>
        <w:rPr/>
      </w:pPr>
      <w:r>
        <w:rPr/>
      </w:r>
    </w:p>
    <w:p>
      <w:pPr>
        <w:pStyle w:val="Normal"/>
        <w:tabs>
          <w:tab w:val="clear" w:pos="708"/>
          <w:tab w:val="left" w:pos="709" w:leader="none"/>
          <w:tab w:val="left" w:pos="851" w:leader="none"/>
        </w:tabs>
        <w:jc w:val="right"/>
        <w:rPr/>
      </w:pPr>
      <w:r>
        <w:rPr/>
        <w:t>Таблица 1</w:t>
      </w:r>
    </w:p>
    <w:p>
      <w:pPr>
        <w:pStyle w:val="Normal"/>
        <w:tabs>
          <w:tab w:val="clear" w:pos="708"/>
          <w:tab w:val="left" w:pos="709" w:leader="none"/>
          <w:tab w:val="left" w:pos="851" w:leader="none"/>
        </w:tabs>
        <w:jc w:val="right"/>
        <w:rPr/>
      </w:pPr>
      <w:r>
        <w:rPr/>
      </w:r>
    </w:p>
    <w:tbl>
      <w:tblPr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360"/>
        <w:gridCol w:w="1136"/>
        <w:gridCol w:w="2316"/>
        <w:gridCol w:w="1541"/>
      </w:tblGrid>
      <w:tr>
        <w:trPr/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ind w:right="-2" w:hanging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Определяемая характеристика (показатель)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ind w:left="-108" w:right="-107" w:hanging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Количество проб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ind w:right="-2" w:hanging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Документ, устанавливающий правила и методы исследований (испытаний) и измерений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ind w:right="-2" w:hanging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Срок оказания услуг</w:t>
            </w:r>
          </w:p>
        </w:tc>
      </w:tr>
      <w:tr>
        <w:trPr/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Внешний вид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58144</w:t>
            </w:r>
          </w:p>
        </w:tc>
        <w:tc>
          <w:tcPr>
            <w:tcW w:w="1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ind w:right="-2" w:hanging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252"/>
              <w:ind w:right="-2" w:hanging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Не более 10 рабочих дней с момента передачи проб Исполнителю</w:t>
            </w:r>
          </w:p>
          <w:p>
            <w:pPr>
              <w:pStyle w:val="Normal"/>
              <w:widowControl w:val="false"/>
              <w:spacing w:lineRule="auto" w:line="252"/>
              <w:ind w:right="-2" w:hanging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</w:tr>
      <w:tr>
        <w:trPr/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Запах</w:t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58144</w:t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ind w:right="-2" w:hanging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</w:tr>
      <w:tr>
        <w:trPr/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Массовая концентрация ионов аммония</w:t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23268.1;</w:t>
            </w:r>
          </w:p>
          <w:p>
            <w:pPr>
              <w:pStyle w:val="Normal"/>
              <w:widowControl w:val="false"/>
              <w:ind w:right="-2" w:hanging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Р 57164</w:t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ind w:right="-2" w:hanging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</w:tr>
      <w:tr>
        <w:trPr>
          <w:trHeight w:val="473" w:hRule="atLeast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Массовая концентрация нитрат ионов</w:t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33045</w:t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Массовая концентрация сульфат-ионов</w:t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31867</w:t>
            </w:r>
          </w:p>
          <w:p>
            <w:pPr>
              <w:pStyle w:val="Normal"/>
              <w:widowControl w:val="false"/>
              <w:ind w:right="-2" w:hanging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 23268.4</w:t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ind w:right="-2" w:hanging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Массовая концентрация хлорид-ионов</w:t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31867</w:t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Массовая концентрация алюминия</w:t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18165</w:t>
            </w:r>
          </w:p>
          <w:p>
            <w:pPr>
              <w:pStyle w:val="Normal"/>
              <w:widowControl w:val="false"/>
              <w:ind w:right="-2" w:hanging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31870</w:t>
            </w:r>
          </w:p>
          <w:p>
            <w:pPr>
              <w:pStyle w:val="Normal"/>
              <w:widowControl w:val="false"/>
              <w:ind w:right="-2" w:hanging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Р 56219</w:t>
            </w:r>
          </w:p>
          <w:p>
            <w:pPr>
              <w:pStyle w:val="Normal"/>
              <w:widowControl w:val="false"/>
              <w:ind w:right="-2" w:hanging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Р 57162</w:t>
            </w:r>
          </w:p>
          <w:p>
            <w:pPr>
              <w:pStyle w:val="Normal"/>
              <w:widowControl w:val="false"/>
              <w:ind w:right="-2" w:hanging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Р 57165</w:t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Массовая концентрация железа</w:t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31870</w:t>
            </w:r>
          </w:p>
          <w:p>
            <w:pPr>
              <w:pStyle w:val="Normal"/>
              <w:widowControl w:val="false"/>
              <w:ind w:right="-2" w:hanging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Р 57162</w:t>
            </w:r>
          </w:p>
          <w:p>
            <w:pPr>
              <w:pStyle w:val="Normal"/>
              <w:widowControl w:val="false"/>
              <w:ind w:right="-2" w:hanging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Р 57165</w:t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</w:tr>
      <w:tr>
        <w:trPr/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both"/>
              <w:rPr>
                <w:sz w:val="22"/>
                <w:szCs w:val="22"/>
              </w:rPr>
            </w:pPr>
            <w:r>
              <w:rPr>
                <w:bCs/>
              </w:rPr>
              <w:t>Массовая концентрация кальция</w:t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31869</w:t>
            </w:r>
          </w:p>
          <w:p>
            <w:pPr>
              <w:pStyle w:val="Normal"/>
              <w:widowControl w:val="false"/>
              <w:ind w:right="-2" w:hanging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31870</w:t>
            </w:r>
          </w:p>
          <w:p>
            <w:pPr>
              <w:pStyle w:val="Normal"/>
              <w:widowControl w:val="false"/>
              <w:ind w:right="-2" w:hanging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Р 56219</w:t>
            </w:r>
          </w:p>
          <w:p>
            <w:pPr>
              <w:pStyle w:val="Normal"/>
              <w:widowControl w:val="false"/>
              <w:ind w:right="-2" w:hanging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Р 57165</w:t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</w:tr>
      <w:tr>
        <w:trPr/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both"/>
              <w:rPr>
                <w:sz w:val="22"/>
                <w:szCs w:val="22"/>
              </w:rPr>
            </w:pPr>
            <w:r>
              <w:rPr>
                <w:bCs/>
              </w:rPr>
              <w:t>Массовая концентрация меди</w:t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31870</w:t>
            </w:r>
          </w:p>
          <w:p>
            <w:pPr>
              <w:pStyle w:val="Normal"/>
              <w:widowControl w:val="false"/>
              <w:ind w:right="-2" w:hanging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Р 56219</w:t>
            </w:r>
          </w:p>
          <w:p>
            <w:pPr>
              <w:pStyle w:val="Normal"/>
              <w:widowControl w:val="false"/>
              <w:ind w:right="-2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57162</w:t>
            </w:r>
          </w:p>
          <w:p>
            <w:pPr>
              <w:pStyle w:val="Normal"/>
              <w:widowControl w:val="false"/>
              <w:ind w:right="-2" w:hanging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Р 57165</w:t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</w:tr>
      <w:tr>
        <w:trPr/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both"/>
              <w:rPr>
                <w:sz w:val="22"/>
                <w:szCs w:val="22"/>
              </w:rPr>
            </w:pPr>
            <w:r>
              <w:rPr>
                <w:bCs/>
              </w:rPr>
              <w:t>Массовая концентрация свинца</w:t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</w:tr>
      <w:tr>
        <w:trPr/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both"/>
              <w:rPr>
                <w:sz w:val="22"/>
                <w:szCs w:val="22"/>
              </w:rPr>
            </w:pPr>
            <w:r>
              <w:rPr>
                <w:bCs/>
              </w:rPr>
              <w:t>Массовая концентрация цинка</w:t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</w:tr>
      <w:tr>
        <w:trPr/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both"/>
              <w:rPr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position w:val="0"/>
                <w:sz w:val="22"/>
                <w:sz w:val="22"/>
                <w:szCs w:val="22"/>
                <w:vertAlign w:val="baseline"/>
              </w:rPr>
              <w:t>Содержание веществ, восстанавливающих КМnО</w:t>
            </w:r>
            <w:r>
              <w:rPr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58144</w:t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</w:tr>
      <w:tr>
        <w:trPr/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Водородный показатель рН</w:t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</w:tr>
      <w:tr>
        <w:trPr/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Удельная электрическая проводимость при температуре 25 </w:t>
            </w:r>
            <w:r>
              <w:rPr>
                <w:rFonts w:eastAsia="Times New Roman" w:cs="Times New Roman"/>
                <w:sz w:val="22"/>
                <w:szCs w:val="22"/>
              </w:rPr>
              <w:t>°</w:t>
            </w:r>
            <w:r>
              <w:rPr>
                <w:sz w:val="22"/>
                <w:szCs w:val="22"/>
              </w:rPr>
              <w:t>С</w:t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58144</w:t>
            </w:r>
          </w:p>
          <w:p>
            <w:pPr>
              <w:pStyle w:val="Normal"/>
              <w:widowControl w:val="false"/>
              <w:ind w:right="-2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</w:tr>
      <w:tr>
        <w:trPr/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widowControl w:val="false"/>
              <w:rPr/>
            </w:pPr>
            <w:r>
              <w:rPr/>
              <w:t>Массовая доля остатка после выпаривания</w:t>
            </w:r>
          </w:p>
        </w:tc>
        <w:tc>
          <w:tcPr>
            <w:tcW w:w="11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52501-2005</w:t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</w:tr>
      <w:tr>
        <w:trPr/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веществ, восстанавливающих КМnО</w:t>
            </w:r>
            <w:r>
              <w:rPr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</w:tr>
      <w:tr>
        <w:trPr/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Удельная электрическая проводимость при температуре 25 </w:t>
            </w:r>
            <w:r>
              <w:rPr>
                <w:rFonts w:eastAsia="Times New Roman" w:cs="Times New Roman"/>
                <w:sz w:val="22"/>
                <w:szCs w:val="22"/>
              </w:rPr>
              <w:t>°</w:t>
            </w:r>
            <w:r>
              <w:rPr>
                <w:sz w:val="22"/>
                <w:szCs w:val="22"/>
              </w:rPr>
              <w:t>С</w:t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</w:tr>
      <w:tr>
        <w:trPr/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Оптическая плотность при длине волны 254 нм, в кювете с толщиной поглощающего свет слоя 1 см</w:t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</w:tr>
      <w:tr>
        <w:trPr/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концентрация оксида кремния (IV)</w:t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709" w:leader="none"/>
          <w:tab w:val="left" w:pos="851" w:leader="none"/>
        </w:tabs>
        <w:jc w:val="right"/>
        <w:rPr/>
      </w:pPr>
      <w:r>
        <w:rPr/>
      </w:r>
    </w:p>
    <w:p>
      <w:pPr>
        <w:pStyle w:val="Normal"/>
        <w:tabs>
          <w:tab w:val="clear" w:pos="708"/>
          <w:tab w:val="left" w:pos="709" w:leader="none"/>
          <w:tab w:val="left" w:pos="851" w:leader="none"/>
        </w:tabs>
        <w:jc w:val="right"/>
        <w:rPr>
          <w:b/>
        </w:rPr>
      </w:pPr>
      <w:r>
        <w:rPr>
          <w:b/>
        </w:rPr>
      </w:r>
    </w:p>
    <w:p>
      <w:pPr>
        <w:pStyle w:val="Normal"/>
        <w:numPr>
          <w:ilvl w:val="1"/>
          <w:numId w:val="5"/>
        </w:numPr>
        <w:tabs>
          <w:tab w:val="clear" w:pos="708"/>
          <w:tab w:val="left" w:pos="426" w:leader="none"/>
        </w:tabs>
        <w:jc w:val="both"/>
        <w:rPr>
          <w:b/>
        </w:rPr>
      </w:pPr>
      <w:r>
        <w:rPr>
          <w:b/>
        </w:rPr>
        <w:t>Результат оказания услуг</w:t>
      </w:r>
    </w:p>
    <w:p>
      <w:pPr>
        <w:pStyle w:val="ListParagraph"/>
        <w:spacing w:before="120" w:after="0"/>
        <w:ind w:left="284" w:firstLine="283"/>
        <w:contextualSpacing/>
        <w:jc w:val="both"/>
        <w:rPr>
          <w:bCs/>
          <w:kern w:val="2"/>
          <w:sz w:val="24"/>
          <w:szCs w:val="24"/>
        </w:rPr>
      </w:pPr>
      <w:r>
        <w:rPr>
          <w:bCs/>
          <w:kern w:val="2"/>
          <w:sz w:val="24"/>
          <w:szCs w:val="24"/>
        </w:rPr>
        <w:t xml:space="preserve">По результатам оказания услуг Заказчику передается оригинал протокола испытаний, экспертное заключение по результатам лабораторных испытаний на каждую единицу пробы.  </w:t>
      </w:r>
    </w:p>
    <w:p>
      <w:pPr>
        <w:pStyle w:val="ListParagraph"/>
        <w:spacing w:before="120" w:after="0"/>
        <w:ind w:left="284" w:firstLine="709"/>
        <w:contextualSpacing/>
        <w:jc w:val="both"/>
        <w:rPr>
          <w:bCs/>
          <w:kern w:val="2"/>
          <w:sz w:val="24"/>
          <w:szCs w:val="24"/>
        </w:rPr>
      </w:pPr>
      <w:r>
        <w:rPr>
          <w:bCs/>
          <w:kern w:val="2"/>
          <w:sz w:val="24"/>
          <w:szCs w:val="24"/>
        </w:rPr>
      </w:r>
    </w:p>
    <w:p>
      <w:pPr>
        <w:pStyle w:val="ListParagraph"/>
        <w:spacing w:before="120" w:after="0"/>
        <w:ind w:left="284" w:firstLine="709"/>
        <w:contextualSpacing/>
        <w:jc w:val="both"/>
        <w:rPr>
          <w:bCs/>
          <w:kern w:val="2"/>
          <w:sz w:val="24"/>
          <w:szCs w:val="24"/>
        </w:rPr>
      </w:pPr>
      <w:r>
        <w:rPr>
          <w:bCs/>
          <w:kern w:val="2"/>
          <w:sz w:val="24"/>
          <w:szCs w:val="24"/>
        </w:rPr>
      </w:r>
    </w:p>
    <w:p>
      <w:pPr>
        <w:pStyle w:val="ListParagraph"/>
        <w:spacing w:before="120" w:after="0"/>
        <w:ind w:left="284" w:firstLine="709"/>
        <w:contextualSpacing/>
        <w:jc w:val="both"/>
        <w:rPr>
          <w:bCs/>
          <w:kern w:val="2"/>
          <w:sz w:val="24"/>
          <w:szCs w:val="24"/>
        </w:rPr>
      </w:pPr>
      <w:r>
        <w:rPr>
          <w:bCs/>
          <w:kern w:val="2"/>
          <w:sz w:val="24"/>
          <w:szCs w:val="24"/>
        </w:rPr>
      </w:r>
    </w:p>
    <w:p>
      <w:pPr>
        <w:pStyle w:val="ListParagraph"/>
        <w:numPr>
          <w:ilvl w:val="1"/>
          <w:numId w:val="5"/>
        </w:numPr>
        <w:tabs>
          <w:tab w:val="clear" w:pos="708"/>
          <w:tab w:val="left" w:pos="540" w:leader="none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Прочие требования и условия </w:t>
      </w:r>
    </w:p>
    <w:p>
      <w:pPr>
        <w:pStyle w:val="ListParagraph"/>
        <w:tabs>
          <w:tab w:val="clear" w:pos="708"/>
          <w:tab w:val="left" w:pos="540" w:leader="none"/>
        </w:tabs>
        <w:ind w:left="360" w:hanging="0"/>
        <w:jc w:val="right"/>
        <w:rPr>
          <w:sz w:val="24"/>
          <w:szCs w:val="24"/>
        </w:rPr>
      </w:pPr>
      <w:r>
        <w:rPr>
          <w:sz w:val="24"/>
          <w:szCs w:val="24"/>
        </w:rPr>
        <w:t>Таблица 2</w:t>
      </w:r>
    </w:p>
    <w:tbl>
      <w:tblPr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34"/>
        <w:gridCol w:w="1870"/>
        <w:gridCol w:w="6950"/>
      </w:tblGrid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7" w:hanging="0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Наименование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Требование Заказчика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Требования к документации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540" w:leader="none"/>
              </w:tabs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Отчетные материалы предоставляются заказчику в бумажном виде и на электронном носителе;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540" w:leader="none"/>
              </w:tabs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Принимаются следующие форматы представления документов в электронном виде: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312" w:leader="none"/>
              </w:tabs>
              <w:ind w:left="312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сканированные изображения в формате </w:t>
            </w:r>
            <w:r>
              <w:rPr>
                <w:sz w:val="24"/>
                <w:szCs w:val="24"/>
                <w:lang w:val="en-US"/>
              </w:rPr>
              <w:t>Adobe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Acrobat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Document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bCs/>
                <w:iCs/>
              </w:rPr>
              <w:t>Требования к исполнителю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3"/>
              <w:widowControl w:val="false"/>
              <w:numPr>
                <w:ilvl w:val="0"/>
                <w:numId w:val="8"/>
              </w:numPr>
              <w:spacing w:before="0" w:after="0"/>
              <w:ind w:left="324" w:hanging="36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Оказание услуг осуществляется организациями, для которых данный вид деятельности предусмотрен уставом;</w:t>
            </w:r>
          </w:p>
          <w:p>
            <w:pPr>
              <w:pStyle w:val="BodyTextIndent3"/>
              <w:widowControl w:val="false"/>
              <w:numPr>
                <w:ilvl w:val="0"/>
                <w:numId w:val="8"/>
              </w:numPr>
              <w:spacing w:before="0" w:after="0"/>
              <w:ind w:left="324" w:hanging="36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Исполнитель должен иметь действующий аттестат аккредитации, область аккредитации соответствующей характеру выполняемой услуги  на соответствие требованием ГОСТ </w:t>
            </w:r>
            <w:r>
              <w:rPr>
                <w:bCs/>
                <w:sz w:val="24"/>
                <w:szCs w:val="24"/>
                <w:lang w:val="en-US"/>
              </w:rPr>
              <w:t>ISO</w:t>
            </w:r>
            <w:r>
              <w:rPr>
                <w:bCs/>
                <w:sz w:val="24"/>
                <w:szCs w:val="24"/>
              </w:rPr>
              <w:t>/</w:t>
            </w:r>
            <w:r>
              <w:rPr>
                <w:bCs/>
                <w:sz w:val="24"/>
                <w:szCs w:val="24"/>
                <w:lang w:val="en-US"/>
              </w:rPr>
              <w:t>IEC</w:t>
            </w:r>
            <w:r>
              <w:rPr>
                <w:bCs/>
                <w:sz w:val="24"/>
                <w:szCs w:val="24"/>
              </w:rPr>
              <w:t xml:space="preserve"> 17025 «Общие требования к компетентности испытательных и калибровочных лабораторий», </w:t>
            </w:r>
            <w:r>
              <w:rPr>
                <w:b w:val="false"/>
                <w:bCs/>
                <w:i w:val="false"/>
                <w:caps w:val="false"/>
                <w:smallCaps w:val="false"/>
                <w:color w:val="202020"/>
                <w:spacing w:val="0"/>
                <w:sz w:val="24"/>
                <w:szCs w:val="24"/>
              </w:rPr>
              <w:t>ГОСТ Р ИСО/МЭК 17020-2012 Оценка соответствия. Требования к работе различных типов органов инспекции</w:t>
            </w:r>
            <w:r>
              <w:rPr>
                <w:color w:val="202020"/>
                <w:sz w:val="24"/>
                <w:szCs w:val="24"/>
              </w:rPr>
              <w:t>;</w:t>
            </w:r>
          </w:p>
          <w:p>
            <w:pPr>
              <w:pStyle w:val="BodyTextIndent3"/>
              <w:widowControl w:val="false"/>
              <w:numPr>
                <w:ilvl w:val="0"/>
                <w:numId w:val="8"/>
              </w:numPr>
              <w:spacing w:before="0" w:after="0"/>
              <w:ind w:left="324" w:hanging="360"/>
              <w:jc w:val="both"/>
              <w:rPr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Оказать услугу в соответствии с действующим законодательством, нормативно-правовыми актами, в полном соответствии с методиками выполнения измерений, указанными в таблице 1.</w:t>
            </w:r>
          </w:p>
        </w:tc>
      </w:tr>
      <w:tr>
        <w:trPr>
          <w:trHeight w:val="1050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Cs/>
                <w:iCs/>
              </w:rPr>
            </w:pPr>
            <w:r>
              <w:rPr>
                <w:bCs/>
                <w:iCs/>
              </w:rPr>
              <w:t>Требования к выполнению работ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9"/>
              </w:numPr>
              <w:ind w:left="322" w:hanging="360"/>
              <w:jc w:val="both"/>
              <w:outlineLvl w:val="0"/>
              <w:rPr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Доставка проб на испытание осуществляется Исполнителем, одной партией, самостоятельно и своими средствами;</w:t>
            </w:r>
          </w:p>
          <w:p>
            <w:pPr>
              <w:pStyle w:val="ListParagraph"/>
              <w:keepNext w:val="true"/>
              <w:widowControl w:val="false"/>
              <w:numPr>
                <w:ilvl w:val="0"/>
                <w:numId w:val="9"/>
              </w:numPr>
              <w:ind w:left="322" w:hanging="360"/>
              <w:jc w:val="both"/>
              <w:outlineLvl w:val="0"/>
              <w:rPr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Отбор проб производится Заказчиком;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0"/>
        </w:numPr>
        <w:rPr>
          <w:b/>
        </w:rPr>
      </w:pPr>
      <w:r>
        <w:rPr>
          <w:b/>
        </w:rPr>
        <w:t>Сроки оказания услуг</w:t>
      </w:r>
    </w:p>
    <w:p>
      <w:pPr>
        <w:pStyle w:val="Normal"/>
        <w:ind w:left="709" w:hanging="0"/>
        <w:rPr/>
      </w:pPr>
      <w:r>
        <w:rPr/>
        <w:t>С момента заключения договора до 30.11.2026</w:t>
      </w:r>
    </w:p>
    <w:p>
      <w:pPr>
        <w:pStyle w:val="Normal"/>
        <w:ind w:left="709" w:hanging="0"/>
        <w:rPr/>
      </w:pPr>
      <w:r>
        <w:rPr/>
      </w:r>
    </w:p>
    <w:p>
      <w:pPr>
        <w:pStyle w:val="ConsPlusNormal"/>
        <w:widowControl/>
        <w:tabs>
          <w:tab w:val="clear" w:pos="708"/>
          <w:tab w:val="left" w:pos="426" w:leader="none"/>
        </w:tabs>
        <w:spacing w:lineRule="auto" w:line="240"/>
        <w:ind w:hanging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567" w:leader="none"/>
        </w:tabs>
        <w:ind w:left="567" w:hanging="0"/>
        <w:jc w:val="both"/>
        <w:rPr>
          <w:bCs/>
          <w:kern w:val="2"/>
        </w:rPr>
      </w:pPr>
      <w:r>
        <w:rPr>
          <w:bCs/>
        </w:rPr>
      </w:r>
    </w:p>
    <w:p>
      <w:pPr>
        <w:pStyle w:val="Normal"/>
        <w:ind w:right="-2" w:hanging="0"/>
        <w:jc w:val="both"/>
        <w:rPr>
          <w:bCs/>
        </w:rPr>
      </w:pPr>
      <w:r>
        <w:rPr>
          <w:bCs/>
        </w:rPr>
      </w:r>
    </w:p>
    <w:p>
      <w:pPr>
        <w:pStyle w:val="Normal"/>
        <w:ind w:right="-2" w:hanging="0"/>
        <w:jc w:val="both"/>
        <w:rPr>
          <w:bCs/>
        </w:rPr>
      </w:pPr>
      <w:r>
        <w:rPr/>
      </w:r>
    </w:p>
    <w:sectPr>
      <w:type w:val="nextPage"/>
      <w:pgSz w:w="11906" w:h="16838"/>
      <w:pgMar w:left="1701" w:right="851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 CYR">
    <w:charset w:val="01"/>
    <w:family w:val="roman"/>
    <w:pitch w:val="variable"/>
  </w:font>
  <w:font w:name="Verdana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2"/>
      <w:numFmt w:val="decimal"/>
      <w:lvlText w:val="%1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/>
    </w:lvl>
  </w:abstractNum>
  <w:abstractNum w:abstractNumId="3"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/>
    </w:lvl>
  </w:abstractNum>
  <w:abstractNum w:abstractNumId="6">
    <w:lvl w:ilvl="0">
      <w:start w:val="1"/>
      <w:numFmt w:val="decimal"/>
      <w:lvlText w:val="%1"/>
      <w:lvlJc w:val="center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7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5"/>
      <w:numFmt w:val="decimal"/>
      <w:lvlText w:val="%1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jc w:val="center"/>
      <w:outlineLvl w:val="0"/>
    </w:pPr>
    <w:rPr>
      <w:rFonts w:eastAsia="Arial Unicode MS"/>
      <w:b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51682a"/>
    <w:rPr>
      <w:color w:val="0000FF"/>
      <w:u w:val="single"/>
    </w:rPr>
  </w:style>
  <w:style w:type="character" w:styleId="3" w:customStyle="1">
    <w:name w:val="Основной текст с отступом 3 Знак"/>
    <w:link w:val="BodyTextIndent3"/>
    <w:qFormat/>
    <w:rsid w:val="002058e6"/>
    <w:rPr>
      <w:sz w:val="16"/>
      <w:szCs w:val="16"/>
    </w:rPr>
  </w:style>
  <w:style w:type="character" w:styleId="Annotationreference">
    <w:name w:val="annotation reference"/>
    <w:uiPriority w:val="99"/>
    <w:unhideWhenUsed/>
    <w:qFormat/>
    <w:rsid w:val="00e328f7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uiPriority w:val="99"/>
    <w:qFormat/>
    <w:rsid w:val="00e328f7"/>
    <w:rPr/>
  </w:style>
  <w:style w:type="character" w:styleId="Style9" w:customStyle="1">
    <w:name w:val="Текст выноски Знак"/>
    <w:link w:val="BalloonText"/>
    <w:qFormat/>
    <w:rsid w:val="00e328f7"/>
    <w:rPr>
      <w:rFonts w:ascii="Tahoma" w:hAnsi="Tahoma" w:cs="Tahoma"/>
      <w:sz w:val="16"/>
      <w:szCs w:val="16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/>
    <w:rPr>
      <w:szCs w:val="20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BodyTextIndent">
    <w:name w:val="Body Text Indent"/>
    <w:basedOn w:val="Normal"/>
    <w:pPr>
      <w:spacing w:before="0" w:after="120"/>
      <w:ind w:left="283" w:hanging="0"/>
    </w:pPr>
    <w:rPr/>
  </w:style>
  <w:style w:type="paragraph" w:styleId="BodyTextIndent3">
    <w:name w:val="Body Text Indent 3"/>
    <w:basedOn w:val="Normal"/>
    <w:link w:val="3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pPr>
      <w:jc w:val="both"/>
    </w:pPr>
    <w:rPr>
      <w:rFonts w:ascii="Times New Roman CYR" w:hAnsi="Times New Roman CYR" w:cs="Times New Roman CYR"/>
    </w:rPr>
  </w:style>
  <w:style w:type="paragraph" w:styleId="NormalWeb">
    <w:name w:val="Normal (Web)"/>
    <w:basedOn w:val="Normal"/>
    <w:qFormat/>
    <w:rsid w:val="0075223a"/>
    <w:pPr>
      <w:spacing w:beforeAutospacing="1" w:afterAutospacing="1"/>
      <w:ind w:right="150" w:hanging="0"/>
    </w:pPr>
    <w:rPr>
      <w:rFonts w:ascii="Tahoma" w:hAnsi="Tahoma" w:cs="Tahoma"/>
      <w:color w:val="000000"/>
      <w:sz w:val="20"/>
      <w:szCs w:val="20"/>
    </w:rPr>
  </w:style>
  <w:style w:type="paragraph" w:styleId="Style12" w:customStyle="1">
    <w:name w:val="Знак"/>
    <w:basedOn w:val="Normal"/>
    <w:qFormat/>
    <w:rsid w:val="00b90ebc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2" w:customStyle="1">
    <w:name w:val="Знак Знак Знак Знак Знак Знак Знак Знак Знак Знак Знак Знак Знак Знак Знак Знак Знак Знак Знак Знак Знак2 Знак Знак Знак Знак Знак Знак Знак"/>
    <w:basedOn w:val="Normal"/>
    <w:qFormat/>
    <w:rsid w:val="00734ba7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2f394a"/>
    <w:pPr>
      <w:spacing w:before="0" w:after="0"/>
      <w:ind w:left="720" w:hanging="0"/>
      <w:contextualSpacing/>
    </w:pPr>
    <w:rPr>
      <w:sz w:val="28"/>
      <w:szCs w:val="28"/>
    </w:rPr>
  </w:style>
  <w:style w:type="paragraph" w:styleId="Annotationtext">
    <w:name w:val="annotation text"/>
    <w:basedOn w:val="Normal"/>
    <w:link w:val="Style8"/>
    <w:uiPriority w:val="99"/>
    <w:unhideWhenUsed/>
    <w:qFormat/>
    <w:rsid w:val="00e328f7"/>
    <w:pPr/>
    <w:rPr>
      <w:sz w:val="20"/>
      <w:szCs w:val="20"/>
    </w:rPr>
  </w:style>
  <w:style w:type="paragraph" w:styleId="BalloonText">
    <w:name w:val="Balloon Text"/>
    <w:basedOn w:val="Normal"/>
    <w:link w:val="Style9"/>
    <w:qFormat/>
    <w:rsid w:val="00e328f7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e328f7"/>
    <w:pPr>
      <w:widowControl w:val="false"/>
      <w:suppressAutoHyphens w:val="true"/>
      <w:bidi w:val="0"/>
      <w:spacing w:lineRule="atLeast" w:line="360" w:before="0" w:after="0"/>
      <w:ind w:firstLine="720"/>
      <w:jc w:val="both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13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4" w:customStyle="1">
    <w:name w:val="Заголовок таблицы"/>
    <w:basedOn w:val="Style13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rsid w:val="00a439d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15323</TotalTime>
  <Application>AlterOffice/3.4.0.9$Linux_X86_64 LibreOffice_project/b8daf9e823b1a5463a2f48435ddc2e8696e7d4fc</Application>
  <AppVersion>15.0000</AppVersion>
  <Pages>3</Pages>
  <Words>585</Words>
  <Characters>3920</Characters>
  <CharactersWithSpaces>4488</CharactersWithSpaces>
  <Paragraphs>102</Paragraphs>
  <Company>abcdef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2016-02-10T10:45:00Z</dcterms:created>
  <dc:creator>Umarova</dc:creator>
  <dc:description/>
  <dc:language>ru-RU</dc:language>
  <cp:lastModifiedBy>shvalyukee@corp.gidroogk.com</cp:lastModifiedBy>
  <cp:lastPrinted>2026-08-05T16:28:48Z</cp:lastPrinted>
  <dcterms:modified xsi:type="dcterms:W3CDTF">2026-08-06T16:37:38Z</dcterms:modified>
  <cp:revision>27</cp:revision>
  <dc:subject/>
  <dc:title>Утверждаю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