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eastAsia="Calibri"/>
          <w:b/>
          <w:sz w:val="30"/>
          <w:szCs w:val="30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8"/>
          <w:rFonts w:eastAsia="Calibri"/>
          <w:i w:val="false"/>
          <w:sz w:val="30"/>
          <w:szCs w:val="30"/>
          <w:shd w:fill="auto" w:val="clear"/>
        </w:rPr>
        <w:t>«ОКПД2 47.7 Материалы на содержание и эксплуатацию оборудования ИТ-комплекса»</w:t>
      </w:r>
    </w:p>
    <w:p>
      <w:pPr>
        <w:pStyle w:val="Normal"/>
        <w:keepNext w:val="true"/>
        <w:keepLines/>
        <w:jc w:val="center"/>
        <w:rPr>
          <w:rStyle w:val="Style8"/>
          <w:rFonts w:eastAsia="Calibri"/>
          <w:i w:val="false"/>
          <w:i w:val="false"/>
          <w:sz w:val="30"/>
          <w:szCs w:val="30"/>
          <w:shd w:fill="auto" w:val="clear"/>
        </w:rPr>
      </w:pPr>
      <w:r>
        <w:rPr>
          <w:rFonts w:eastAsia="Calibri"/>
          <w:i w:val="false"/>
          <w:sz w:val="30"/>
          <w:szCs w:val="30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tabs>
          <w:tab w:val="clear" w:pos="0"/>
        </w:tabs>
        <w:ind w:left="432" w:hanging="0"/>
        <w:rPr/>
      </w:pPr>
      <w:r>
        <w:rPr/>
        <w:t xml:space="preserve">1.1. </w:t>
      </w: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«Материалы на содержание и эксплуатацию оборудования ИТ-комплекса»</w:t>
      </w:r>
      <w:r>
        <w:rPr>
          <w:rFonts w:eastAsia="Calibri"/>
          <w:i/>
          <w:lang w:eastAsia="x-none"/>
        </w:rPr>
        <w:br/>
      </w:r>
    </w:p>
    <w:p>
      <w:pPr>
        <w:pStyle w:val="Heading4"/>
        <w:tabs>
          <w:tab w:val="clear" w:pos="0"/>
        </w:tabs>
        <w:spacing w:before="240" w:after="60"/>
        <w:ind w:left="0" w:hanging="0"/>
        <w:rPr/>
      </w:pPr>
      <w:r>
        <w:rPr/>
        <w:t xml:space="preserve">1.2. </w:t>
      </w: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МТР, расходные материалы и запасные части закупаются для выполнения работ по организации выделенного канала связи, в соответствии с прилагаемым перечнем (Приложение №1).</w:t>
      </w:r>
      <w:bookmarkStart w:id="6" w:name="_Hlk48209761"/>
      <w:bookmarkEnd w:id="6"/>
    </w:p>
    <w:p>
      <w:pPr>
        <w:pStyle w:val="Heading4"/>
        <w:tabs>
          <w:tab w:val="clear" w:pos="0"/>
        </w:tabs>
        <w:ind w:left="432" w:hanging="0"/>
        <w:rPr>
          <w:rStyle w:val="Style8"/>
          <w:lang w:val="ru-RU"/>
        </w:rPr>
      </w:pPr>
      <w:r>
        <w:rPr>
          <w:lang w:val="ru-RU"/>
        </w:rPr>
      </w:r>
      <w:bookmarkStart w:id="7" w:name="_Toc50125126"/>
      <w:bookmarkStart w:id="8" w:name="_Toc50125126"/>
      <w:bookmarkEnd w:id="8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1339693"/>
      <w:bookmarkStart w:id="10" w:name="_Toc7544657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3"/>
        </w:numPr>
        <w:rPr/>
      </w:pPr>
      <w:bookmarkStart w:id="12" w:name="_Toc75446575"/>
      <w:r>
        <w:rPr>
          <w:lang w:val="ru-RU"/>
        </w:rPr>
        <w:t>Перечень и объем закупаемой продукции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3" w:name="_Toc75446576"/>
      <w:bookmarkStart w:id="14" w:name="_Toc51339695"/>
      <w:r>
        <w:rPr>
          <w:b w:val="false"/>
          <w:sz w:val="24"/>
          <w:szCs w:val="24"/>
          <w:lang w:val="ru-RU"/>
        </w:rPr>
        <w:t xml:space="preserve">Перечень </w:t>
      </w:r>
      <w:bookmarkEnd w:id="14"/>
      <w:r>
        <w:rPr>
          <w:b w:val="false"/>
          <w:sz w:val="24"/>
          <w:szCs w:val="24"/>
          <w:lang w:val="ru-RU"/>
        </w:rPr>
        <w:t>и объем закупаемой продукции</w:t>
      </w:r>
      <w:bookmarkEnd w:id="13"/>
      <w:r>
        <w:rPr>
          <w:b w:val="false"/>
          <w:sz w:val="24"/>
          <w:szCs w:val="24"/>
          <w:lang w:val="ru-RU"/>
        </w:rPr>
        <w:t xml:space="preserve"> обозначены в Таблице (Приложение №1), являющейся неотъемлемой частью данных ТТ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75446578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поставки продукции и оказания сопутствующих услуг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9"/>
      <w:bookmarkStart w:id="18" w:name="_Toc50125127"/>
      <w:bookmarkStart w:id="19" w:name="_Toc51339697"/>
      <w:bookmarkStart w:id="20" w:name="_Toc50125126_Копия_1"/>
      <w:bookmarkEnd w:id="20"/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Требования к началу срока поставки продукции – с даты заключения договора; Требования к окончанию срока поставки продукции – в течение 5 дней с даты заключения договора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Поставка производится одним этапом всего комплекта МТР указанная в Таблице (Приложение №1)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bookmarkStart w:id="22" w:name="_Toc46743510"/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В случае возникновения срочной потребности в продукции – поставка необходимых комплектующих в течение 3-х суток (сумма в пределах заключенного договора).</w:t>
      </w:r>
      <w:bookmarkEnd w:id="2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Cs/>
          <w:i w:val="false"/>
          <w:sz w:val="24"/>
          <w:szCs w:val="24"/>
          <w:shd w:fill="auto" w:val="clear"/>
        </w:rPr>
        <w:t>Требования к перечню и объему закупаемых сопутствующих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Доставка МТР до склада Заказчика в объеме и на сумму, указанную в договоре поставки производится по адресу: 369244, Карачаево-Черкесская Республика, Карачаевский район, пгт. Правокубанский, Зеленчукская ГЭС Филиала «ПАО РусГидро» - «Карачаево-Черкесский филиал».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2.2. Требования к качеству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 xml:space="preserve">Требования к продукции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Все МТР должны соответствовать требованиям ГОСТов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    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Наличие сертификатов соответствия обязательно.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Доставка товара Заказчику осуществляется силами Поставщика и за его же счет и производится на склад Заказчика в рабочее время с 08-00 до 16-00 согласно графика поставки.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Приемка товара по качеству и количеству осуществляется на складе Заказчика.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Товар без документов не принимается, ответственность за его сохранность Заказчик не несет.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Упаковка товара должна обеспечивать его сохранность при транспортировке и хранении.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  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Год выпуска расходных материалов и запасных частей: Не позднее 2025 года.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Гарантийный срок на поставленные МТР должен составлять не менее трех лет с момента поставки.</w:t>
      </w:r>
      <w:bookmarkStart w:id="23" w:name="_GoBack"/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3.1. В обоснование стоимости своей заявки Участник предоставляет Коммерческое предложение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4. Приложения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4.1. Приложение № 1, Перечень МТР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Приложение № 1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к техническим требованиям на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поставку материалов и запасных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частей на эксплуатацию систем и оборудования ИТ- компексов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  <w:t>Перечень МТР</w:t>
      </w:r>
    </w:p>
    <w:tbl>
      <w:tblPr>
        <w:tblW w:w="9975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noVBand="1" w:val="04a0" w:noHBand="0" w:lastColumn="0" w:firstColumn="1" w:lastRow="0" w:firstRow="1"/>
      </w:tblPr>
      <w:tblGrid>
        <w:gridCol w:w="601"/>
        <w:gridCol w:w="7200"/>
        <w:gridCol w:w="1078"/>
        <w:gridCol w:w="1095"/>
      </w:tblGrid>
      <w:tr>
        <w:trPr>
          <w:trHeight w:val="33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 xml:space="preserve">Наименование материала и </w:t>
            </w:r>
            <w:r>
              <w:rPr>
                <w:b w:val="false"/>
                <w:bCs w:val="false"/>
              </w:rPr>
              <w:t>оборудования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Ед. изм.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/>
              <w:t>Кол-во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443" w:hRule="atLeast"/>
        </w:trPr>
        <w:tc>
          <w:tcPr>
            <w:tcW w:w="6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Набор Клавиатура+мышь беспроводной, USB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Флеш накопитель 128GB, USB 3.2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SSD 512GB 2.5", 3D NAND Flash, TLC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SSD 512Gb 2.5" 3D TLC, SATAIII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Кабель витая пара  UTP outdoor, кат.5e, 4 пары, внутр.(24 AWG), экр.фол., черный, 305м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м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Флеш накопитель 128GB Kingston Data Traveler Exodia S, USB3.2, черный/бирюзовый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Кабель витая пара  , кат.5e, 4 пары, внешн.(24 AWG), экр.фол., черный, 305м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1 220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м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Кабель витая пара UTP outdoor, кат.5e, 4 пары, внешн.(24 AWG), экр.фол., черный, 305м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1 525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м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Модуль расширения YEALINK EXP55, цветной экран, для телефонов SIP-T7X/T8X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Кабель интерфейсный USB 2.0 AM/BM, 10м, активный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Кабель интерфейсный USB 2.0 AM/BM, 8м,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Коммутатор  8-port UTP 10/100/1000Mbps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Переключатель на 2 устройсива HDMI KVM, порты HDMI + 2xUSB (клавиатура+мышь) + 2xUSB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Аккумулятор Delta 6V/9Ah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Источник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беспер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пит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. , 850VA/425W, Line-Interactive, (2EURO)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(или эквивалент)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 xml:space="preserve">Веб-камера USB 2.0, 1280*720, микрофон, черный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Наушники проводн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ые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Коммутатор 8-port UTP 10/100/1000Mbps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Коммутатор 8-port UTP 10/100/1000Mbps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Внешний 1Тб, USB 3.x Micro-B "мама", черный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Коммутатор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6-port UTP 10/100Mbps + 4-port PoE+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  <w:tr>
        <w:trPr>
          <w:trHeight w:val="436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Блок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питания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 xml:space="preserve"> , 600B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т</w:t>
            </w:r>
            <w:r>
              <w:rPr>
                <w:rFonts w:cs="Calibri" w:ascii="Times New Roman" w:hAnsi="Times New Roman"/>
                <w:color w:val="000000"/>
                <w:sz w:val="22"/>
                <w:szCs w:val="22"/>
                <w:lang w:val="en-US"/>
              </w:rPr>
              <w:t>, 80 Plus Bronze, ATX 2.52, APFC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color w:val="000000"/>
                <w:sz w:val="22"/>
                <w:szCs w:val="22"/>
              </w:rPr>
              <w:t>шт.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9B25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F99B25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3CA94-7BA8-4F72-8661-C1F4150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Application>AlterOffice/3.4.0.9$Linux_X86_64 LibreOffice_project/b8daf9e823b1a5463a2f48435ddc2e8696e7d4fc</Application>
  <AppVersion>15.0000</AppVersion>
  <Pages>5</Pages>
  <Words>661</Words>
  <Characters>4030</Characters>
  <CharactersWithSpaces>4583</CharactersWithSpaces>
  <Paragraphs>136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cp:lastPrinted>2006-07-26T14:04:00Z</cp:lastPrinted>
  <dcterms:modified xsi:type="dcterms:W3CDTF">2026-08-06T15:00:08Z</dcterms:modified>
  <cp:revision>32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