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footer2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Heading1"/>
        <w:tabs>
          <w:tab w:val="clear" w:pos="0"/>
          <w:tab w:val="clear" w:pos="709"/>
          <w:tab w:val="left" w:pos="900" w:leader="none"/>
        </w:tabs>
        <w:spacing w:lineRule="auto" w:line="276"/>
        <w:ind w:hanging="0"/>
        <w:jc w:val="center"/>
        <w:rPr>
          <w:b w:val="false"/>
          <w:sz w:val="24"/>
          <w:szCs w:val="24"/>
        </w:rPr>
      </w:pPr>
      <w:r>
        <w:rPr>
          <w:b w:val="false"/>
          <w:color w:val="0F1112"/>
          <w:sz w:val="24"/>
          <w:szCs w:val="24"/>
        </w:rPr>
        <w:t xml:space="preserve">ОКПД2 27.33 Поставка шкафа защит системы возбуждения генератора </w:t>
      </w:r>
      <w:r>
        <w:rPr>
          <w:b w:val="false"/>
          <w:sz w:val="24"/>
          <w:szCs w:val="24"/>
        </w:rPr>
        <w:t>для выполнения работ на Нижегородской ГЭС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/>
      </w:pPr>
      <w:r>
        <w:rPr>
          <w:szCs w:val="24"/>
        </w:rPr>
        <w:t>(Лот №</w:t>
      </w:r>
      <w:r>
        <w:rPr>
          <w:color w:val="000000"/>
          <w:szCs w:val="24"/>
        </w:rPr>
        <w:t>0084-ТПИР ОБСЛ ДОХ-2025-ГРВКК-СШФ</w:t>
      </w:r>
      <w:r>
        <w:rPr>
          <w:szCs w:val="24"/>
        </w:rPr>
        <w:t>)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Cs w:val="24"/>
        </w:rPr>
      </w:pPr>
      <w:r>
        <w:rPr>
          <w:rFonts w:eastAsia="Calibri"/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>
          <w:lang w:val="ru-RU"/>
        </w:rPr>
        <w:t xml:space="preserve">    </w:t>
      </w: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0" w:name="_Toc75446568"/>
      <w:bookmarkStart w:id="1" w:name="_Toc46743506"/>
      <w:r>
        <w:rPr/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both"/>
        <w:outlineLvl w:val="0"/>
        <w:rPr>
          <w:szCs w:val="24"/>
        </w:rPr>
      </w:pPr>
      <w:r>
        <w:rPr>
          <w:szCs w:val="24"/>
        </w:rPr>
        <w:tab/>
      </w:r>
      <w:r>
        <w:rPr>
          <w:color w:val="0F1112"/>
          <w:szCs w:val="24"/>
        </w:rPr>
        <w:t xml:space="preserve">ОКПД2 27.33 Поставка шкафа защит системы возбуждения генератора </w:t>
      </w:r>
      <w:r>
        <w:rPr>
          <w:color w:val="000000"/>
          <w:szCs w:val="24"/>
        </w:rPr>
        <w:t>для выполнения работ на Нижегородской ГЭС</w:t>
      </w:r>
      <w:r>
        <w:rPr>
          <w:szCs w:val="24"/>
        </w:rPr>
        <w:t xml:space="preserve"> (далее продукция).</w:t>
      </w:r>
      <w:bookmarkStart w:id="2" w:name="_Toc75446569"/>
    </w:p>
    <w:p>
      <w:pPr>
        <w:pStyle w:val="Normal"/>
        <w:rPr/>
      </w:pPr>
      <w:r>
        <w:rPr/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Normal"/>
        <w:ind w:firstLine="432"/>
        <w:jc w:val="both"/>
        <w:rPr>
          <w:rFonts w:eastAsia="Times New Roman" w:cs="Times New Roman"/>
          <w:bCs/>
          <w:szCs w:val="24"/>
          <w:shd w:fill="FFFFFF" w:val="clear"/>
          <w:lang w:eastAsia="ru-RU"/>
        </w:rPr>
      </w:pPr>
      <w:r>
        <w:rPr>
          <w:rFonts w:eastAsia="Times New Roman" w:cs="Times New Roman"/>
          <w:bCs/>
          <w:szCs w:val="24"/>
          <w:shd w:fill="FFFFFF" w:val="clear"/>
          <w:lang w:eastAsia="ru-RU"/>
        </w:rPr>
        <w:tab/>
        <w:t>Исполнение доходных договоров:</w:t>
      </w:r>
    </w:p>
    <w:p>
      <w:pPr>
        <w:pStyle w:val="Normal"/>
        <w:ind w:firstLine="432"/>
        <w:jc w:val="both"/>
        <w:rPr>
          <w:szCs w:val="24"/>
        </w:rPr>
      </w:pPr>
      <w:r>
        <w:rPr>
          <w:szCs w:val="24"/>
        </w:rPr>
        <w:t xml:space="preserve">- №1240-129-2021 от 12.07.2021 «Строительно-монтажные и пусконаладочные работы по замене гидроагрегата ст.№1,4,7» для нужд филиала ПАО «РусГидро»-«Нижегородская ГЭС», </w:t>
      </w:r>
      <w:r>
        <w:rPr>
          <w:rFonts w:eastAsia="Times New Roman" w:cs="Times New Roman"/>
          <w:bCs/>
          <w:szCs w:val="24"/>
          <w:shd w:fill="FFFFFF" w:val="clear"/>
          <w:lang w:eastAsia="ru-RU"/>
        </w:rPr>
        <w:t>заключенный между ПАО «РусГидро» и АО «Гидроремонт-ВКК»</w:t>
      </w:r>
      <w:r>
        <w:rPr>
          <w:rStyle w:val="Style"/>
          <w:b w:val="false"/>
          <w:bCs/>
          <w:i w:val="false"/>
          <w:szCs w:val="24"/>
          <w:shd w:fill="FFFFFF" w:val="clear"/>
        </w:rPr>
        <w:t>.</w:t>
      </w:r>
    </w:p>
    <w:p>
      <w:pPr>
        <w:pStyle w:val="Normal"/>
        <w:ind w:firstLine="432"/>
        <w:jc w:val="both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ind w:left="0" w:firstLine="709"/>
        <w:rPr>
          <w:caps/>
          <w:lang w:val="ru-RU"/>
        </w:rPr>
      </w:pPr>
      <w:bookmarkStart w:id="4" w:name="_Toc75446573"/>
      <w:bookmarkStart w:id="5" w:name="_Toc51339693"/>
      <w:r>
        <w:rPr/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1"/>
        </w:numPr>
        <w:ind w:left="0" w:firstLine="709"/>
        <w:rPr/>
      </w:pPr>
      <w:bookmarkStart w:id="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firstLine="709"/>
        <w:rPr/>
      </w:pPr>
      <w:bookmarkStart w:id="7" w:name="_Toc75446575"/>
      <w:r>
        <w:rPr/>
        <w:t>Перечень и объем закупаемой продукции</w:t>
      </w:r>
      <w:bookmarkEnd w:id="7"/>
    </w:p>
    <w:p>
      <w:pPr>
        <w:pStyle w:val="Normal"/>
        <w:jc w:val="both"/>
        <w:rPr>
          <w:szCs w:val="24"/>
        </w:rPr>
      </w:pPr>
      <w:bookmarkStart w:id="8" w:name="_Toc75446576"/>
      <w:bookmarkStart w:id="9" w:name="_Toc51339695"/>
      <w:r>
        <w:rPr>
          <w:szCs w:val="24"/>
        </w:rPr>
        <w:t xml:space="preserve">Таблица 2.1 Перечень </w:t>
      </w:r>
      <w:bookmarkEnd w:id="9"/>
      <w:r>
        <w:rPr>
          <w:szCs w:val="24"/>
        </w:rPr>
        <w:t>и объем закупаемой продукци</w:t>
      </w:r>
      <w:bookmarkEnd w:id="8"/>
      <w:r>
        <w:rPr>
          <w:szCs w:val="24"/>
        </w:rPr>
        <w:t>и</w:t>
      </w:r>
    </w:p>
    <w:tbl>
      <w:tblPr>
        <w:tblStyle w:val="affffe"/>
        <w:tblW w:w="948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4"/>
        <w:gridCol w:w="6076"/>
        <w:gridCol w:w="1304"/>
        <w:gridCol w:w="1425"/>
      </w:tblGrid>
      <w:tr>
        <w:trPr>
          <w:trHeight w:val="567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п/п</w:t>
            </w:r>
          </w:p>
        </w:tc>
        <w:tc>
          <w:tcPr>
            <w:tcW w:w="6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3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Единица измерения</w:t>
            </w:r>
          </w:p>
        </w:tc>
        <w:tc>
          <w:tcPr>
            <w:tcW w:w="142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Количество</w:t>
            </w:r>
          </w:p>
        </w:tc>
      </w:tr>
      <w:tr>
        <w:trPr>
          <w:trHeight w:val="221" w:hRule="atLeast"/>
        </w:trPr>
        <w:tc>
          <w:tcPr>
            <w:tcW w:w="674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 w:val="22"/>
                <w:szCs w:val="24"/>
                <w:lang w:val="ru-RU" w:eastAsia="en-US" w:bidi="ar-SA"/>
              </w:rPr>
              <w:t>1</w:t>
            </w:r>
          </w:p>
        </w:tc>
        <w:tc>
          <w:tcPr>
            <w:tcW w:w="6076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 w:val="22"/>
                <w:szCs w:val="24"/>
                <w:lang w:val="ru-RU" w:eastAsia="en-US" w:bidi="ar-SA"/>
              </w:rPr>
              <w:t>2</w:t>
            </w:r>
          </w:p>
        </w:tc>
        <w:tc>
          <w:tcPr>
            <w:tcW w:w="1304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 w:val="22"/>
                <w:szCs w:val="24"/>
                <w:lang w:val="ru-RU" w:eastAsia="en-US" w:bidi="ar-SA"/>
              </w:rPr>
              <w:t>3</w:t>
            </w:r>
          </w:p>
        </w:tc>
        <w:tc>
          <w:tcPr>
            <w:tcW w:w="1425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Cs w:val="24"/>
              </w:rPr>
            </w:pPr>
            <w:r>
              <w:rPr>
                <w:rFonts w:eastAsia="Calibri" w:cs=""/>
                <w:b/>
                <w:kern w:val="0"/>
                <w:sz w:val="22"/>
                <w:szCs w:val="24"/>
                <w:lang w:val="ru-RU" w:eastAsia="en-US" w:bidi="ar-SA"/>
              </w:rPr>
              <w:t>4</w:t>
            </w:r>
          </w:p>
        </w:tc>
      </w:tr>
      <w:tr>
        <w:trPr>
          <w:trHeight w:val="400" w:hRule="atLeast"/>
        </w:trPr>
        <w:tc>
          <w:tcPr>
            <w:tcW w:w="6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eastAsia="Calibri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</w:r>
          </w:p>
        </w:tc>
        <w:tc>
          <w:tcPr>
            <w:tcW w:w="60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cs=""/>
                <w:kern w:val="0"/>
                <w:sz w:val="22"/>
                <w:lang w:val="ru-RU" w:eastAsia="en-US" w:bidi="ar-SA"/>
              </w:rPr>
            </w:pPr>
            <w:r>
              <w:rPr>
                <w:rFonts w:eastAsia="Calibri" w:cs=""/>
                <w:color w:val="000000"/>
                <w:kern w:val="0"/>
                <w:sz w:val="22"/>
                <w:szCs w:val="24"/>
                <w:lang w:val="ru-RU" w:eastAsia="en-US" w:bidi="ar-SA"/>
              </w:rPr>
              <w:t>Шкаф защит системы возбуждения генератора *</w:t>
            </w:r>
          </w:p>
        </w:tc>
        <w:tc>
          <w:tcPr>
            <w:tcW w:w="2729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pacing w:val="-4"/>
                <w:szCs w:val="24"/>
              </w:rPr>
            </w:pPr>
            <w:r>
              <w:rPr>
                <w:rFonts w:eastAsia="Calibri" w:cs=""/>
                <w:iCs/>
                <w:color w:val="000000"/>
                <w:spacing w:val="-4"/>
                <w:kern w:val="0"/>
                <w:sz w:val="22"/>
                <w:szCs w:val="24"/>
                <w:lang w:val="ru-RU" w:eastAsia="en-US" w:bidi="ar-SA"/>
              </w:rPr>
              <w:t>В соответствии с приложением №1, к настоящим Техническим требованиям</w:t>
            </w:r>
          </w:p>
        </w:tc>
      </w:tr>
      <w:tr>
        <w:trPr>
          <w:trHeight w:val="400" w:hRule="atLeast"/>
        </w:trPr>
        <w:tc>
          <w:tcPr>
            <w:tcW w:w="9479" w:type="dxa"/>
            <w:gridSpan w:val="4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360" w:hanging="0"/>
              <w:jc w:val="both"/>
              <w:rPr>
                <w:rFonts w:cs=""/>
                <w:kern w:val="0"/>
                <w:sz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4"/>
                <w:lang w:val="ru-RU" w:eastAsia="en-US" w:bidi="ar-SA"/>
              </w:rPr>
              <w:t>* В стоимость закупаемой продукции включены пусконаладочные работы.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360" w:hanging="0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kern w:val="0"/>
                <w:sz w:val="22"/>
                <w:szCs w:val="24"/>
                <w:lang w:val="ru-RU" w:eastAsia="ru-RU" w:bidi="ar-SA"/>
              </w:rPr>
              <w:t>Поставка оборудования выполняется в таком объёме, которая позволяет начать его использование без доработки и закупки дополнительных комплектующих, расходных материалов и изделий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3"/>
        <w:numPr>
          <w:ilvl w:val="2"/>
          <w:numId w:val="1"/>
        </w:numPr>
        <w:ind w:left="0" w:firstLine="709"/>
        <w:rPr/>
      </w:pPr>
      <w:r>
        <w:rPr/>
        <w:t xml:space="preserve">Требования к срокам поставки продукции </w:t>
      </w:r>
    </w:p>
    <w:p>
      <w:pPr>
        <w:pStyle w:val="Normal"/>
        <w:rPr/>
      </w:pPr>
      <w:bookmarkStart w:id="10" w:name="_Toc75446579"/>
      <w:bookmarkStart w:id="11" w:name="_Toc50125127"/>
      <w:bookmarkStart w:id="12" w:name="_Toc51339697"/>
      <w:r>
        <w:rPr>
          <w:rFonts w:eastAsia="Calibri"/>
          <w:szCs w:val="24"/>
          <w:lang w:eastAsia="x-none"/>
        </w:rPr>
        <w:t xml:space="preserve">Таблица 2.2 </w:t>
      </w:r>
      <w:bookmarkStart w:id="13" w:name="_Hlk50465284"/>
      <w:r>
        <w:rPr>
          <w:rFonts w:eastAsia="Calibri"/>
          <w:szCs w:val="24"/>
          <w:lang w:eastAsia="x-none"/>
        </w:rPr>
        <w:t xml:space="preserve">Требования по срокам </w:t>
      </w:r>
      <w:bookmarkEnd w:id="11"/>
      <w:bookmarkEnd w:id="12"/>
      <w:bookmarkEnd w:id="13"/>
      <w:r>
        <w:rPr>
          <w:rFonts w:eastAsia="Calibri"/>
          <w:szCs w:val="24"/>
          <w:lang w:eastAsia="x-none"/>
        </w:rPr>
        <w:t>поставки продукции</w:t>
      </w:r>
      <w:bookmarkEnd w:id="10"/>
      <w:r>
        <w:rPr>
          <w:rFonts w:eastAsia="Calibri"/>
          <w:szCs w:val="24"/>
          <w:lang w:eastAsia="x-none"/>
        </w:rPr>
        <w:t xml:space="preserve"> </w:t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2"/>
        <w:gridCol w:w="3746"/>
        <w:gridCol w:w="2210"/>
        <w:gridCol w:w="2835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1.1.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Heading1"/>
              <w:widowControl w:val="false"/>
              <w:tabs>
                <w:tab w:val="clear" w:pos="0"/>
                <w:tab w:val="clear" w:pos="709"/>
                <w:tab w:val="left" w:pos="900" w:leader="none"/>
              </w:tabs>
              <w:spacing w:lineRule="auto" w:line="276"/>
              <w:ind w:hanging="0"/>
              <w:jc w:val="center"/>
              <w:rPr>
                <w:b w:val="false"/>
                <w:sz w:val="24"/>
                <w:szCs w:val="24"/>
              </w:rPr>
            </w:pPr>
            <w:r>
              <w:rPr>
                <w:rFonts w:eastAsia="Arial Unicode MS"/>
                <w:b w:val="false"/>
                <w:color w:val="0F1112"/>
                <w:sz w:val="24"/>
                <w:szCs w:val="24"/>
              </w:rPr>
              <w:t xml:space="preserve">ОКПД2 27.33 Поставка шкафа защит системы возбуждения генератора </w:t>
            </w:r>
            <w:r>
              <w:rPr>
                <w:rFonts w:eastAsia="Arial Unicode MS"/>
                <w:b w:val="false"/>
                <w:color w:val="000000"/>
                <w:sz w:val="24"/>
                <w:szCs w:val="24"/>
              </w:rPr>
              <w:t>для выполнения работ на Нижегородской ГЭС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С даты подписания договора</w:t>
            </w:r>
            <w:bookmarkStart w:id="14" w:name="_GoBack"/>
            <w:bookmarkEnd w:id="14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hd w:val="clear" w:color="auto" w:fill="FFFFFF"/>
              <w:tabs>
                <w:tab w:val="clear" w:pos="708"/>
                <w:tab w:val="left" w:pos="142" w:leader="none"/>
                <w:tab w:val="left" w:pos="540" w:leader="none"/>
                <w:tab w:val="left" w:pos="993" w:leader="none"/>
              </w:tabs>
              <w:spacing w:before="0" w:after="120"/>
              <w:ind w:left="0" w:hanging="0"/>
              <w:contextualSpacing w:val="false"/>
              <w:jc w:val="center"/>
              <w:rPr/>
            </w:pPr>
            <w:r>
              <w:rPr>
                <w:color w:val="000000"/>
              </w:rPr>
              <w:t>В течение 150</w:t>
            </w:r>
            <w:r>
              <w:rPr>
                <w:rStyle w:val="FootnoteReference"/>
                <w:color w:val="000000"/>
              </w:rPr>
              <w:footnoteReference w:id="2"/>
            </w:r>
            <w:r>
              <w:rPr>
                <w:color w:val="000000"/>
              </w:rPr>
              <w:t xml:space="preserve"> календарных дней с даты подписания договора.</w:t>
            </w:r>
          </w:p>
        </w:tc>
      </w:tr>
    </w:tbl>
    <w:p>
      <w:pPr>
        <w:sectPr>
          <w:footerReference w:type="default" r:id="rId2"/>
          <w:footnotePr>
            <w:numFmt w:val="decimal"/>
          </w:footnotePr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rFonts w:eastAsia="Calibri"/>
          <w:szCs w:val="24"/>
          <w:lang w:eastAsia="x-none"/>
        </w:rPr>
      </w:pPr>
      <w:bookmarkStart w:id="15" w:name="_Toc75446582"/>
      <w:r>
        <w:rPr>
          <w:rFonts w:eastAsia="Calibri"/>
          <w:szCs w:val="24"/>
          <w:lang w:eastAsia="x-none"/>
        </w:rPr>
        <w:t xml:space="preserve">          </w:t>
      </w:r>
      <w:r>
        <w:rPr>
          <w:rFonts w:eastAsia="Calibri"/>
          <w:szCs w:val="24"/>
          <w:lang w:eastAsia="x-none"/>
        </w:rPr>
        <w:t>Таблица 2.3. Требования к продукции</w:t>
      </w:r>
      <w:bookmarkEnd w:id="15"/>
    </w:p>
    <w:p>
      <w:pPr>
        <w:pStyle w:val="Normal"/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</w:r>
    </w:p>
    <w:tbl>
      <w:tblPr>
        <w:tblW w:w="143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59"/>
        <w:gridCol w:w="1227"/>
        <w:gridCol w:w="373"/>
        <w:gridCol w:w="2194"/>
        <w:gridCol w:w="3455"/>
        <w:gridCol w:w="2324"/>
        <w:gridCol w:w="2102"/>
        <w:gridCol w:w="2103"/>
      </w:tblGrid>
      <w:tr>
        <w:trPr>
          <w:trHeight w:val="20" w:hRule="atLeast"/>
        </w:trPr>
        <w:tc>
          <w:tcPr>
            <w:tcW w:w="143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  <w:szCs w:val="24"/>
              </w:rPr>
              <w:t xml:space="preserve">Наименование продукции (позиции № 1.1. Таблицы 2.1): </w:t>
            </w:r>
            <w:r>
              <w:rPr>
                <w:b/>
                <w:bCs/>
                <w:color w:val="0F1112"/>
                <w:szCs w:val="24"/>
              </w:rPr>
              <w:t xml:space="preserve">ОКПД2 27.33 Поставка шкафа защит системы возбуждения генератора </w:t>
            </w:r>
            <w:r>
              <w:rPr>
                <w:b/>
                <w:bCs/>
                <w:color w:val="000000"/>
                <w:szCs w:val="24"/>
              </w:rPr>
              <w:t>для выполнения работ на Нижегородской ГЭС</w:t>
            </w:r>
          </w:p>
        </w:tc>
      </w:tr>
      <w:tr>
        <w:trPr>
          <w:trHeight w:val="10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продукции</w:t>
            </w: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3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Соответствие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стандартам</w:t>
            </w:r>
          </w:p>
        </w:tc>
        <w:tc>
          <w:tcPr>
            <w:tcW w:w="4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0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16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21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</w:r>
          </w:p>
        </w:tc>
        <w:tc>
          <w:tcPr>
            <w:tcW w:w="345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3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</w:rPr>
              <w:t>Согласие с требованием/ указание характеристик</w:t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0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5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6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7</w:t>
            </w:r>
          </w:p>
        </w:tc>
      </w:tr>
      <w:tr>
        <w:trPr>
          <w:trHeight w:val="20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13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DotumChe"/>
                <w:b/>
                <w:szCs w:val="24"/>
              </w:rPr>
            </w:pPr>
            <w:r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71" w:hRule="atLeast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/>
              <w:t>1.1.</w:t>
            </w:r>
          </w:p>
        </w:tc>
        <w:tc>
          <w:tcPr>
            <w:tcW w:w="1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Arial Unicode MS"/>
                <w:color w:val="000000"/>
                <w:szCs w:val="24"/>
              </w:rPr>
              <w:t>Шкаф защит системы возбуждения генератора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/>
                <w:szCs w:val="24"/>
                <w:lang w:eastAsia="ru-RU"/>
              </w:rPr>
              <w:t>Тип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/>
                <w:color w:val="000000"/>
                <w:szCs w:val="24"/>
                <w:lang w:eastAsia="ru-RU"/>
              </w:rPr>
              <w:t>ШЭ1113-910ЕТ-61Е2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DotumChe"/>
                <w:i w:val="false"/>
                <w:iCs w:val="false"/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35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6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Производитель</w:t>
            </w:r>
          </w:p>
        </w:tc>
        <w:tc>
          <w:tcPr>
            <w:tcW w:w="34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Cs w:val="24"/>
                <w:lang w:eastAsia="ru-RU"/>
              </w:rPr>
              <w:t>ООО НПП «ЭКРА»</w:t>
            </w:r>
          </w:p>
        </w:tc>
        <w:tc>
          <w:tcPr>
            <w:tcW w:w="23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5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6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Соответствие чертежу</w:t>
            </w:r>
          </w:p>
        </w:tc>
        <w:tc>
          <w:tcPr>
            <w:tcW w:w="34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Cs w:val="24"/>
              </w:rPr>
              <w:t>Да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№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027-014-7-ЭО3 </w:t>
            </w:r>
            <w:r>
              <w:rPr>
                <w:rFonts w:eastAsia="Times New Roman" w:cs="Times New Roman"/>
                <w:szCs w:val="24"/>
                <w:lang w:eastAsia="ru-RU"/>
              </w:rPr>
              <w:t>(прил. №1 к настоящим техническим требованиям)</w:t>
            </w:r>
          </w:p>
        </w:tc>
        <w:tc>
          <w:tcPr>
            <w:tcW w:w="23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1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35" w:hRule="atLeast"/>
        </w:trPr>
        <w:tc>
          <w:tcPr>
            <w:tcW w:w="5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600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ЗИП</w:t>
            </w:r>
          </w:p>
        </w:tc>
        <w:tc>
          <w:tcPr>
            <w:tcW w:w="34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Cs w:val="24"/>
                <w:lang w:eastAsia="x-none"/>
              </w:rPr>
              <w:t xml:space="preserve">Комплект запасных блоков для шкафов </w:t>
            </w:r>
            <w:r>
              <w:rPr>
                <w:rFonts w:eastAsia="Times New Roman" w:cs="Times New Roman"/>
                <w:szCs w:val="24"/>
                <w:lang w:eastAsia="ru-RU"/>
              </w:rPr>
              <w:t>ШЭ1113-910ЕТ</w:t>
            </w:r>
          </w:p>
        </w:tc>
        <w:tc>
          <w:tcPr>
            <w:tcW w:w="232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1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1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95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Место поставки</w:t>
            </w:r>
          </w:p>
        </w:tc>
        <w:tc>
          <w:tcPr>
            <w:tcW w:w="834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/>
            </w:pPr>
            <w:r>
              <w:rPr>
                <w:i/>
                <w:iCs/>
                <w:color w:val="000000"/>
                <w:szCs w:val="24"/>
              </w:rPr>
              <w:t>606520, Российская Федерация, Нижегородская область, г. Заволжье, ул. Привокзальная, д. 14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/>
            </w:pPr>
            <w:r>
              <w:rPr/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Приемка продукции</w:t>
            </w:r>
          </w:p>
        </w:tc>
        <w:tc>
          <w:tcPr>
            <w:tcW w:w="834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/>
            </w:pPr>
            <w:r>
              <w:rPr>
                <w:i/>
                <w:iCs/>
                <w:szCs w:val="24"/>
              </w:rPr>
              <w:t>Осуществляется только в рабочие дни с 9-00 до 11-00 и с 13-00 до 16-00.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/>
            </w:pPr>
            <w:r>
              <w:rPr/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/>
            </w:pPr>
            <w:r>
              <w:rPr/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95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95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Сроки гарантии</w:t>
            </w:r>
          </w:p>
        </w:tc>
        <w:tc>
          <w:tcPr>
            <w:tcW w:w="834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36 месяцев с момента ввода в эксплуатацию, но не более 60 месяцев с даты изготовления оборудования.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95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122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834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упаковочный лист на Продукцию; Сертификат о происхождении Продукции; товарную накладную унифицированной формы ТОРГ-12(УПД) в 2 экз., транспортную накладную.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rPr>
                <w:rFonts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- Паспорт и руководство (инструкция) по эксплуатации на русском языке;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- Сертификат или декларация соответствия согласно ТР ТС 004/2011 О безопасности низковольтного оборудования»;</w:t>
            </w:r>
          </w:p>
          <w:p>
            <w:pPr>
              <w:pStyle w:val="Normal"/>
              <w:widowControl w:val="false"/>
              <w:rPr>
                <w:rFonts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pacing w:val="-4"/>
                <w:szCs w:val="24"/>
              </w:rPr>
              <w:t>- Сертификат или декларация соответствия согласно ТР ТС 020/2011 «Электромагнитная совместимость технических средств».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5.</w:t>
            </w:r>
          </w:p>
        </w:tc>
        <w:tc>
          <w:tcPr>
            <w:tcW w:w="95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5.1.</w:t>
            </w:r>
          </w:p>
        </w:tc>
        <w:tc>
          <w:tcPr>
            <w:tcW w:w="95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yle"/>
                <w:rFonts w:eastAsia="Times New Roman" w:cs="Times New Roman"/>
                <w:b w:val="false"/>
                <w:bCs/>
                <w:iCs/>
                <w:color w:val="000000"/>
                <w:szCs w:val="24"/>
                <w:shd w:fill="auto" w:val="clear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6.</w:t>
            </w:r>
          </w:p>
        </w:tc>
        <w:tc>
          <w:tcPr>
            <w:tcW w:w="95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Требования к рабочей документации и чертежам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78" w:hRule="atLeast"/>
        </w:trPr>
        <w:tc>
          <w:tcPr>
            <w:tcW w:w="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6.1</w:t>
            </w:r>
          </w:p>
        </w:tc>
        <w:tc>
          <w:tcPr>
            <w:tcW w:w="957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Рабочая документация и чертежи предоставляются по официальному запросу через секретаря закупочной комиссии.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rPr>
          <w:rFonts w:eastAsia="Calibri"/>
          <w:szCs w:val="24"/>
          <w:lang w:eastAsia="x-none"/>
        </w:rPr>
      </w:pPr>
      <w:r>
        <w:rPr>
          <w:rFonts w:eastAsia="Calibri"/>
          <w:szCs w:val="24"/>
          <w:lang w:eastAsia="x-none"/>
        </w:rPr>
      </w:r>
    </w:p>
    <w:p>
      <w:pPr>
        <w:pStyle w:val="Normal"/>
        <w:rPr>
          <w:b/>
          <w:bCs/>
          <w:szCs w:val="24"/>
        </w:rPr>
      </w:pPr>
      <w:r>
        <w:rPr>
          <w:b/>
          <w:bCs/>
          <w:szCs w:val="24"/>
        </w:rPr>
        <w:t>3.</w:t>
        <w:tab/>
        <w:t>Приложения</w:t>
      </w:r>
    </w:p>
    <w:p>
      <w:pPr>
        <w:pStyle w:val="Normal"/>
        <w:jc w:val="center"/>
        <w:rPr>
          <w:b/>
          <w:bCs/>
          <w:szCs w:val="24"/>
        </w:rPr>
      </w:pPr>
      <w:r>
        <w:rPr>
          <w:b/>
          <w:bCs/>
          <w:szCs w:val="24"/>
        </w:rPr>
      </w:r>
    </w:p>
    <w:p>
      <w:pPr>
        <w:pStyle w:val="Normal"/>
        <w:rPr>
          <w:szCs w:val="24"/>
          <w:lang w:eastAsia="x-none"/>
        </w:rPr>
      </w:pPr>
      <w:r>
        <w:rPr>
          <w:szCs w:val="24"/>
        </w:rPr>
        <w:t xml:space="preserve"> </w:t>
      </w:r>
      <w:r>
        <w:rPr>
          <w:szCs w:val="24"/>
        </w:rPr>
        <w:t xml:space="preserve">- Приложение № 1: </w:t>
      </w:r>
      <w:r>
        <w:rPr/>
        <w:t xml:space="preserve">- 027-014-7-ЭО3 «Рабочая документация. Гидроагрегат №7. Дополнительная защита системы возбуждения» </w:t>
      </w:r>
    </w:p>
    <w:p>
      <w:pPr>
        <w:pStyle w:val="Normal"/>
        <w:spacing w:lineRule="auto" w:line="360"/>
        <w:jc w:val="both"/>
        <w:rPr>
          <w:color w:val="C9211E"/>
        </w:rPr>
      </w:pPr>
      <w:r>
        <w:rPr/>
      </w:r>
    </w:p>
    <w:sectPr>
      <w:footerReference w:type="default" r:id="rId3"/>
      <w:footerReference w:type="first" r:id="rId4"/>
      <w:footnotePr>
        <w:numFmt w:val="decimal"/>
      </w:footnotePr>
      <w:type w:val="nextPage"/>
      <w:pgSz w:orient="landscape" w:w="16838" w:h="11906"/>
      <w:pgMar w:left="1134" w:right="1134" w:gutter="0" w:header="0" w:top="426" w:footer="708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59463891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2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49419217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rPr>
          <w:lang w:val="en-US"/>
        </w:rPr>
      </w:pPr>
      <w:r>
        <w:rPr>
          <w:rStyle w:val="Style2"/>
        </w:rPr>
        <w:footnoteRef/>
      </w:r>
      <w:r>
        <w:rPr/>
        <w:t xml:space="preserve"> </w:t>
      </w:r>
      <w:r>
        <w:rPr>
          <w:lang w:val="en-US"/>
        </w:rPr>
        <w:t>С возможностью досрочной поставки.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11" w:customStyle="1">
    <w:name w:val="Гиперссылка1"/>
    <w:qFormat/>
    <w:rsid w:val="00cd6e45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7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2" w:customStyle="1">
    <w:name w:val="Подпункт Знак1"/>
    <w:link w:val="Style26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3" w:customStyle="1">
    <w:name w:val="УРОВЕНЬ_1. Знак"/>
    <w:link w:val="111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4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Style18" w:customStyle="1">
    <w:name w:val="Текст Знак"/>
    <w:basedOn w:val="DefaultParagraphFont"/>
    <w:link w:val="PlainText"/>
    <w:uiPriority w:val="99"/>
    <w:qFormat/>
    <w:rsid w:val="00003389"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sid w:val="00003389"/>
    <w:rPr/>
  </w:style>
  <w:style w:type="character" w:styleId="Extended-textshort" w:customStyle="1">
    <w:name w:val="extended-text__short"/>
    <w:qFormat/>
    <w:rsid w:val="00003389"/>
    <w:rPr/>
  </w:style>
  <w:style w:type="character" w:styleId="15" w:customStyle="1">
    <w:name w:val="Просмотренная гиперссылка1"/>
    <w:qFormat/>
    <w:rsid w:val="00003389"/>
    <w:rPr>
      <w:color w:val="800080"/>
      <w:u w:val="single"/>
    </w:rPr>
  </w:style>
  <w:style w:type="character" w:styleId="Productcode" w:customStyle="1">
    <w:name w:val="product_code"/>
    <w:qFormat/>
    <w:rsid w:val="00003389"/>
    <w:rPr/>
  </w:style>
  <w:style w:type="character" w:styleId="Add-data-value" w:customStyle="1">
    <w:name w:val="add-data-value"/>
    <w:basedOn w:val="DefaultParagraphFont"/>
    <w:qFormat/>
    <w:rsid w:val="00003389"/>
    <w:rPr/>
  </w:style>
  <w:style w:type="character" w:styleId="Extendedtext-short" w:customStyle="1">
    <w:name w:val="extendedtext-short"/>
    <w:qFormat/>
    <w:rsid w:val="00003389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1" w:customStyle="1">
    <w:name w:val="index heading1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rsid w:val="00734d42"/>
    <w:pPr>
      <w:numPr>
        <w:ilvl w:val="0"/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6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7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2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8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rsid w:val="004900e5"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4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9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cd6e45"/>
    <w:pPr>
      <w:numPr>
        <w:ilvl w:val="3"/>
        <w:numId w:val="5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5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5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cd6e45"/>
    <w:pPr>
      <w:keepNext w:val="true"/>
      <w:numPr>
        <w:ilvl w:val="5"/>
        <w:numId w:val="5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11" w:customStyle="1">
    <w:name w:val="УРОВЕНЬ_1."/>
    <w:basedOn w:val="ListParagraph"/>
    <w:link w:val="13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rsid w:val="004900e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2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8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 w:customStyle="1">
    <w:name w:val="Обычный2"/>
    <w:qFormat/>
    <w:rsid w:val="0000338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uiPriority w:val="99"/>
    <w:unhideWhenUsed/>
    <w:qFormat/>
    <w:rsid w:val="00003389"/>
    <w:pPr/>
    <w:rPr>
      <w:rFonts w:ascii="Calibri" w:hAnsi="Calibri" w:eastAsia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rsid w:val="00003389"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38" w:customStyle="1">
    <w:name w:val="Обычный3"/>
    <w:qFormat/>
    <w:rsid w:val="004900e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4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5957A-9ECA-46FA-85FE-6E5E03A34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2992</TotalTime>
  <Application>AlterOffice/3.4.0.9$Linux_X86_64 LibreOffice_project/b8daf9e823b1a5463a2f48435ddc2e8696e7d4fc</Application>
  <AppVersion>15.0000</AppVersion>
  <Pages>5</Pages>
  <Words>651</Words>
  <Characters>4659</Characters>
  <CharactersWithSpaces>5217</CharactersWithSpaces>
  <Paragraphs>112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2023-05-24T06:11:00Z</dcterms:created>
  <dc:creator>Кочетов Сергей Владимирович</dc:creator>
  <dc:description/>
  <dc:language>ru-RU</dc:language>
  <cp:lastModifiedBy>chernovolev@corp.gidroogk.com</cp:lastModifiedBy>
  <cp:lastPrinted>2025-08-28T09:13:00Z</cp:lastPrinted>
  <dcterms:modified xsi:type="dcterms:W3CDTF">2026-07-03T10:00:41Z</dcterms:modified>
  <cp:revision>221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