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189865</wp:posOffset>
                </wp:positionH>
                <wp:positionV relativeFrom="paragraph">
                  <wp:posOffset>1880235</wp:posOffset>
                </wp:positionV>
                <wp:extent cx="800100" cy="133350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14.95pt;margin-top:148.0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5">
                <wp:simplePos x="0" y="0"/>
                <wp:positionH relativeFrom="column">
                  <wp:posOffset>1264920</wp:posOffset>
                </wp:positionH>
                <wp:positionV relativeFrom="paragraph">
                  <wp:posOffset>2055495</wp:posOffset>
                </wp:positionV>
                <wp:extent cx="900430" cy="158115"/>
                <wp:effectExtent l="0" t="635" r="0" b="0"/>
                <wp:wrapNone/>
                <wp:docPr id="3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360" cy="158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99.6pt;margin-top:161.85pt;width:70.85pt;height:12.4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1266190</wp:posOffset>
                </wp:positionH>
                <wp:positionV relativeFrom="paragraph">
                  <wp:posOffset>1875155</wp:posOffset>
                </wp:positionV>
                <wp:extent cx="927100" cy="133350"/>
                <wp:effectExtent l="0" t="0" r="0" b="0"/>
                <wp:wrapNone/>
                <wp:docPr id="5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99.7pt;margin-top:147.6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column">
                  <wp:posOffset>294640</wp:posOffset>
                </wp:positionH>
                <wp:positionV relativeFrom="paragraph">
                  <wp:posOffset>2066290</wp:posOffset>
                </wp:positionV>
                <wp:extent cx="647700" cy="133350"/>
                <wp:effectExtent l="0" t="0" r="0" b="0"/>
                <wp:wrapNone/>
                <wp:docPr id="7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23.2pt;margin-top:162.7pt;width:50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inline distT="0" distB="0" distL="0" distR="0">
            <wp:extent cx="2476500" cy="2707005"/>
            <wp:effectExtent l="0" t="0" r="0" b="0"/>
            <wp:docPr id="9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right="3542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widowControl w:val="false"/>
        <w:spacing w:lineRule="auto" w:line="259" w:before="0" w:after="12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ru-RU"/>
        </w:rPr>
        <w:t xml:space="preserve">Запрос технико-коммерческих предложений в рамках  закупки на </w:t>
      </w:r>
    </w:p>
    <w:p>
      <w:pPr>
        <w:pStyle w:val="Normal"/>
        <w:widowControl w:val="false"/>
        <w:spacing w:lineRule="auto" w:line="259" w:before="0" w:after="12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ru-RU"/>
        </w:rPr>
        <w:t xml:space="preserve">ОКПД 2: 71.12.35.110 </w:t>
      </w: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ru-RU"/>
        </w:rPr>
        <w:t>В</w:t>
      </w: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ru-RU"/>
        </w:rPr>
        <w:t>ыполнени</w:t>
      </w: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ru-RU"/>
        </w:rPr>
        <w:t>е</w:t>
      </w: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ru-RU"/>
        </w:rPr>
        <w:t xml:space="preserve"> комплекса кадастровых работ  по разделению и объединению земельных участков, а также установлению сервитута на объекте «Строительство Якутской ГРЭС-2 (2-я очередь)» </w:t>
      </w:r>
    </w:p>
    <w:p>
      <w:pPr>
        <w:pStyle w:val="Normal"/>
        <w:widowControl w:val="false"/>
        <w:tabs>
          <w:tab w:val="clear" w:pos="708"/>
          <w:tab w:val="left" w:pos="851" w:leader="none"/>
        </w:tabs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 ПАО «РусГидро» (далее – Заказчик), в лице агента АО «УК ГидроОГК» сообщает о проведении анализа технико-коммерческих предложений потенциальных исполнителей, в рамках закупки на право заключения договора на «ОКПД 2: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71.12.35.110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В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ыполнени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е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 комплекса кадастровых работ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2"/>
          <w:sz w:val="28"/>
          <w:szCs w:val="28"/>
          <w:lang w:val="ru-RU" w:eastAsia="ru-RU" w:bidi="ar-SA"/>
        </w:rPr>
        <w:t>по разделению и объединению земельных участков, а также установлению сервитута на объекте «Строительство Якутской ГРЭС-2 (2-я очередь)»</w:t>
      </w:r>
      <w:r>
        <w:rPr>
          <w:rFonts w:eastAsia="Times New Roman" w:ascii="Times New Roman" w:hAnsi="Times New Roman"/>
          <w:b w:val="false"/>
          <w:bCs w:val="false"/>
          <w:sz w:val="28"/>
          <w:szCs w:val="28"/>
          <w:lang w:eastAsia="ru-RU"/>
        </w:rPr>
        <w:t>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</w:t>
        <w:tab/>
        <w:t xml:space="preserve">Подробные требования к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выполнению работ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(в том числе, сведения об объеме, месте, сроках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выполнения работ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) приведены в приложении 1 к настоящему запросу,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tabs>
          <w:tab w:val="clear" w:pos="708"/>
          <w:tab w:val="left" w:pos="284" w:leader="none"/>
        </w:tabs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3. </w:t>
      </w:r>
      <w:r>
        <w:rPr>
          <w:rFonts w:eastAsia="Times New Roman" w:ascii="Times New Roman" w:hAnsi="Times New Roman"/>
          <w:sz w:val="28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tabs>
          <w:tab w:val="clear" w:pos="708"/>
          <w:tab w:val="left" w:pos="284" w:leader="none"/>
        </w:tabs>
        <w:ind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4.</w:t>
      </w:r>
      <w:r>
        <w:rPr>
          <w:rFonts w:eastAsia="Times New Roman" w:ascii="Times New Roman" w:hAnsi="Times New Roman"/>
          <w:sz w:val="28"/>
          <w:szCs w:val="24"/>
          <w:lang w:eastAsia="ru-RU"/>
        </w:rPr>
        <w:t>Технико-коммерческое предложение должно быть оформлено на официальном бланке Поставщика по форме приложения 3 и заверено подписью уполномоченного лица, а также печатью организации (при наличии).</w:t>
      </w:r>
    </w:p>
    <w:p>
      <w:pPr>
        <w:pStyle w:val="Normal"/>
        <w:suppressAutoHyphens w:val="false"/>
        <w:snapToGrid w:val="false"/>
        <w:ind w:left="567" w:hanging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5. Срок подачи технико-коммерческих предложений: </w:t>
      </w:r>
    </w:p>
    <w:p>
      <w:pPr>
        <w:pStyle w:val="ListParagraph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Дата начала подачи: </w:t>
      </w:r>
    </w:p>
    <w:p>
      <w:pPr>
        <w:pStyle w:val="ListParagraph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«07» августа 2026 года</w:t>
      </w:r>
    </w:p>
    <w:p>
      <w:pPr>
        <w:pStyle w:val="ListParagraph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Дата и время окончания срока подачи:</w:t>
      </w:r>
    </w:p>
    <w:p>
      <w:pPr>
        <w:pStyle w:val="ListParagraph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«14» августа 2026 года до 09:00 (по московскому времени)</w:t>
      </w:r>
    </w:p>
    <w:p>
      <w:pPr>
        <w:pStyle w:val="Normal"/>
        <w:widowControl w:val="false"/>
        <w:ind w:left="113" w:right="113" w:firstLine="454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6. Мониторинг цен проводится в соответствии с правилами и с использованием функционала ЭТП АО «РАД», находящейся по адресу </w:t>
      </w:r>
      <w:hyperlink r:id="rId3">
        <w:r>
          <w:rPr>
            <w:rStyle w:val="Hyperlink"/>
            <w:rFonts w:eastAsia="Times New Roman" w:ascii="Times New Roman" w:hAnsi="Times New Roman"/>
            <w:sz w:val="28"/>
            <w:szCs w:val="28"/>
            <w:lang w:eastAsia="ru-RU"/>
          </w:rPr>
          <w:t>https://tender.lot-online.ru/</w:t>
        </w:r>
      </w:hyperlink>
    </w:p>
    <w:p>
      <w:pPr>
        <w:pStyle w:val="Normal"/>
        <w:widowControl w:val="false"/>
        <w:ind w:left="113" w:right="106"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ind w:left="113" w:right="106" w:firstLine="567"/>
        <w:jc w:val="both"/>
        <w:rPr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Приложения:</w:t>
      </w:r>
    </w:p>
    <w:p>
      <w:pPr>
        <w:pStyle w:val="Normal"/>
        <w:widowControl w:val="false"/>
        <w:ind w:left="113" w:right="106" w:firstLine="567"/>
        <w:jc w:val="both"/>
        <w:rPr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 Технические требования на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выполнение работ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(в том числе, сведения об объеме, месте, сроках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выполнения работ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);</w:t>
      </w:r>
    </w:p>
    <w:p>
      <w:pPr>
        <w:pStyle w:val="Normal"/>
        <w:widowControl w:val="false"/>
        <w:ind w:left="113" w:right="106" w:firstLine="567"/>
        <w:jc w:val="both"/>
        <w:rPr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Проект типового договора / Существенные условия договора (в том числе, условия оплаты и гарантийных обязательств);</w:t>
      </w:r>
    </w:p>
    <w:p>
      <w:pPr>
        <w:pStyle w:val="Normal"/>
        <w:widowControl w:val="false"/>
        <w:ind w:left="113" w:right="106" w:firstLine="567"/>
        <w:jc w:val="both"/>
        <w:rPr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Технико-коммерческое предложение (форма).</w:t>
      </w:r>
    </w:p>
    <w:p>
      <w:pPr>
        <w:pStyle w:val="Normal"/>
        <w:widowControl w:val="false"/>
        <w:ind w:left="113" w:right="106" w:firstLine="567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ind w:left="113" w:right="106" w:firstLine="567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rFonts w:ascii="Times New Roman" w:hAnsi="Times New Roman"/>
          <w:sz w:val="20"/>
        </w:rPr>
        <w:t>Исп. Ефремова Ю.Д.</w:t>
      </w:r>
    </w:p>
    <w:p>
      <w:pPr>
        <w:pStyle w:val="Normal"/>
        <w:spacing w:lineRule="auto" w:line="276"/>
        <w:jc w:val="both"/>
        <w:rPr>
          <w:sz w:val="20"/>
        </w:rPr>
      </w:pPr>
      <w:r>
        <w:rPr>
          <w:rFonts w:eastAsia="Times New Roman" w:ascii="Times New Roman" w:hAnsi="Times New Roman"/>
          <w:sz w:val="20"/>
          <w:lang w:eastAsia="ru-RU"/>
        </w:rPr>
        <w:t>+74951220555 (012-6609)</w:t>
      </w:r>
    </w:p>
    <w:sectPr>
      <w:type w:val="nextPage"/>
      <w:pgSz w:w="11906" w:h="16838"/>
      <w:pgMar w:left="1701" w:right="560" w:gutter="0" w:header="0" w:top="1021" w:footer="0" w:bottom="958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Pr/>
  </w:style>
  <w:style w:type="character" w:styleId="Style10" w:customStyle="1">
    <w:name w:val="Текст выноски Знак"/>
    <w:link w:val="BalloonText"/>
    <w:qFormat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11" w:customStyle="1">
    <w:name w:val="Таблица Знак"/>
    <w:basedOn w:val="DefaultParagraphFont"/>
    <w:link w:val="Style16"/>
    <w:qFormat/>
    <w:rPr>
      <w:rFonts w:ascii="Times New Roman" w:hAnsi="Times New Roman" w:eastAsia="Geneva"/>
      <w:sz w:val="24"/>
      <w:szCs w:val="28"/>
      <w:lang w:val="ru-RU" w:eastAsia="en-US"/>
    </w:rPr>
  </w:style>
  <w:style w:type="character" w:styleId="Style12" w:customStyle="1">
    <w:name w:val="Нижний колонтитул Знак"/>
    <w:basedOn w:val="DefaultParagraphFont"/>
    <w:qFormat/>
    <w:rPr>
      <w:rFonts w:ascii="Geneva CY" w:hAnsi="Geneva CY" w:eastAsia="Geneva"/>
      <w:sz w:val="24"/>
      <w:lang w:val="ru-RU" w:eastAsia="en-US"/>
    </w:rPr>
  </w:style>
  <w:style w:type="character" w:styleId="LineNumber">
    <w:name w:val="Line Number"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qFormat/>
    <w:pPr/>
    <w:rPr>
      <w:rFonts w:ascii="Lucida Grande" w:hAnsi="Lucida Grande"/>
      <w:sz w:val="18"/>
      <w:szCs w:val="18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qFormat/>
    <w:pPr>
      <w:spacing w:lineRule="auto" w:line="252" w:before="0" w:after="160"/>
      <w:ind w:left="720" w:hanging="0"/>
      <w:contextualSpacing/>
    </w:pPr>
    <w:rPr>
      <w:rFonts w:ascii="Cambria" w:hAnsi="Cambria" w:eastAsia="Cambria"/>
      <w:sz w:val="22"/>
      <w:szCs w:val="22"/>
    </w:rPr>
  </w:style>
  <w:style w:type="paragraph" w:styleId="Style16" w:customStyle="1">
    <w:name w:val="Таблица"/>
    <w:basedOn w:val="Normal"/>
    <w:link w:val="Style11"/>
    <w:qFormat/>
    <w:pPr>
      <w:spacing w:before="0" w:after="0"/>
      <w:ind w:firstLine="708"/>
      <w:contextualSpacing/>
      <w:jc w:val="both"/>
    </w:pPr>
    <w:rPr>
      <w:rFonts w:ascii="Times New Roman" w:hAnsi="Times New Roman"/>
      <w:szCs w:val="28"/>
    </w:rPr>
  </w:style>
  <w:style w:type="paragraph" w:styleId="Footer">
    <w:name w:val="Footer"/>
    <w:basedOn w:val="Normal"/>
    <w:link w:val="Style1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7" w:customStyle="1">
    <w:name w:val="Содержимое врезки"/>
    <w:basedOn w:val="Normal"/>
    <w:qFormat/>
    <w:pPr/>
    <w:rPr/>
  </w:style>
  <w:style w:type="paragraph" w:styleId="Style18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Application>AlterOffice/2025.3.1.0$Linux_X86_64 LibreOffice_project/431cd1b79110582f53535c95ed0a2449aadc8bf9</Application>
  <AppVersion>15.0000</AppVersion>
  <Pages>2</Pages>
  <Words>277</Words>
  <Characters>1899</Characters>
  <CharactersWithSpaces>2166</CharactersWithSpaces>
  <Paragraphs>19</Paragraphs>
  <Company>PJSC 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2022-09-23T05:34:00Z</dcterms:created>
  <dc:creator>AEV</dc:creator>
  <dc:description/>
  <dc:language>ru-RU</dc:language>
  <cp:lastModifiedBy>efremovayd@corp.gidroogk.com</cp:lastModifiedBy>
  <cp:lastPrinted>2025-08-08T17:19:00Z</cp:lastPrinted>
  <dcterms:modified xsi:type="dcterms:W3CDTF">2026-08-07T17:17:55Z</dcterms:modified>
  <cp:revision>107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