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jc w:val="left"/>
        <w:rPr/>
      </w:pPr>
      <w:r>
        <w:rPr/>
      </w:r>
    </w:p>
    <w:p>
      <w:pPr>
        <w:pStyle w:val="Normal"/>
        <w:keepNext w:val="false"/>
        <w:keepLines w:val="false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shd w:fill="auto" w:val="clear"/>
        </w:rPr>
        <w:t>Технические требования для договора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Times New Roman"/>
          <w:b/>
          <w:szCs w:val="24"/>
          <w:shd w:fill="auto" w:val="clear"/>
        </w:rPr>
        <w:t>«ОКПД2: 71.12.35.110. К</w:t>
      </w:r>
      <w:r>
        <w:rPr>
          <w:rFonts w:eastAsia="Times New Roman"/>
          <w:b/>
          <w:bCs/>
          <w:color w:val="000000"/>
          <w:sz w:val="28"/>
          <w:szCs w:val="24"/>
          <w:shd w:fill="auto" w:val="clear"/>
        </w:rPr>
        <w:t>омплекс кадастровых работ по разделению и объединению земельных участков, а также установлению сервитута на объекте «Строительство Якутской ГРЭС-2 (2-я очередь)»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bCs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СОДЕРЖАНИЕ</w:t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highlight w:val="none"/>
          <w:shd w:fill="auto" w:val="clear"/>
        </w:rPr>
      </w:pPr>
      <w:r>
        <w:rPr>
          <w:shd w:fill="auto" w:val="clear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spacing w:before="0" w:after="170"/>
            <w:rPr/>
          </w:pPr>
          <w:r>
            <w:fldChar w:fldCharType="begin"/>
          </w:r>
          <w:r>
            <w:rPr>
              <w:shd w:fill="auto" w:val="clear"/>
            </w:rPr>
            <w:instrText xml:space="preserve"> TOC \z \o "1-4" \u \h</w:instrText>
          </w:r>
          <w:r>
            <w:rPr>
              <w:shd w:fill="auto" w:val="clear"/>
            </w:rPr>
            <w:fldChar w:fldCharType="separate"/>
          </w:r>
          <w:r>
            <w:rPr>
              <w:shd w:fill="auto" w:val="clear"/>
            </w:rPr>
            <w:tab/>
            <w:t xml:space="preserve">1. </w:t>
          </w:r>
          <w:r>
            <w:rPr>
              <w:color w:val="000000"/>
              <w:shd w:fill="auto" w:val="clear"/>
            </w:rPr>
            <w:t>Общие сведения</w:t>
            <w:tab/>
            <w:t>3</w:t>
          </w:r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2" w:tgtFrame="#_Toc127186742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1.1.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3" w:tgtFrame="#_Toc127186743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1.2.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4" w:tgtFrame="#_Toc127186744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1.3.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Цель выполнения работ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7" w:tgtFrame="#_Toc1271867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rFonts w:eastAsia="Arial Unicode MS" w:cs="Calibri Light (Заголовки)"/>
                <w:b/>
                <w:bCs/>
                <w:vanish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2.Требования к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8" w:tgtFrame="#_Toc127186748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2.1.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объемам и срокам выполнен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</w:rPr>
              <w:t>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spacing w:before="0" w:after="170"/>
            <w:rPr/>
          </w:pPr>
          <w:r>
            <w:rPr>
              <w:rFonts w:eastAsia="Arial" w:cs="Times New Roman" w:eastAsiaTheme="minorEastAsia"/>
              <w:vanish w:val="false"/>
              <w:color w:val="000000"/>
              <w:shd w:fill="auto" w:val="clear"/>
            </w:rPr>
            <w:t xml:space="preserve">     </w:t>
          </w:r>
          <w:hyperlink w:anchor="_Toc127186749" w:tgtFrame="#_Toc127186749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2.1.1.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видам и объем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</w:rPr>
              <w:t>ам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170"/>
            <w:rPr/>
          </w:pPr>
          <w:hyperlink w:anchor="_Toc127186750" w:tgtFrame="#_Toc127186750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Таблица 2. Перечень и объем выполняемы</w:t>
            </w:r>
            <w:r>
              <w:rPr>
                <w:rStyle w:val="Style15"/>
                <w:rFonts w:eastAsia="Arial" w:cs="Times New Roman" w:eastAsiaTheme="minorEastAsia"/>
                <w:b/>
                <w:bCs/>
                <w:vanish w:val="false"/>
                <w:color w:val="000000"/>
                <w:sz w:val="24"/>
                <w:szCs w:val="24"/>
                <w:shd w:fill="auto" w:val="clear"/>
              </w:rPr>
              <w:t>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spacing w:before="0" w:after="170"/>
            <w:rPr/>
          </w:pPr>
          <w:r>
            <w:rPr>
              <w:rFonts w:eastAsia="Arial" w:cs="Times New Roman" w:eastAsiaTheme="minorEastAsia"/>
              <w:vanish w:val="false"/>
              <w:color w:val="000000"/>
              <w:shd w:fill="auto" w:val="clear"/>
            </w:rPr>
            <w:t xml:space="preserve">     </w:t>
          </w:r>
          <w:hyperlink w:anchor="_Toc127186751" w:tgtFrame="#_Toc127186751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2.1.2.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объемам  выполнени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</w:rPr>
              <w:t>я Р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  <w:lang w:val="en-US"/>
              </w:rPr>
              <w:t>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.....................................................................................................4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170"/>
            <w:rPr/>
          </w:pPr>
          <w:hyperlink w:anchor="_Toc127186752" w:tgtFrame="#_Toc127186752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Таблица 3. Требования по срокам выполнен</w:t>
            </w:r>
            <w:r>
              <w:rPr>
                <w:rStyle w:val="Style15"/>
                <w:rFonts w:eastAsia="Arial" w:cs="Times New Roman" w:eastAsiaTheme="minorEastAsia"/>
                <w:b/>
                <w:bCs/>
                <w:vanish w:val="false"/>
                <w:color w:val="000000"/>
                <w:sz w:val="24"/>
                <w:szCs w:val="24"/>
                <w:shd w:fill="auto" w:val="clear"/>
              </w:rPr>
              <w:t>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53" w:tgtFrame="#_Toc127186753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2.2.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срокам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170"/>
            <w:rPr/>
          </w:pPr>
          <w:hyperlink w:anchor="_Toc127186754" w:tgtFrame="#_Toc127186754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Таблица 4. Требования к качеств</w:t>
            </w:r>
            <w:r>
              <w:rPr>
                <w:rStyle w:val="Style15"/>
                <w:rFonts w:eastAsia="Arial" w:cs="Times New Roman" w:eastAsiaTheme="minorEastAsia"/>
                <w:b/>
                <w:bCs/>
                <w:vanish w:val="false"/>
                <w:color w:val="000000"/>
                <w:sz w:val="24"/>
                <w:szCs w:val="24"/>
                <w:shd w:fill="auto" w:val="clear"/>
              </w:rPr>
              <w:t>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spacing w:before="0" w:after="170"/>
            <w:rPr/>
          </w:pPr>
          <w:r>
            <w:rPr>
              <w:rFonts w:cs="Times New Roman"/>
              <w:vanish w:val="false"/>
              <w:color w:val="000000"/>
            </w:rPr>
            <w:tab/>
            <w:t>3</w:t>
          </w:r>
          <w:hyperlink w:anchor="_Toc127186747" w:tgtFrame="#_Toc127186747">
            <w:r>
              <w:rPr>
                <w:webHidden/>
                <w:rStyle w:val="Style15"/>
                <w:rFonts w:cs="Times New Roman"/>
                <w:vanish w:val="false"/>
                <w:color w:val="000000"/>
              </w:rPr>
              <w:t>.</w:t>
            </w:r>
            <w:r>
              <w:rPr>
                <w:rStyle w:val="Style15"/>
                <w:rFonts w:cs="Times New Roman"/>
                <w:b/>
                <w:iCs/>
                <w:vanish w:val="false"/>
                <w:color w:val="000000"/>
                <w:shd w:fill="auto" w:val="clear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color w:val="000000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0" w:after="170"/>
            <w:rPr/>
          </w:pPr>
          <w:r>
            <w:rPr>
              <w:rFonts w:eastAsia="Arial Unicode MS" w:cs="Times New Roman"/>
              <w:b/>
              <w:bCs/>
              <w:iCs/>
              <w:vanish w:val="false"/>
              <w:color w:val="000000"/>
              <w:kern w:val="0"/>
              <w:sz w:val="24"/>
              <w:szCs w:val="24"/>
              <w:shd w:fill="auto" w:val="clear"/>
              <w:lang w:val="ru-RU" w:eastAsia="ru-RU" w:bidi="ar-SA"/>
            </w:rPr>
            <w:tab/>
            <w:t>4</w:t>
          </w:r>
          <w:hyperlink w:anchor="_Toc127186747" w:tgtFrame="#_Toc1271867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rFonts w:eastAsia="Arial Unicode MS" w:cs="Times New Roman"/>
                <w:b/>
                <w:bCs/>
                <w:iCs/>
                <w:vanish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.Требования к документации по ценообразованию на этапе заключения (исполнения) договора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2"/>
            <w:numPr>
              <w:ilvl w:val="0"/>
            </w:numPr>
            <w:tabs>
              <w:tab w:val="clear" w:pos="0"/>
            </w:tabs>
            <w:ind w:left="0" w:hanging="0"/>
            <w:rPr>
              <w:b w:val="false"/>
              <w:i/>
              <w:i/>
              <w:highlight w:val="none"/>
              <w:shd w:fill="auto" w:val="clear"/>
            </w:rPr>
          </w:pPr>
          <w:r>
            <w:rPr>
              <w:b w:val="false"/>
              <w:i/>
              <w:shd w:fill="auto" w:val="clear"/>
            </w:rPr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i/>
              <w:i/>
              <w:sz w:val="24"/>
              <w:szCs w:val="24"/>
              <w:highlight w:val="none"/>
              <w:shd w:fill="auto" w:val="clear"/>
            </w:rPr>
          </w:pPr>
          <w:r>
            <w:rPr>
              <w:rFonts w:eastAsia="Calibri"/>
              <w:b/>
              <w:i/>
              <w:sz w:val="24"/>
              <w:szCs w:val="24"/>
              <w:shd w:fill="auto" w:val="clear"/>
            </w:rPr>
          </w:r>
          <w:r>
            <w:br w:type="page"/>
          </w:r>
        </w:p>
        <w:p>
          <w:pPr>
            <w:pStyle w:val="Heading1"/>
            <w:keepLines/>
            <w:numPr>
              <w:ilvl w:val="0"/>
              <w:numId w:val="3"/>
            </w:numPr>
            <w:ind w:left="357" w:hanging="357"/>
            <w:jc w:val="center"/>
            <w:rPr>
              <w:highlight w:val="none"/>
              <w:shd w:fill="auto" w:val="clear"/>
            </w:rPr>
          </w:pPr>
          <w:bookmarkStart w:id="0" w:name="undefined"/>
          <w:bookmarkEnd w:id="0"/>
          <w:r>
            <w:rPr>
              <w:rFonts w:eastAsia="Arial" w:eastAsiaTheme="minorEastAsia"/>
              <w:shd w:fill="auto" w:val="clear"/>
            </w:rPr>
            <w:t>Общие сведения</w:t>
          </w:r>
          <w:bookmarkStart w:id="1" w:name="undefined_Копия_1"/>
        </w:p>
        <w:p>
          <w:pPr>
            <w:pStyle w:val="Heading4"/>
            <w:numPr>
              <w:ilvl w:val="0"/>
            </w:numPr>
            <w:ind w:left="574" w:hanging="432"/>
            <w:rPr>
              <w:highlight w:val="none"/>
              <w:shd w:fill="auto" w:val="clear"/>
            </w:rPr>
          </w:pPr>
          <w:bookmarkEnd w:id="1"/>
          <w:r>
            <w:rPr>
              <w:rFonts w:eastAsia="Arial" w:eastAsiaTheme="minorEastAsia"/>
              <w:shd w:fill="auto" w:val="clear"/>
            </w:rPr>
            <w:t xml:space="preserve">1.1. </w:t>
          </w:r>
          <w:bookmarkStart w:id="2" w:name="undefined_Копия_2"/>
          <w:r>
            <w:rPr>
              <w:rFonts w:eastAsia="Arial" w:eastAsiaTheme="minorEastAsia"/>
              <w:shd w:fill="auto" w:val="clear"/>
            </w:rPr>
            <w:t>Обозначения и сокращения</w:t>
          </w:r>
          <w:bookmarkEnd w:id="2"/>
        </w:p>
        <w:p>
          <w:pPr>
            <w:pStyle w:val="Normal"/>
            <w:rPr>
              <w:bCs/>
              <w:iCs/>
              <w:sz w:val="26"/>
              <w:szCs w:val="26"/>
              <w:highlight w:val="none"/>
              <w:shd w:fill="auto" w:val="clear"/>
            </w:rPr>
          </w:pPr>
          <w:r>
            <w:rPr>
              <w:bCs/>
              <w:iCs/>
              <w:sz w:val="26"/>
              <w:szCs w:val="26"/>
              <w:shd w:fill="auto" w:val="clear"/>
            </w:rPr>
          </w:r>
        </w:p>
      </w:sdtContent>
    </w:sdt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ЕГРН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Единый государственный реестр недвижимости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ГРЭС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Государственная районная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ТКП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Технико-коммерческое предложение</w:t>
            </w:r>
          </w:p>
        </w:tc>
      </w:tr>
      <w:tr>
        <w:trPr>
          <w:trHeight w:val="7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Строительно-монтажные работы</w:t>
            </w:r>
          </w:p>
        </w:tc>
      </w:tr>
      <w:tr>
        <w:trPr>
          <w:trHeight w:val="7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КЖ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Конструкции железобетонные</w:t>
            </w:r>
          </w:p>
        </w:tc>
      </w:tr>
      <w:tr>
        <w:trPr>
          <w:trHeight w:val="7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КМ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Конструкции металлические</w:t>
            </w:r>
          </w:p>
        </w:tc>
      </w:tr>
    </w:tbl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Heading4"/>
        <w:numPr>
          <w:ilvl w:val="0"/>
        </w:numPr>
        <w:tabs>
          <w:tab w:val="clear" w:pos="0"/>
        </w:tabs>
        <w:ind w:left="142" w:hanging="0"/>
        <w:rPr>
          <w:highlight w:val="none"/>
          <w:shd w:fill="auto" w:val="clear"/>
        </w:rPr>
      </w:pPr>
      <w:r>
        <w:rPr>
          <w:shd w:fill="auto" w:val="clear"/>
        </w:rPr>
        <w:t xml:space="preserve">1.2. </w:t>
      </w:r>
      <w:bookmarkStart w:id="3" w:name="_Toc130996261"/>
      <w:r>
        <w:rPr>
          <w:shd w:fill="auto" w:val="clear"/>
        </w:rPr>
        <w:t>Наименование закупаемой продукции</w:t>
      </w:r>
      <w:bookmarkEnd w:id="3"/>
    </w:p>
    <w:p>
      <w:pPr>
        <w:pStyle w:val="Normal"/>
        <w:keepNext w:val="true"/>
        <w:keepLines/>
        <w:ind w:firstLine="567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</w:rPr>
        <w:t>«ОКПД2:</w:t>
      </w:r>
      <w:r>
        <w:rPr>
          <w:rFonts w:eastAsia="Times New Roman"/>
          <w:b/>
          <w:szCs w:val="24"/>
          <w:shd w:fill="auto" w:val="clear"/>
        </w:rPr>
        <w:t xml:space="preserve"> </w:t>
      </w:r>
      <w:r>
        <w:rPr>
          <w:rFonts w:eastAsia="Times New Roman"/>
          <w:sz w:val="24"/>
          <w:szCs w:val="24"/>
          <w:shd w:fill="auto" w:val="clear"/>
        </w:rPr>
        <w:t>71.12.35.110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. Комплекс кадастровых работ по разделению и объединению земельных участков, а также установлению сервитута на объекте </w:t>
      </w:r>
      <w:r>
        <w:rPr>
          <w:rFonts w:eastAsia="Times New Roman" w:cs="Times New Roman"/>
          <w:bCs/>
          <w:color w:val="000000"/>
          <w:sz w:val="24"/>
          <w:szCs w:val="24"/>
          <w:shd w:fill="auto" w:val="clear"/>
        </w:rPr>
        <w:t>«Строительство Якутской ГРЭС-2 (2-я очередь)»</w:t>
      </w:r>
      <w:r>
        <w:rPr>
          <w:rFonts w:eastAsia="Calibri"/>
          <w:sz w:val="24"/>
          <w:szCs w:val="24"/>
          <w:shd w:fill="auto" w:val="clear"/>
          <w:lang w:eastAsia="en-US"/>
        </w:rPr>
        <w:t>.</w:t>
      </w:r>
    </w:p>
    <w:p>
      <w:pPr>
        <w:pStyle w:val="Normal"/>
        <w:keepNext w:val="true"/>
        <w:keepLines/>
        <w:ind w:firstLine="567"/>
        <w:jc w:val="both"/>
        <w:rPr>
          <w:rFonts w:eastAsia="Calibri"/>
          <w:b/>
          <w:bCs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bCs/>
          <w:sz w:val="24"/>
          <w:szCs w:val="24"/>
          <w:shd w:fill="auto" w:val="clear"/>
        </w:rPr>
      </w:r>
    </w:p>
    <w:p>
      <w:pPr>
        <w:pStyle w:val="Heading4"/>
        <w:numPr>
          <w:ilvl w:val="0"/>
        </w:numPr>
        <w:tabs>
          <w:tab w:val="clear" w:pos="0"/>
        </w:tabs>
        <w:spacing w:before="240" w:after="60"/>
        <w:ind w:left="142" w:hanging="0"/>
        <w:rPr>
          <w:highlight w:val="none"/>
          <w:shd w:fill="auto" w:val="clear"/>
        </w:rPr>
      </w:pPr>
      <w:r>
        <w:rPr>
          <w:rFonts w:eastAsia="Arial" w:eastAsiaTheme="minorEastAsia"/>
          <w:shd w:fill="auto" w:val="clear"/>
        </w:rPr>
        <w:t xml:space="preserve">1.3. </w:t>
      </w:r>
      <w:bookmarkStart w:id="4" w:name="undefined_Копия_3"/>
      <w:bookmarkEnd w:id="4"/>
      <w:r>
        <w:rPr>
          <w:rFonts w:eastAsia="Arial" w:eastAsiaTheme="minorEastAsia"/>
          <w:shd w:fill="auto" w:val="clear"/>
        </w:rPr>
        <w:t xml:space="preserve">Цель выполнения </w:t>
      </w:r>
      <w:r>
        <w:rPr>
          <w:rFonts w:eastAsia="Arial" w:eastAsiaTheme="minorEastAsia"/>
          <w:shd w:fill="auto" w:val="clear"/>
          <w:lang w:val="en-US"/>
        </w:rPr>
        <w:t>Работ</w:t>
      </w:r>
      <w:r>
        <w:rPr>
          <w:rFonts w:eastAsia="Arial" w:eastAsiaTheme="minorEastAsia"/>
          <w:shd w:fill="auto" w:val="clear"/>
        </w:rPr>
        <w:t xml:space="preserve"> 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eastAsia="Arial" w:eastAsiaTheme="minorEastAsia"/>
          <w:sz w:val="24"/>
          <w:szCs w:val="24"/>
          <w:shd w:fill="auto" w:val="clear"/>
        </w:rPr>
        <w:t xml:space="preserve">Проведение 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кадастровых работ по разделению и объединению земельных участков, а также установлению сервитута на объекте </w:t>
      </w:r>
      <w:r>
        <w:rPr>
          <w:rFonts w:eastAsia="Times New Roman" w:cs="Times New Roman"/>
          <w:bCs/>
          <w:color w:val="000000"/>
          <w:sz w:val="24"/>
          <w:szCs w:val="24"/>
          <w:shd w:fill="auto" w:val="clear"/>
        </w:rPr>
        <w:t>«Строительство Якутской ГРЭС-2 (2-я очередь)»</w:t>
      </w:r>
      <w:r>
        <w:rPr>
          <w:rFonts w:eastAsia="Calibri" w:cs="Times New Roman"/>
          <w:sz w:val="24"/>
          <w:szCs w:val="24"/>
          <w:shd w:fill="auto" w:val="clear"/>
          <w:lang w:eastAsia="en-US"/>
        </w:rPr>
        <w:t>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highlight w:val="none"/>
          <w:shd w:fill="auto" w:val="clear"/>
        </w:rPr>
      </w:pPr>
      <w:bookmarkStart w:id="5" w:name="_Toc51339693"/>
      <w:bookmarkStart w:id="6" w:name="_Toc130996264"/>
      <w:r>
        <w:rPr>
          <w:iCs/>
          <w:shd w:fill="auto" w:val="clear"/>
        </w:rPr>
        <w:t>Требования к продукции</w:t>
      </w:r>
      <w:bookmarkEnd w:id="5"/>
      <w:bookmarkEnd w:id="6"/>
    </w:p>
    <w:p>
      <w:pPr>
        <w:pStyle w:val="Normal"/>
        <w:tabs>
          <w:tab w:val="clear" w:pos="708"/>
          <w:tab w:val="left" w:pos="686" w:leader="none"/>
        </w:tabs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</w:rPr>
        <w:t>Работы выполняются с учетом требований нормативно-технических и нормативно-правовых документов (актов) в том числе: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rFonts w:cs="Times New Roman"/>
          <w:shd w:fill="auto" w:val="clear"/>
        </w:rPr>
        <w:t xml:space="preserve"> </w:t>
      </w:r>
      <w:r>
        <w:rPr>
          <w:rFonts w:cs="Times New Roman"/>
          <w:bCs/>
          <w:shd w:fill="auto" w:val="clear"/>
        </w:rPr>
        <w:t>«</w:t>
      </w:r>
      <w:r>
        <w:rPr>
          <w:rFonts w:cs="Times New Roman"/>
          <w:shd w:fill="auto" w:val="clear"/>
        </w:rPr>
        <w:t xml:space="preserve">СП 317.1325800.2017. </w:t>
      </w:r>
      <w:r>
        <w:rPr>
          <w:rFonts w:eastAsia="Arial Unicode MS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rFonts w:cs="Times New Roman"/>
          <w:shd w:fill="auto" w:val="clear"/>
        </w:rPr>
        <w:t>Инженерно-геодезические изыскания для строительства. Общие правила производства работ</w:t>
      </w:r>
      <w:r>
        <w:rPr>
          <w:rFonts w:cs="Times New Roman"/>
          <w:bCs/>
          <w:shd w:fill="auto" w:val="clear"/>
        </w:rPr>
        <w:t>»</w:t>
      </w:r>
      <w:r>
        <w:rPr>
          <w:rFonts w:cs="Times New Roman"/>
          <w:shd w:fill="auto" w:val="clear"/>
        </w:rPr>
        <w:t xml:space="preserve"> (утвержден Приказом Министерства строительства и жилищно-коммунального хозяйства Российской Федерации).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Федеральный закон от 13.07.2015 N 218-ФЗ (ред. от 28.12.2025)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 государственной регистрации недвижимости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(с изм. и доп., вступ. в силу с 08.01.2026).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Приказ Росреестра от 04.03.2022 N П/0072 (ред. от 01.04.2024)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Об утверждении формы декларации об объекте недвижимости, требований к ее подготовке, состава содержащихся в ней сведений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(Зарегистрировано в Минюсте России 04.04.2022 N 68048).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Приказ Росреестра от 24.05.2021 N П/0217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Об установлении формы и состава сведений акта обследования, а также требований к его подготовке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(Зарегистрировано в Минюсте России 09.09.2021 N 64961).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Приказ Росреестра от 15.03.2022 N П/0082 (ред. о</w:t>
      </w:r>
      <w:r>
        <w:rPr>
          <w:rFonts w:eastAsia="Arial Unicode MS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т 24.07.2025) </w:t>
      </w:r>
      <w:r>
        <w:rPr>
          <w:shd w:fill="auto" w:val="clear"/>
        </w:rPr>
        <w:t xml:space="preserve">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Об установлении формы технического плана, требований к его подготовке и состава содержащихся в нем сведений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(Зарегистрировано в Минюсте России от 04.04.2022 N 68051).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4"/>
        <w:numPr>
          <w:ilvl w:val="0"/>
          <w:numId w:val="0"/>
        </w:numPr>
        <w:ind w:left="142" w:hanging="0"/>
        <w:rPr>
          <w:highlight w:val="none"/>
          <w:shd w:fill="auto" w:val="clear"/>
        </w:rPr>
      </w:pPr>
      <w:r>
        <w:rPr>
          <w:shd w:fill="auto" w:val="clear"/>
        </w:rPr>
        <w:t>2.1. Требования к объемам и срокам выполнения Работ</w:t>
      </w:r>
    </w:p>
    <w:p>
      <w:pPr>
        <w:pStyle w:val="Heading3"/>
        <w:numPr>
          <w:ilvl w:val="0"/>
          <w:numId w:val="0"/>
        </w:numPr>
        <w:ind w:left="644" w:hanging="0"/>
        <w:rPr>
          <w:highlight w:val="none"/>
          <w:shd w:fill="auto" w:val="clear"/>
        </w:rPr>
      </w:pPr>
      <w:r>
        <w:rPr>
          <w:shd w:fill="auto" w:val="clear"/>
        </w:rPr>
        <w:t>2.1.1. Требования к перечню и объему Работ</w:t>
      </w:r>
    </w:p>
    <w:p>
      <w:pPr>
        <w:pStyle w:val="Heading3"/>
        <w:numPr>
          <w:ilvl w:val="0"/>
          <w:numId w:val="0"/>
        </w:numPr>
        <w:ind w:left="0" w:hanging="0"/>
        <w:rPr>
          <w:highlight w:val="none"/>
          <w:shd w:fill="auto" w:val="clear"/>
        </w:rPr>
      </w:pPr>
      <w:r>
        <w:rPr>
          <w:shd w:fill="auto" w:val="clear"/>
        </w:rPr>
        <w:t xml:space="preserve">  </w:t>
      </w:r>
      <w:bookmarkStart w:id="7" w:name="_Toc51339698"/>
      <w:bookmarkStart w:id="8" w:name="_Toc50125131"/>
      <w:bookmarkStart w:id="9" w:name="_Toc46743511"/>
      <w:bookmarkStart w:id="10" w:name="_Toc51339695"/>
      <w:r>
        <w:rPr>
          <w:shd w:fill="auto" w:val="clear"/>
        </w:rPr>
        <w:t xml:space="preserve">Таблица 2. Перечень </w:t>
      </w:r>
      <w:bookmarkEnd w:id="10"/>
      <w:r>
        <w:rPr>
          <w:shd w:fill="auto" w:val="clear"/>
        </w:rPr>
        <w:t xml:space="preserve">и объем выполняемых </w:t>
      </w:r>
      <w:r>
        <w:rPr>
          <w:shd w:fill="auto" w:val="clear"/>
          <w:lang w:val="en-US"/>
        </w:rPr>
        <w:t>Работ</w:t>
      </w:r>
    </w:p>
    <w:tbl>
      <w:tblPr>
        <w:tblW w:w="98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81"/>
        <w:gridCol w:w="4717"/>
        <w:gridCol w:w="1995"/>
        <w:gridCol w:w="2116"/>
      </w:tblGrid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работ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</w:t>
            </w:r>
          </w:p>
        </w:tc>
      </w:tr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«ОКПД2: </w:t>
            </w:r>
            <w:r>
              <w:rPr>
                <w:rFonts w:eastAsia="Times New Roman"/>
                <w:sz w:val="24"/>
                <w:szCs w:val="24"/>
                <w:shd w:fill="auto" w:val="clear"/>
              </w:rPr>
              <w:t>71.12.35.110</w:t>
            </w: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. Комплекс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en-US"/>
              </w:rPr>
              <w:t xml:space="preserve">кадастровых работ по разделению и объединению земельных участков, а также установлению сервитута на объекте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shd w:fill="auto" w:val="clear"/>
                <w:lang w:val="ru-RU" w:eastAsia="en-US"/>
              </w:rPr>
              <w:t>«Строительство Якутской ГРЭС-2 (2-я очередь)»</w:t>
            </w:r>
            <w:r>
              <w:rPr>
                <w:rFonts w:eastAsia="Calibri" w:cs="Times New Roman"/>
                <w:color w:val="000000"/>
                <w:sz w:val="24"/>
                <w:szCs w:val="24"/>
                <w:shd w:fill="auto" w:val="clear"/>
                <w:lang w:val="ru-RU" w:eastAsia="en-US"/>
              </w:rPr>
              <w:t>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firstLine="567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firstLine="567"/>
              <w:jc w:val="both"/>
              <w:rPr>
                <w:rFonts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ind w:hanging="116"/>
              <w:jc w:val="left"/>
              <w:rPr/>
            </w:pP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  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>Новые земельные участки после разделения и объединения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>4*</w:t>
            </w:r>
          </w:p>
        </w:tc>
      </w:tr>
      <w:tr>
        <w:trPr>
          <w:trHeight w:val="368" w:hRule="atLeast"/>
        </w:trPr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 w:eastAsia="Calibri" w:cs="Arial Unicode MS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Calibri" w:cs="Arial Unicode MS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2.</w:t>
            </w:r>
          </w:p>
        </w:tc>
        <w:tc>
          <w:tcPr>
            <w:tcW w:w="4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ind w:hanging="116"/>
              <w:jc w:val="left"/>
              <w:rPr>
                <w:rFonts w:ascii="Times New Roman" w:hAnsi="Times New Roman" w:eastAsia="Calibri" w:cs="Arial Unicode MS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Calibri" w:cs="Arial Unicode MS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 </w:t>
            </w:r>
            <w:r>
              <w:rPr>
                <w:rFonts w:eastAsia="Calibri" w:cs="Arial Unicode MS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Сервитут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hanging="0"/>
              <w:jc w:val="center"/>
              <w:rPr>
                <w:rFonts w:ascii="Times New Roman" w:hAnsi="Times New Roman" w:eastAsia="Calibri" w:cs="Arial Unicode MS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Calibri" w:cs="Arial Unicode MS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hanging="0"/>
              <w:jc w:val="center"/>
              <w:rPr>
                <w:rFonts w:ascii="Times New Roman" w:hAnsi="Times New Roman" w:eastAsia="Calibri" w:cs="Arial Unicode MS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Calibri" w:cs="Arial Unicode MS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1*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2"/>
        <w:rPr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  <w:t>* Перечень и состав объектов может изменяться заказчиком, как в большую, так и в меньшую сторону. Ориентировочный перечень указан в Приложении 1 к настоящим Техническим требованиям.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568" w:hanging="0"/>
        <w:outlineLvl w:val="2"/>
        <w:rPr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  <w:t>2.1.2.</w:t>
      </w:r>
      <w:bookmarkStart w:id="11" w:name="_Toc51339696"/>
      <w:r>
        <w:rPr>
          <w:rFonts w:eastAsia="Calibri"/>
          <w:b/>
          <w:sz w:val="24"/>
          <w:szCs w:val="24"/>
          <w:shd w:fill="auto" w:val="clear"/>
        </w:rPr>
        <w:t xml:space="preserve"> Требования </w:t>
      </w:r>
      <w:bookmarkEnd w:id="11"/>
      <w:r>
        <w:rPr>
          <w:rFonts w:eastAsia="Calibri"/>
          <w:b/>
          <w:sz w:val="24"/>
          <w:szCs w:val="24"/>
          <w:shd w:fill="auto" w:val="clear"/>
        </w:rPr>
        <w:t xml:space="preserve">к срокам выполняемых </w:t>
      </w:r>
      <w:r>
        <w:rPr>
          <w:rFonts w:eastAsia="Calibri"/>
          <w:b/>
          <w:sz w:val="24"/>
          <w:szCs w:val="24"/>
          <w:shd w:fill="auto" w:val="clear"/>
          <w:lang w:val="en-US"/>
        </w:rPr>
        <w:t>Работ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firstLine="142"/>
        <w:outlineLvl w:val="0"/>
        <w:rPr>
          <w:highlight w:val="none"/>
          <w:shd w:fill="auto" w:val="clear"/>
        </w:rPr>
      </w:pPr>
      <w:bookmarkStart w:id="12" w:name="_Toc130996269"/>
      <w:bookmarkStart w:id="13" w:name="_Toc50125127"/>
      <w:bookmarkStart w:id="14" w:name="_Toc51339697"/>
      <w:r>
        <w:rPr>
          <w:rFonts w:eastAsia="Calibri"/>
          <w:b/>
          <w:sz w:val="24"/>
          <w:szCs w:val="24"/>
          <w:shd w:fill="auto" w:val="clear"/>
        </w:rPr>
        <w:t xml:space="preserve">Таблица 3. </w:t>
      </w:r>
      <w:bookmarkStart w:id="15" w:name="_Hlk50465284"/>
      <w:r>
        <w:rPr>
          <w:rFonts w:eastAsia="Calibri"/>
          <w:b/>
          <w:sz w:val="24"/>
          <w:szCs w:val="24"/>
          <w:shd w:fill="auto" w:val="clear"/>
        </w:rPr>
        <w:t xml:space="preserve">Требования к срокам </w:t>
      </w:r>
      <w:bookmarkEnd w:id="13"/>
      <w:bookmarkEnd w:id="14"/>
      <w:bookmarkEnd w:id="15"/>
      <w:r>
        <w:rPr>
          <w:rFonts w:eastAsia="Calibri"/>
          <w:b/>
          <w:sz w:val="24"/>
          <w:szCs w:val="24"/>
          <w:shd w:fill="auto" w:val="clear"/>
        </w:rPr>
        <w:t xml:space="preserve">выполняемых </w:t>
      </w:r>
      <w:bookmarkEnd w:id="12"/>
      <w:r>
        <w:rPr>
          <w:rFonts w:eastAsia="Calibri"/>
          <w:b/>
          <w:sz w:val="24"/>
          <w:szCs w:val="24"/>
          <w:shd w:fill="auto" w:val="clear"/>
          <w:lang w:val="en-US"/>
        </w:rPr>
        <w:t>Работ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"/>
        <w:gridCol w:w="4685"/>
        <w:gridCol w:w="1979"/>
        <w:gridCol w:w="2123"/>
      </w:tblGrid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№ </w:t>
            </w: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Наименование </w:t>
            </w:r>
            <w:r>
              <w:rPr>
                <w:sz w:val="24"/>
                <w:szCs w:val="24"/>
                <w:shd w:fill="auto" w:val="clear"/>
                <w:lang w:val="en-US"/>
              </w:rPr>
              <w:t>Работ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Требования к началу срока выполнения Работ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Требования к окончанию срока выполнения Работ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«ОКПД2: </w:t>
            </w:r>
            <w:r>
              <w:rPr>
                <w:rFonts w:eastAsia="Times New Roman"/>
                <w:sz w:val="24"/>
                <w:szCs w:val="24"/>
                <w:shd w:fill="auto" w:val="clear"/>
              </w:rPr>
              <w:t>71.12.35.110</w:t>
            </w: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. Комплекс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en-US"/>
              </w:rPr>
              <w:t xml:space="preserve">кадастровых работ по разделению и объединению земельных участков, а также установлению сервитута на объекте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shd w:fill="auto" w:val="clear"/>
                <w:lang w:val="ru-RU" w:eastAsia="en-US"/>
              </w:rPr>
              <w:t>«Строительство Якутской ГРЭС-2 (2-я очередь)»</w:t>
            </w:r>
            <w:r>
              <w:rPr>
                <w:rFonts w:eastAsia="Calibri" w:cs="Times New Roman"/>
                <w:color w:val="000000"/>
                <w:sz w:val="24"/>
                <w:szCs w:val="24"/>
                <w:shd w:fill="auto" w:val="clear"/>
                <w:lang w:val="ru-RU" w:eastAsia="en-US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 даты заключения Договора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не позднее 31.12.2026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32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644" w:hanging="0"/>
        <w:rPr/>
      </w:pPr>
      <w:r>
        <w:rPr>
          <w:shd w:fill="auto" w:val="clear"/>
        </w:rPr>
        <w:t xml:space="preserve">2.2. Требования к </w:t>
      </w:r>
      <w:bookmarkEnd w:id="9"/>
      <w:r>
        <w:rPr>
          <w:shd w:fill="auto" w:val="clear"/>
        </w:rPr>
        <w:t>качеств</w:t>
      </w:r>
      <w:r>
        <w:rPr>
          <w:rFonts w:eastAsia="Calibri"/>
          <w:b/>
          <w:bCs/>
          <w:sz w:val="24"/>
          <w:szCs w:val="24"/>
          <w:shd w:fill="auto" w:val="clear"/>
        </w:rPr>
        <w:t>у Работ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r>
        <w:rPr>
          <w:sz w:val="24"/>
          <w:szCs w:val="24"/>
          <w:shd w:fill="auto" w:val="clear"/>
        </w:rPr>
        <w:t xml:space="preserve">Таблица 4. Требования к </w:t>
      </w:r>
      <w:bookmarkEnd w:id="7"/>
      <w:bookmarkEnd w:id="8"/>
      <w:r>
        <w:rPr>
          <w:sz w:val="24"/>
          <w:szCs w:val="24"/>
          <w:shd w:fill="auto" w:val="clear"/>
        </w:rPr>
        <w:t xml:space="preserve">качеству </w:t>
      </w:r>
      <w:r>
        <w:rPr>
          <w:rFonts w:eastAsia="Calibri"/>
          <w:b/>
          <w:sz w:val="24"/>
          <w:szCs w:val="24"/>
          <w:shd w:fill="auto" w:val="clear"/>
        </w:rPr>
        <w:t>Работ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keepNext w:val="true"/>
        <w:keepLines/>
        <w:ind w:right="397" w:firstLine="567"/>
        <w:jc w:val="both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 xml:space="preserve">Наименование Работ: 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«ОКПД2: </w:t>
      </w:r>
      <w:r>
        <w:rPr>
          <w:rFonts w:eastAsia="Times New Roman"/>
          <w:sz w:val="24"/>
          <w:szCs w:val="24"/>
          <w:shd w:fill="auto" w:val="clear"/>
        </w:rPr>
        <w:t>71.12.35.110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. Комплекс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en-US"/>
        </w:rPr>
        <w:t xml:space="preserve">кадастровых работ по разделению и объединению земельных участков, а также установлению сервитута на объекте </w:t>
      </w:r>
      <w:r>
        <w:rPr>
          <w:rFonts w:eastAsia="Times New Roman" w:cs="Times New Roman"/>
          <w:bCs/>
          <w:color w:val="000000"/>
          <w:sz w:val="24"/>
          <w:szCs w:val="24"/>
          <w:shd w:fill="auto" w:val="clear"/>
          <w:lang w:val="ru-RU" w:eastAsia="en-US"/>
        </w:rPr>
        <w:t>«Строительство Якутской ГРЭС-2 (2-я очередь)»</w:t>
      </w:r>
      <w:r>
        <w:rPr>
          <w:rFonts w:eastAsia="Calibri" w:cs="Times New Roman"/>
          <w:color w:val="000000"/>
          <w:sz w:val="24"/>
          <w:szCs w:val="24"/>
          <w:shd w:fill="auto" w:val="clear"/>
          <w:lang w:val="ru-RU" w:eastAsia="en-US"/>
        </w:rPr>
        <w:t>.</w:t>
      </w:r>
    </w:p>
    <w:p>
      <w:pPr>
        <w:pStyle w:val="Normal"/>
        <w:keepNext w:val="true"/>
        <w:keepLines/>
        <w:ind w:right="397" w:firstLine="567"/>
        <w:jc w:val="both"/>
        <w:rPr>
          <w:rFonts w:eastAsia="Calibri"/>
          <w:b/>
          <w:bCs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bCs/>
          <w:sz w:val="24"/>
          <w:szCs w:val="24"/>
          <w:shd w:fill="auto" w:val="clear"/>
        </w:rPr>
      </w:r>
    </w:p>
    <w:tbl>
      <w:tblPr>
        <w:tblW w:w="148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7"/>
        <w:gridCol w:w="3974"/>
        <w:gridCol w:w="2267"/>
        <w:gridCol w:w="3260"/>
        <w:gridCol w:w="2265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 xml:space="preserve">№ </w:t>
            </w:r>
            <w:r>
              <w:rPr>
                <w:b/>
                <w:bCs/>
                <w:sz w:val="22"/>
                <w:szCs w:val="22"/>
                <w:shd w:fill="auto" w:val="clear"/>
              </w:rPr>
              <w:t>п/п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Наименование параметра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Требование заказчика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Способ подтверждения участником соответствия требованиям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3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Согласие с требованием/ указание характеристик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16" w:name="_Toc53499667"/>
            <w:r>
              <w:rPr>
                <w:b/>
                <w:bCs/>
                <w:sz w:val="22"/>
                <w:szCs w:val="22"/>
                <w:shd w:fill="auto" w:val="clear"/>
              </w:rPr>
              <w:t>1</w:t>
            </w:r>
            <w:bookmarkEnd w:id="16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выполнению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Общие требования к выполнению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Соблюдение требований по охране труда, пожарной безопасности, правила пропускного и внутриобъектового режима на территории проведения Работ. Соблюдение требований Федерального закона от 24.07.2007 № 221-ФЗ.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применяемым при выполнении Работ оборудованию и материалам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Требования к применяемым при выполнении Работ средствам измерения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Использование при выполнении Работ исправных и поверенных приборов/ средств измерений/оборудования.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персоналу исполнителя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Юридический статус исполнителя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Исполнителем может быть юридическое или физическое лицо, зарегистрированное в качестве индивидуального предпринимателя) п.1 ст.31 Федеральный закон от 24.07.2007 N 221-ФЗ (ред. от 31.07.2025) "О кадастровой деятельности" (с изм. и доп., вступ. в силу с 01.01.2026).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Квалификация персонала исполнителя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Наличие у Участника квалифицированного персонала, привлекаемого к оказанию Работ в соответствии с требованиями ст. 29, 32,33 Федеральный закон от 24.07.2007 N 221-ФЗ (ред. от 31.07.2025) "О кадастровой деятельности" (с изм. и доп., вступ. в силу с 01.01.2026).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Требования к наличию персонала на объекте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Обеспечить</w:t>
            </w:r>
            <w:bookmarkStart w:id="17" w:name="_GoBack"/>
            <w:bookmarkEnd w:id="17"/>
            <w:r>
              <w:rPr>
                <w:sz w:val="22"/>
                <w:szCs w:val="22"/>
                <w:shd w:fill="auto" w:val="clear"/>
              </w:rPr>
              <w:t xml:space="preserve"> присутствие на объекте представителя Подрядчика (кадастрового инженера) на площадке строительства для съемки земельных участков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  <w:lang w:val="en-US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  <w:lang w:val="en-US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 xml:space="preserve">Требования к результатам </w:t>
            </w:r>
            <w:r>
              <w:rPr>
                <w:b/>
                <w:bCs/>
                <w:sz w:val="22"/>
                <w:szCs w:val="22"/>
                <w:shd w:fill="auto" w:val="clear"/>
                <w:lang w:val="en-US"/>
              </w:rPr>
              <w:t>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Общие требования к результатам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Результат оказания Работ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sz w:val="22"/>
                <w:szCs w:val="22"/>
                <w:shd w:fill="auto" w:val="clear"/>
                <w:lang w:val="ru-RU"/>
              </w:rPr>
              <w:t>Проведение кадастровых работ с выделением земельного участка под объект «Главный корпус» в отдельный участок путем разделения и объединения существующих земельных участко</w:t>
            </w:r>
            <w:r>
              <w:rPr>
                <w:rFonts w:eastAsia="Arial Unicode MS" w:cs="Arial Unicode MS"/>
                <w:bCs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в. Установление сервитута под объекты «Эстакада технологических трубопроводов. Участок №4», «Кабельная эстакада. Участок №3», «Кабельная эстакада. Участок №4»; «Насосная станция производственно-противопожарного водоснабжения с баками запаса воды» и других объектов строительства частично расположенных на земельном участке существующей Пиковой водогрейной котельной на территории Якутской ГРЭС. ГПЗУ и выписки из ЕГРН, подтверждающие</w:t>
            </w:r>
            <w:r>
              <w:rPr>
                <w:bCs/>
                <w:sz w:val="22"/>
                <w:szCs w:val="22"/>
                <w:shd w:fill="auto" w:val="clear"/>
                <w:lang w:val="ru-RU"/>
              </w:rPr>
              <w:t xml:space="preserve"> право собственности Заказчика на земельные участки, а также подтверждающие установление сервитута по результатам проведенных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highlight w:val="none"/>
                <w:shd w:fill="auto" w:val="clear"/>
              </w:rPr>
            </w:pPr>
            <w:bookmarkStart w:id="18" w:name="_Toc130996274"/>
            <w:r>
              <w:rPr>
                <w:rFonts w:eastAsia="Times New Roman"/>
                <w:b w:val="false"/>
                <w:sz w:val="22"/>
                <w:szCs w:val="22"/>
                <w:shd w:fill="auto" w:val="clear"/>
              </w:rPr>
              <w:t>Электронный носитель (диск), бумажные экземпляры</w:t>
            </w:r>
            <w:bookmarkEnd w:id="18"/>
            <w:r>
              <w:rPr>
                <w:rFonts w:eastAsia="Times New Roman"/>
                <w:b w:val="false"/>
                <w:sz w:val="22"/>
                <w:szCs w:val="22"/>
                <w:shd w:fill="auto" w:val="clear"/>
              </w:rPr>
              <w:t xml:space="preserve"> 2 ед. на каждый объект.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документации, описывающей результат оказания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Изготовление документации соответствующей требованиям </w:t>
            </w:r>
            <w:r>
              <w:rPr>
                <w:rFonts w:eastAsia="Times New Roman" w:cs="Times New Roman"/>
                <w:sz w:val="20"/>
                <w:szCs w:val="20"/>
                <w:shd w:fill="auto" w:val="clear"/>
              </w:rPr>
              <w:t>нормативно-технических и нормативно-правовых документов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Кадастровые планы земельных участков, указанных в перечне (Приложение 1 к настоящим Техническим требования), </w:t>
            </w:r>
            <w:r>
              <w:rPr>
                <w:sz w:val="22"/>
                <w:szCs w:val="22"/>
                <w:shd w:fill="auto" w:val="clear"/>
              </w:rPr>
              <w:t>в электронном и бумажном виде.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rFonts w:eastAsia="Arial"/>
          <w:shd w:fill="auto" w:val="clear"/>
        </w:rPr>
        <w:t xml:space="preserve">                                                                           </w:t>
      </w:r>
      <w:r>
        <w:rPr>
          <w:shd w:fill="auto" w:val="clear"/>
          <w:rFonts w:eastAsia="Arial"/>
        </w:rPr>
        <w:fldChar w:fldCharType="end"/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b/>
          <w:shd w:fill="auto" w:val="clear"/>
        </w:rPr>
        <w:t>3.</w:t>
      </w:r>
      <w:r>
        <w:rPr>
          <w:shd w:fill="auto" w:val="clear"/>
        </w:rPr>
        <w:t xml:space="preserve"> </w:t>
      </w:r>
      <w:r>
        <w:rPr>
          <w:b/>
          <w:shd w:fill="auto" w:val="clear"/>
        </w:rPr>
        <w:t>Требования к документации по ценообразованию на этапе закупки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3.1. В обосновании стоимости своей Заявки Участник предоставляет Коммерческое предложение по форме, приведенной к Документации о закупке.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hd w:fill="auto" w:val="clear"/>
        </w:rPr>
        <w:t xml:space="preserve"> 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b/>
          <w:shd w:fill="auto" w:val="clear"/>
        </w:rPr>
        <w:t>4. Требования к документации по ценообразованию на этапе заключения (исполнения) договора</w:t>
      </w:r>
    </w:p>
    <w:p>
      <w:pPr>
        <w:pStyle w:val="Normal"/>
        <w:ind w:firstLine="708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4.1. По результатам настоящей закупки заключается договор с предельной ценой.</w:t>
      </w:r>
    </w:p>
    <w:p>
      <w:pPr>
        <w:pStyle w:val="Normal"/>
        <w:ind w:left="567" w:firstLine="142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4.2. Предложенные Исполнителем единичные расценки позиций Работ, закрепляются в договоре. В договоре с Исполнителем устанавливается цена, указанная Исполнителем в коммерческом предложении.</w:t>
      </w:r>
    </w:p>
    <w:p>
      <w:pPr>
        <w:pStyle w:val="Normal"/>
        <w:ind w:firstLine="708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5. Приложения</w:t>
      </w:r>
    </w:p>
    <w:p>
      <w:pPr>
        <w:pStyle w:val="Normal"/>
        <w:ind w:firstLine="709"/>
        <w:jc w:val="both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5.1. Приложение № 1 – Перечень объектов;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5.2. Приложение № 2- Технико-экономические показатели объектов</w:t>
      </w:r>
      <w:r>
        <w:rPr>
          <w:sz w:val="22"/>
          <w:szCs w:val="22"/>
          <w:shd w:fill="auto" w:val="clear"/>
        </w:rPr>
        <w:t>.</w:t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Приложение № 1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к Техническим требованиям</w:t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Перечень объектов.</w:t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tbl>
      <w:tblPr>
        <w:tblStyle w:val="affff6"/>
        <w:tblW w:w="17881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1777"/>
        <w:gridCol w:w="8109"/>
        <w:gridCol w:w="3857"/>
        <w:gridCol w:w="4137"/>
      </w:tblGrid>
      <w:tr>
        <w:trPr>
          <w:trHeight w:val="900" w:hRule="atLeast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8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Наименование объекта*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Срок выполнения работ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495" w:hRule="atLeast"/>
        </w:trPr>
        <w:tc>
          <w:tcPr>
            <w:tcW w:w="9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Земельные участки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8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Разделение 3-х земельных участков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hd w:fill="auto" w:val="clear"/>
                <w:lang w:val="ru-RU" w:eastAsia="ru-RU" w:bidi="ar-SA"/>
              </w:rPr>
              <w:t>Август-декабрь 2026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8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Объединение 3-х земельных участков по контуру объекта «Главный корпус»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Август-декабрь 2026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1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8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Установление сервитута 1 участок</w:t>
            </w:r>
          </w:p>
        </w:tc>
        <w:tc>
          <w:tcPr>
            <w:tcW w:w="38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</w:rPr>
              <w:t>Август-декабрь 2026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rFonts w:eastAsia="Arial"/>
          <w:b/>
          <w:sz w:val="24"/>
          <w:szCs w:val="24"/>
          <w:shd w:fill="auto" w:val="clear"/>
        </w:rPr>
        <w:t>* Перечень и состав объектов может изменяться заказчиком, как в большую, так и в меньшую сторону.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Приложение № 1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eastAsia="Arial"/>
          <w:b w:val="false"/>
          <w:bCs w:val="false"/>
          <w:sz w:val="22"/>
          <w:szCs w:val="22"/>
          <w:shd w:fill="auto" w:val="clear"/>
        </w:rPr>
        <w:t>к Техническим требованиям</w:t>
      </w:r>
    </w:p>
    <w:p>
      <w:pPr>
        <w:pStyle w:val="Normal"/>
        <w:jc w:val="right"/>
        <w:rPr>
          <w:rFonts w:eastAsia="Arial"/>
          <w:shd w:fill="auto" w:val="clear"/>
        </w:rPr>
      </w:pPr>
      <w:r>
        <w:rPr>
          <w:rFonts w:eastAsia="Arial"/>
          <w:shd w:fill="auto" w:val="clear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  <w:shd w:fill="auto" w:val="clear"/>
        </w:rPr>
        <w:t>Технико-экономические показатели объектов</w:t>
      </w:r>
    </w:p>
    <w:p>
      <w:pPr>
        <w:pStyle w:val="Normal"/>
        <w:ind w:firstLine="709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3"/>
        <w:gridCol w:w="3179"/>
        <w:gridCol w:w="3622"/>
        <w:gridCol w:w="2117"/>
        <w:gridCol w:w="2313"/>
        <w:gridCol w:w="2817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Площадь, м2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Объединение/ выделение земельных участков</w:t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№1 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14:36:101046:534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13669 +/-41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№2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14:36:101046:533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12751+/-40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№3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14:36:000000:23157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31666+/-71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Главный корпус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12890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застройки</w:t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сервитута</w:t>
            </w:r>
          </w:p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№3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14:36:000000:22727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18763,14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5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X=883847.296, Y=540065.503; X=883854.913, Y=540072.003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X=883836.466, Y=540103.752; X=883894.704, Y=540149.749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X=883890.397, Y=540155.473; X=883831.943, Y=540109.722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X=883807.899, Y=540129.787; X=883813.162, Y=540134.216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X=883800.330, Y=540150.234; X=883796.939, Y=540147.318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X=883802.956, Y=540138.303; X=883785.569, Y=540124.162</w:t>
            </w:r>
          </w:p>
          <w:p>
            <w:pPr>
              <w:pStyle w:val="BodyText"/>
              <w:widowControl w:val="false"/>
              <w:spacing w:before="0" w:after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X=883789.397, Y=540118.472;X=883800.256, Y=540125.885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установления сервитута объекта №1</w:t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5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X=883912.782, Y=540247.643; X=883907.479, Y=540244.308</w:t>
            </w:r>
          </w:p>
          <w:p>
            <w:pPr>
              <w:pStyle w:val="BodyText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X=883966.891, Y=540168.882; X=883978.934, Y=540174.973</w:t>
            </w:r>
          </w:p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установления сервитута объекта №2</w:t>
            </w:r>
          </w:p>
        </w:tc>
      </w:tr>
    </w:tbl>
    <w:p>
      <w:pPr>
        <w:pStyle w:val="Normal"/>
        <w:ind w:firstLine="709"/>
        <w:jc w:val="center"/>
        <w:rPr>
          <w:highlight w:val="none"/>
          <w:shd w:fill="auto" w:val="clear"/>
        </w:rPr>
      </w:pPr>
      <w:r>
        <w:rPr/>
      </w:r>
    </w:p>
    <w:sectPr>
      <w:headerReference w:type="even" r:id="rId6"/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992" w:right="1134" w:gutter="0" w:header="680" w:top="1134" w:footer="737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5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qFormat/>
    <w:pPr>
      <w:outlineLvl w:val="1"/>
    </w:pPr>
    <w:rPr/>
  </w:style>
  <w:style w:type="paragraph" w:styleId="Heading3">
    <w:name w:val="Heading 3"/>
    <w:basedOn w:val="Normal"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qFormat/>
    <w:pPr>
      <w:numPr>
        <w:ilvl w:val="0"/>
        <w:numId w:val="0"/>
      </w:numPr>
      <w:tabs>
        <w:tab w:val="clear" w:pos="708"/>
        <w:tab w:val="left" w:pos="0" w:leader="none"/>
      </w:tabs>
      <w:ind w:left="574" w:hanging="432"/>
      <w:outlineLvl w:val="3"/>
    </w:pPr>
    <w:rPr>
      <w:bCs/>
    </w:rPr>
  </w:style>
  <w:style w:type="paragraph" w:styleId="Heading5">
    <w:name w:val="Heading 5"/>
    <w:basedOn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Pr>
      <w:sz w:val="28"/>
    </w:rPr>
  </w:style>
  <w:style w:type="character" w:styleId="Style2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Pr>
      <w:sz w:val="24"/>
      <w:szCs w:val="24"/>
    </w:rPr>
  </w:style>
  <w:style w:type="character" w:styleId="Style11" w:customStyle="1">
    <w:name w:val="Текст примечания Знак"/>
    <w:semiHidden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LineNumber">
    <w:name w:val="Line Number"/>
    <w:rPr/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13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1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3" w:customStyle="1">
    <w:name w:val="Основной текст1"/>
    <w:basedOn w:val="Normal"/>
    <w:qFormat/>
    <w:pPr>
      <w:shd w:val="clear" w:color="auto" w:fill="FFFFFF"/>
      <w:spacing w:lineRule="exact" w:line="317"/>
    </w:pPr>
    <w:rPr>
      <w:rFonts w:eastAsia="Times New Roman" w:cs="Times New Roman"/>
      <w:color w:val="000000"/>
      <w:sz w:val="26"/>
      <w:szCs w:val="26"/>
    </w:rPr>
  </w:style>
  <w:style w:type="paragraph" w:styleId="Caption1">
    <w:name w:val="caption1"/>
    <w:basedOn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Style19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uiPriority w:val="39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/>
      <w:sz w:val="24"/>
      <w:szCs w:val="24"/>
    </w:rPr>
  </w:style>
  <w:style w:type="paragraph" w:styleId="TOC9">
    <w:name w:val="TOC 9"/>
    <w:basedOn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uiPriority w:val="39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Arial Unicode MS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 Unicode MS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sz w:val="24"/>
      <w:szCs w:val="20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Абзац списка2"/>
    <w:uiPriority w:val="34"/>
    <w:qFormat/>
    <w:pPr>
      <w:widowControl/>
      <w:suppressAutoHyphens w:val="true"/>
      <w:bidi w:val="0"/>
      <w:spacing w:before="0" w:after="0"/>
      <w:ind w:left="720" w:hanging="0"/>
      <w:contextualSpacing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rsid w:val="006a39e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D2C5-64F2-4D62-8F8E-8D8CF8AC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Application>AlterOffice/2025.3.1.0$Linux_X86_64 LibreOffice_project/431cd1b79110582f53535c95ed0a2449aadc8bf9</Application>
  <AppVersion>15.0000</AppVersion>
  <Pages>11</Pages>
  <Words>1226</Words>
  <Characters>8612</Characters>
  <CharactersWithSpaces>9689</CharactersWithSpaces>
  <Paragraphs>247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2023-03-29T05:42:00Z</dcterms:created>
  <dc:creator>Быстров Олег Геннадьевич</dc:creator>
  <dc:description/>
  <dc:language>ru-RU</dc:language>
  <cp:lastModifiedBy>efremovayd@corp.gidroogk.com</cp:lastModifiedBy>
  <cp:lastPrinted>2026-06-02T14:32:21Z</cp:lastPrinted>
  <dcterms:modified xsi:type="dcterms:W3CDTF">2026-08-07T17:05:36Z</dcterms:modified>
  <cp:revision>89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