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 на поставку МТР</w:t>
      </w:r>
    </w:p>
    <w:p>
      <w:pPr>
        <w:pStyle w:val="Title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Titl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«ОКПД2 20.11.11 Поставка технических газов в баллонах для нужд Филиала </w:t>
      </w: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ПАО «РусГидро»-«Карачаево-Черкесский филиал»</w:t>
      </w:r>
    </w:p>
    <w:p>
      <w:pPr>
        <w:pStyle w:val="Titl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itle"/>
        <w:rPr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Лот № 37-ЭКСППРОД-2026-КЧФ</w:t>
      </w:r>
    </w:p>
    <w:p>
      <w:pPr>
        <w:pStyle w:val="Title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Title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itle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Title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439162_3604399662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66_3604399662">
            <w:r>
              <w:rPr>
                <w:webHidden/>
                <w:rStyle w:val="Style14"/>
                <w:vanish w:val="false"/>
              </w:rPr>
              <w:t>1.1. Наименование закупаемой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955_902007666">
            <w:r>
              <w:rPr>
                <w:webHidden/>
                <w:rStyle w:val="Style14"/>
                <w:vanish w:val="false"/>
              </w:rPr>
              <w:t>1.2. Цель использования закупаемой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76_3604399662">
            <w:r>
              <w:rPr>
                <w:webHidden/>
                <w:rStyle w:val="Style14"/>
                <w:vanish w:val="false"/>
              </w:rPr>
              <w:t>1.3.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82_3604399662">
            <w:r>
              <w:rPr>
                <w:webHidden/>
                <w:rStyle w:val="Style14"/>
                <w:vanish w:val="false"/>
              </w:rPr>
              <w:t>2.  Требования к продукции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84_3604399662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</w:rPr>
            <w:t xml:space="preserve">     </w:t>
          </w:r>
          <w:hyperlink w:anchor="__RefHeading___Toc1439186_3604399662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88_3604399662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1439190_3604399662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92_3604399662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96_3604399662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98_3604399662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200_3604399662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</w:r>
          </w:hyperlink>
          <w:r>
            <w:rPr>
              <w:vanish w:val="false"/>
            </w:rPr>
            <w:t>8</w:t>
          </w:r>
          <w:r>
            <w:rPr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right" w:pos="9921" w:leader="dot"/>
        </w:tabs>
        <w:rPr/>
      </w:pPr>
      <w:r>
        <w:rPr/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_RefHeading___Toc1439162_3604399662"/>
      <w:bookmarkStart w:id="3" w:name="_Toc51339692"/>
      <w:bookmarkStart w:id="4" w:name="_Toc75446566"/>
      <w:bookmarkEnd w:id="2"/>
      <w:r>
        <w:rPr>
          <w:lang w:val="ru-RU"/>
        </w:rPr>
        <w:t>Общие сведения</w:t>
      </w:r>
      <w:bookmarkEnd w:id="3"/>
      <w:bookmarkEnd w:id="4"/>
    </w:p>
    <w:p>
      <w:pPr>
        <w:pStyle w:val="Heading4"/>
        <w:numPr>
          <w:ilvl w:val="1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bookmarkStart w:id="5" w:name="__RefHeading___Toc1439166_3604399662"/>
      <w:bookmarkStart w:id="6" w:name="_Toc46743506"/>
      <w:bookmarkStart w:id="7" w:name="_Toc75446568"/>
      <w:bookmarkEnd w:id="5"/>
      <w:r>
        <w:rPr>
          <w:sz w:val="24"/>
          <w:szCs w:val="24"/>
        </w:rPr>
        <w:t>Наименование закупаемой продукции</w:t>
      </w:r>
      <w:bookmarkEnd w:id="6"/>
      <w:bookmarkEnd w:id="7"/>
    </w:p>
    <w:p>
      <w:pPr>
        <w:pStyle w:val="Title"/>
        <w:spacing w:lineRule="auto" w:line="24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sz w:val="24"/>
          <w:szCs w:val="24"/>
        </w:rPr>
        <w:tab/>
        <w:t xml:space="preserve"> «ОКПД2 20.11.11 Поставка технических газов в баллонах для нужд Филиала </w:t>
      </w:r>
      <w:r>
        <w:rPr>
          <w:rFonts w:eastAsia="Times New Roman" w:cs="Times New Roman"/>
          <w:b w:val="false"/>
          <w:bCs/>
          <w:color w:val="auto"/>
          <w:kern w:val="0"/>
          <w:sz w:val="24"/>
          <w:szCs w:val="24"/>
          <w:lang w:val="ru-RU" w:eastAsia="ru-RU" w:bidi="ar-SA"/>
        </w:rPr>
        <w:t>ПАО «РусГидро» - «Карачаево-Черкесский филиал».</w:t>
      </w:r>
    </w:p>
    <w:p>
      <w:pPr>
        <w:pStyle w:val="Heading4"/>
        <w:numPr>
          <w:ilvl w:val="1"/>
          <w:numId w:val="3"/>
        </w:numPr>
        <w:spacing w:lineRule="auto" w:line="240" w:before="240" w:after="60"/>
        <w:ind w:left="0" w:hanging="0"/>
        <w:rPr>
          <w:rFonts w:ascii="Times New Roman" w:hAnsi="Times New Roman"/>
          <w:sz w:val="24"/>
          <w:szCs w:val="24"/>
        </w:rPr>
      </w:pPr>
      <w:bookmarkStart w:id="8" w:name="__RefHeading___Toc1955_902007666"/>
      <w:bookmarkStart w:id="9" w:name="_Toc75446569"/>
      <w:bookmarkStart w:id="10" w:name="_Toc46743507"/>
      <w:bookmarkEnd w:id="8"/>
      <w:r>
        <w:rPr>
          <w:sz w:val="24"/>
          <w:szCs w:val="24"/>
        </w:rPr>
        <w:t xml:space="preserve">Цель </w:t>
      </w:r>
      <w:bookmarkEnd w:id="10"/>
      <w:r>
        <w:rPr>
          <w:sz w:val="24"/>
          <w:szCs w:val="24"/>
          <w:lang w:val="ru-RU"/>
        </w:rPr>
        <w:t xml:space="preserve">использования закупаемой продукции </w:t>
      </w:r>
      <w:bookmarkEnd w:id="9"/>
      <w:r>
        <w:rPr>
          <w:sz w:val="24"/>
          <w:szCs w:val="24"/>
          <w:lang w:val="ru-RU"/>
        </w:rPr>
        <w:t xml:space="preserve">  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ab/>
        <w:t>Выполнение работ по контролю качества энергетических масел: хроматографическому  анализу газов, растворенных в трансформаторном масле (аргон, гелий п</w:t>
      </w:r>
      <w:r>
        <w:rPr>
          <w:rFonts w:eastAsia="Calibri" w:cs="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редназначены для использования в качестве газа-носителя для газовой хроматографии)</w:t>
      </w:r>
      <w:r>
        <w:rPr>
          <w:bCs/>
          <w:sz w:val="24"/>
          <w:szCs w:val="24"/>
        </w:rPr>
        <w:t>; определению стабильности  против окисления турбинных масел, эксплуатируемых на Филиале (кислород п</w:t>
      </w:r>
      <w:r>
        <w:rPr>
          <w:rFonts w:eastAsia="Calibri" w:cs="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редназначен для использования в качестве газа при окислении масла в приборе ВТИ)</w:t>
      </w:r>
      <w:r>
        <w:rPr>
          <w:bCs/>
          <w:sz w:val="24"/>
          <w:szCs w:val="24"/>
        </w:rPr>
        <w:t xml:space="preserve">. </w:t>
      </w:r>
    </w:p>
    <w:p>
      <w:pPr>
        <w:pStyle w:val="Heading4"/>
        <w:keepNext w:val="true"/>
        <w:widowControl/>
        <w:numPr>
          <w:ilvl w:val="1"/>
          <w:numId w:val="3"/>
        </w:numPr>
        <w:suppressAutoHyphens w:val="true"/>
        <w:bidi w:val="0"/>
        <w:spacing w:lineRule="auto" w:line="240" w:before="120" w:after="60"/>
        <w:ind w:left="0" w:right="0" w:hanging="0"/>
        <w:jc w:val="left"/>
        <w:rPr>
          <w:rFonts w:ascii="Times New Roman" w:hAnsi="Times New Roman"/>
          <w:sz w:val="24"/>
          <w:szCs w:val="24"/>
        </w:rPr>
      </w:pPr>
      <w:bookmarkStart w:id="11" w:name="__RefHeading___Toc1439176_3604399662"/>
      <w:bookmarkStart w:id="12" w:name="_Hlk49857604"/>
      <w:bookmarkStart w:id="13" w:name="_Toc75446571"/>
      <w:bookmarkStart w:id="14" w:name="_Toc46743509"/>
      <w:bookmarkEnd w:id="11"/>
      <w:r>
        <w:rPr>
          <w:sz w:val="24"/>
          <w:szCs w:val="24"/>
        </w:rPr>
        <w:t xml:space="preserve">Информация в отношении исполнения договора, </w:t>
      </w:r>
      <w:bookmarkStart w:id="15" w:name="_Hlk46492347"/>
      <w:r>
        <w:rPr>
          <w:sz w:val="24"/>
          <w:szCs w:val="24"/>
        </w:rPr>
        <w:t xml:space="preserve">которая должна быть учтена при подготовке заявки </w:t>
      </w:r>
      <w:bookmarkEnd w:id="15"/>
      <w:r>
        <w:rPr>
          <w:sz w:val="24"/>
          <w:szCs w:val="24"/>
        </w:rPr>
        <w:t xml:space="preserve">(в том числе перечень ресурсов, услуг и документов, предоставляемых </w:t>
      </w:r>
      <w:r>
        <w:rPr>
          <w:sz w:val="24"/>
          <w:szCs w:val="24"/>
          <w:lang w:val="ru-RU"/>
        </w:rPr>
        <w:t>заказчиком</w:t>
      </w:r>
      <w:r>
        <w:rPr>
          <w:sz w:val="24"/>
          <w:szCs w:val="24"/>
        </w:rPr>
        <w:t xml:space="preserve"> на этапе исполнения договора)</w:t>
      </w:r>
      <w:bookmarkEnd w:id="12"/>
      <w:bookmarkEnd w:id="13"/>
      <w:bookmarkEnd w:id="14"/>
    </w:p>
    <w:p>
      <w:pPr>
        <w:pStyle w:val="BodyText3"/>
        <w:widowControl w:val="false"/>
        <w:spacing w:lineRule="auto" w:line="240" w:before="0" w:after="0"/>
        <w:ind w:firstLine="567"/>
        <w:jc w:val="both"/>
        <w:rPr>
          <w:color w:val="auto"/>
        </w:rPr>
      </w:pPr>
      <w:r>
        <w:rPr>
          <w:color w:val="auto"/>
          <w:sz w:val="24"/>
          <w:szCs w:val="24"/>
        </w:rPr>
        <w:t>Доставка продукции на место поставки осуществляется силами и средствами Поставщика в соответствии с п. 2.1.2 Технических требований, таблица 2.1 Требования к срокам поставки продукции.</w:t>
      </w:r>
    </w:p>
    <w:p>
      <w:pPr>
        <w:pStyle w:val="Normal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auto"/>
          <w:spacing w:val="0"/>
          <w:sz w:val="23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ab/>
        <w:t>Поставка технических газов осуществляется в многооборотной таре (баллонах) автомобильным транспортом. Автомобильный транспорт должен быть оборудован в соответствии с требованиями Правил перевозки опасных грузов автомобильным транспортом.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Товар  должен быть поставлен надлежащего качества. Газы (аргон, кислород) должны быть заправлены в баллоны, изготовленные по ГОСТ 949-2023. Баллоны должны иметь защитное устройство (колпак), предназначенный для предотвращения механических повреждений запорного вентиля при транспортировке, погрузочно-разгрузочных работах и хранении.</w:t>
      </w:r>
    </w:p>
    <w:p>
      <w:pPr>
        <w:pStyle w:val="BodyText3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Каждый баллон с газом должен 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сопровождаться документом о качестве, содержащим следующие данные: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- наименование </w:t>
      </w:r>
      <w:r>
        <w:rPr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предприятия-изготовителя 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и его товарный знак;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наименование и сорт продукта;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номер партии и номер баллона поставляемого газа;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дату изготовления;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объем газа в баллоне, м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  <w:vertAlign w:val="subscript"/>
        </w:rPr>
        <w:t>3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;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результаты проведенных анализов или подтверждение о соответствии продукта требованиям  стандарта;</w:t>
      </w:r>
    </w:p>
    <w:p>
      <w:pPr>
        <w:pStyle w:val="Normal"/>
        <w:widowControl/>
        <w:spacing w:lineRule="auto" w:line="24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обозначение  стандарта.</w:t>
      </w:r>
    </w:p>
    <w:p>
      <w:pPr>
        <w:pStyle w:val="Normal"/>
        <w:widowControl w:val="false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ab/>
        <w:t xml:space="preserve">Баллоны должны быть аттестованы. Тара и маркировка (надписи, окраска и т.д.) баллонов должны соответствовать требованиям Федеральных норм и правил в области промышленной безопасности, правилам устройства и безопасной эксплуатации сосудов, работающих под давлением и требованиям, ГОСТ 949-2023. Поставляемый товар должен быть новым, </w:t>
      </w:r>
      <w:r>
        <w:rPr>
          <w:sz w:val="24"/>
          <w:szCs w:val="24"/>
        </w:rPr>
        <w:t xml:space="preserve">сертифицирован, иметь паспорт изделия с отметкой прохождения испытаний. Качество товара на момент поставки должно соответствовать требованиям законодательства РФ, а также должно быть подтверждено документами, предоставляемыми в соответствии с требованиями законодательства РФ, оформленными на имя Поставщика, с областью действия – на всей территории РФ. Весь товар должен быть сертифицирован Госстандартом России на соответствие требованиям безопасности, что должно подтверждаться соответствующими документами согласно законодательству Российской Федерации. </w:t>
      </w:r>
    </w:p>
    <w:p>
      <w:pPr>
        <w:pStyle w:val="Heading4"/>
        <w:numPr>
          <w:ilvl w:val="0"/>
          <w:numId w:val="0"/>
        </w:numPr>
        <w:spacing w:lineRule="auto" w:line="240"/>
        <w:ind w:left="0" w:hanging="0"/>
        <w:rPr/>
      </w:pPr>
      <w:r>
        <w:rPr/>
      </w:r>
      <w:bookmarkStart w:id="16" w:name="__RefHeading___Toc1439180_3604399662"/>
      <w:bookmarkStart w:id="17" w:name="__RefHeading___Toc1439180_3604399662"/>
      <w:bookmarkEnd w:id="17"/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tabs>
          <w:tab w:val="left" w:pos="0" w:leader="none"/>
          <w:tab w:val="left" w:pos="2715" w:leader="none"/>
        </w:tabs>
        <w:spacing w:lineRule="auto" w:line="240"/>
        <w:ind w:left="2721" w:hanging="57"/>
        <w:rPr>
          <w:rFonts w:ascii="Times New Roman" w:hAnsi="Times New Roman"/>
          <w:sz w:val="24"/>
          <w:szCs w:val="24"/>
        </w:rPr>
      </w:pPr>
      <w:bookmarkStart w:id="18" w:name="__RefHeading___Toc1439182_3604399662"/>
      <w:bookmarkEnd w:id="18"/>
      <w:r>
        <w:rPr>
          <w:sz w:val="24"/>
          <w:szCs w:val="24"/>
        </w:rPr>
        <w:t xml:space="preserve"> </w:t>
      </w:r>
      <w:bookmarkStart w:id="19" w:name="_Toc75446573"/>
      <w:bookmarkStart w:id="20" w:name="_Toc51339693"/>
      <w:r>
        <w:rPr>
          <w:sz w:val="24"/>
          <w:szCs w:val="24"/>
        </w:rPr>
        <w:t>Требования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bookmarkStart w:id="21" w:name="__RefHeading___Toc1439184_3604399662"/>
      <w:bookmarkStart w:id="22" w:name="_Toc75446574"/>
      <w:bookmarkEnd w:id="21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bookmarkStart w:id="23" w:name="__RefHeading___Toc1439186_3604399662"/>
      <w:bookmarkStart w:id="24" w:name="_Toc75446575"/>
      <w:bookmarkEnd w:id="23"/>
      <w:r>
        <w:rPr>
          <w:sz w:val="24"/>
          <w:szCs w:val="24"/>
          <w:lang w:val="ru-RU"/>
        </w:rPr>
        <w:t>Перечень и объем закупаемой продукции</w:t>
      </w:r>
      <w:bookmarkEnd w:id="24"/>
    </w:p>
    <w:p>
      <w:pPr>
        <w:pStyle w:val="Heading1"/>
        <w:keepLines/>
        <w:tabs>
          <w:tab w:val="clear" w:pos="0"/>
        </w:tabs>
        <w:spacing w:lineRule="auto" w:line="240" w:before="240" w:after="60"/>
        <w:ind w:left="0" w:hanging="0"/>
        <w:rPr>
          <w:rFonts w:ascii="Times New Roman" w:hAnsi="Times New Roman"/>
          <w:sz w:val="24"/>
          <w:szCs w:val="24"/>
        </w:rPr>
      </w:pPr>
      <w:bookmarkStart w:id="25" w:name="__RefHeading___Toc1439188_3604399662"/>
      <w:bookmarkStart w:id="26" w:name="_Toc75446576"/>
      <w:bookmarkStart w:id="27" w:name="_Toc51339695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закупаемой продукци</w:t>
      </w:r>
      <w:bookmarkEnd w:id="26"/>
      <w:r>
        <w:rPr>
          <w:sz w:val="24"/>
          <w:szCs w:val="24"/>
          <w:lang w:val="ru-RU"/>
        </w:rPr>
        <w:t>и</w:t>
      </w:r>
    </w:p>
    <w:tbl>
      <w:tblPr>
        <w:tblStyle w:val="affff8"/>
        <w:tblW w:w="9690" w:type="dxa"/>
        <w:jc w:val="left"/>
        <w:tblInd w:w="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5"/>
        <w:gridCol w:w="6225"/>
        <w:gridCol w:w="1650"/>
        <w:gridCol w:w="1079"/>
      </w:tblGrid>
      <w:tr>
        <w:trPr/>
        <w:tc>
          <w:tcPr>
            <w:tcW w:w="735" w:type="dxa"/>
            <w:tcBorders/>
          </w:tcPr>
          <w:p>
            <w:pPr>
              <w:pStyle w:val="Normal"/>
              <w:keepNext w:val="true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6225" w:type="dxa"/>
            <w:tcBorders/>
          </w:tcPr>
          <w:p>
            <w:pPr>
              <w:pStyle w:val="Normal"/>
              <w:keepNext w:val="true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650" w:type="dxa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0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Количество</w:t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Style35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6225" w:type="dxa"/>
            <w:tcBorders/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Аргон высшего сорта по ГОСТ 10157-2016,</w:t>
            </w:r>
          </w:p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баллон 40 л</w:t>
            </w:r>
          </w:p>
        </w:tc>
        <w:tc>
          <w:tcPr>
            <w:tcW w:w="1650" w:type="dxa"/>
            <w:tcBorders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баллон</w:t>
            </w:r>
          </w:p>
        </w:tc>
        <w:tc>
          <w:tcPr>
            <w:tcW w:w="1079" w:type="dxa"/>
            <w:tcBorders/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113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6225" w:type="dxa"/>
            <w:tcBorders/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Кислород газообразный технический по ГОСТ 5583-78, баллон 40 л</w:t>
            </w:r>
          </w:p>
        </w:tc>
        <w:tc>
          <w:tcPr>
            <w:tcW w:w="1650" w:type="dxa"/>
            <w:tcBorders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баллон</w:t>
            </w:r>
          </w:p>
        </w:tc>
        <w:tc>
          <w:tcPr>
            <w:tcW w:w="1079" w:type="dxa"/>
            <w:tcBorders/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lineRule="auto" w:line="240" w:before="120" w:after="120"/>
        <w:ind w:firstLine="142"/>
        <w:rPr/>
      </w:pPr>
      <w:bookmarkStart w:id="28" w:name="__RefHeading___Toc1439188_36043996621"/>
      <w:bookmarkEnd w:id="28"/>
      <w:r>
        <w:rPr>
          <w:rStyle w:val="Style8"/>
          <w:rFonts w:eastAsia="Calibri"/>
          <w:bCs/>
          <w:i w:val="false"/>
          <w:color w:val="000000"/>
          <w:sz w:val="24"/>
          <w:szCs w:val="24"/>
          <w:shd w:fill="auto" w:val="clear"/>
          <w:lang w:eastAsia="x-none"/>
        </w:rPr>
        <w:t>Таблица 1.2 Технические требования к поставляемому оборудованию</w:t>
      </w:r>
    </w:p>
    <w:tbl>
      <w:tblPr>
        <w:tblStyle w:val="affff8"/>
        <w:tblW w:w="979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72"/>
        <w:gridCol w:w="5630"/>
        <w:gridCol w:w="3393"/>
      </w:tblGrid>
      <w:tr>
        <w:trPr/>
        <w:tc>
          <w:tcPr>
            <w:tcW w:w="772" w:type="dxa"/>
            <w:tcBorders/>
          </w:tcPr>
          <w:p>
            <w:pPr>
              <w:pStyle w:val="Normal"/>
              <w:keepNext w:val="true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5630" w:type="dxa"/>
            <w:tcBorders/>
          </w:tcPr>
          <w:p>
            <w:pPr>
              <w:pStyle w:val="Normal"/>
              <w:keepNext w:val="true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 и характеристики продукции</w:t>
            </w:r>
          </w:p>
        </w:tc>
        <w:tc>
          <w:tcPr>
            <w:tcW w:w="3393" w:type="dxa"/>
            <w:tcBorders/>
          </w:tcPr>
          <w:p>
            <w:pPr>
              <w:pStyle w:val="Normal"/>
              <w:keepNext w:val="true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Технические требования к поставляемому товару</w:t>
            </w:r>
          </w:p>
        </w:tc>
      </w:tr>
      <w:tr>
        <w:trPr/>
        <w:tc>
          <w:tcPr>
            <w:tcW w:w="772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9023" w:type="dxa"/>
            <w:gridSpan w:val="2"/>
            <w:tcBorders/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Аргон высшего сорта по ГОСТ 10157-2016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9023" w:type="dxa"/>
            <w:gridSpan w:val="2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ru-RU" w:bidi="ar-SA"/>
              </w:rPr>
              <w:t>Функциональные характеристики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5630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Предназначен для использования в качестве газа-носителя для газовой хроматографии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соответствие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9023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Технические характеристики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563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Объемная доля аргона, %, не менее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99,993</w:t>
            </w:r>
          </w:p>
        </w:tc>
      </w:tr>
      <w:tr>
        <w:trPr/>
        <w:tc>
          <w:tcPr>
            <w:tcW w:w="772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1.2.2.</w:t>
            </w:r>
          </w:p>
        </w:tc>
        <w:tc>
          <w:tcPr>
            <w:tcW w:w="563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Объемная доля кислорода, %, не более</w:t>
            </w:r>
          </w:p>
        </w:tc>
        <w:tc>
          <w:tcPr>
            <w:tcW w:w="3393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0,0007</w:t>
            </w:r>
          </w:p>
        </w:tc>
      </w:tr>
      <w:tr>
        <w:trPr/>
        <w:tc>
          <w:tcPr>
            <w:tcW w:w="772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1.2.3.</w:t>
            </w:r>
          </w:p>
        </w:tc>
        <w:tc>
          <w:tcPr>
            <w:tcW w:w="563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Объемная доля азота, %, не более</w:t>
            </w:r>
          </w:p>
        </w:tc>
        <w:tc>
          <w:tcPr>
            <w:tcW w:w="3393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0,005</w:t>
            </w:r>
          </w:p>
        </w:tc>
      </w:tr>
      <w:tr>
        <w:trPr/>
        <w:tc>
          <w:tcPr>
            <w:tcW w:w="772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1.2.4.</w:t>
            </w:r>
          </w:p>
        </w:tc>
        <w:tc>
          <w:tcPr>
            <w:tcW w:w="563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Объемная доля водяных паров, %, не более, что  соответствует температуре насыщения аргона водяными парами при давлении 101,3 кПа (760 мм рт. ст.), </w:t>
            </w: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vertAlign w:val="superscript"/>
                <w:lang w:val="ru-RU" w:eastAsia="en-US" w:bidi="ar-SA"/>
              </w:rPr>
              <w:t xml:space="preserve">0 </w:t>
            </w: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position w:val="0"/>
                <w:sz w:val="24"/>
                <w:sz w:val="24"/>
                <w:szCs w:val="24"/>
                <w:vertAlign w:val="baseline"/>
                <w:lang w:val="ru-RU" w:eastAsia="en-US" w:bidi="ar-SA"/>
              </w:rPr>
              <w:t>С</w:t>
            </w: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, не выше</w:t>
            </w:r>
          </w:p>
        </w:tc>
        <w:tc>
          <w:tcPr>
            <w:tcW w:w="3393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0,0009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Минус 61</w:t>
            </w:r>
          </w:p>
        </w:tc>
      </w:tr>
      <w:tr>
        <w:trPr/>
        <w:tc>
          <w:tcPr>
            <w:tcW w:w="772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1.2.5.</w:t>
            </w:r>
          </w:p>
        </w:tc>
        <w:tc>
          <w:tcPr>
            <w:tcW w:w="563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Объемная доля суммы углеродсодержащих соединений в пересчете на </w:t>
            </w: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position w:val="0"/>
                <w:sz w:val="24"/>
                <w:sz w:val="24"/>
                <w:szCs w:val="24"/>
                <w:vertAlign w:val="baseline"/>
                <w:lang w:val="ru-RU" w:eastAsia="en-US" w:bidi="ar-SA"/>
              </w:rPr>
              <w:t>СО</w:t>
            </w: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vertAlign w:val="subscript"/>
                <w:lang w:val="ru-RU" w:eastAsia="en-US" w:bidi="ar-SA"/>
              </w:rPr>
              <w:t>2</w:t>
            </w: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 , %, не более</w:t>
            </w:r>
          </w:p>
        </w:tc>
        <w:tc>
          <w:tcPr>
            <w:tcW w:w="3393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0,0005</w:t>
            </w:r>
          </w:p>
        </w:tc>
      </w:tr>
      <w:tr>
        <w:trPr/>
        <w:tc>
          <w:tcPr>
            <w:tcW w:w="772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9023" w:type="dxa"/>
            <w:gridSpan w:val="2"/>
            <w:tcBorders/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Кислород газообразный технический по ГОСТ 5583-78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9023" w:type="dxa"/>
            <w:gridSpan w:val="2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ru-RU" w:bidi="ar-SA"/>
              </w:rPr>
              <w:t>Функциональные характеристики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Предназначен для использования в качестве газа при окислении масла в приборе ВТИ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соответствие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9023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Технические характеристики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Объемная доля кислорода, %, не менее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99,7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2.2.2.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Объемная доля водорода, %, не более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0,3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2.2.3.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Объемная доля двуокиси углерода, %, не более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Не нормируется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2.2.4.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Содержание окиси углерода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Не нормируется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2.2.5.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Содержание газообразных кислот и оснований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Не нормируется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2.2.6.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Содержание озона и других газов-окислителей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Не нормируется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2.2.7.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Содержание щелочи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Должен выдерживать  </w:t>
            </w:r>
            <w:r>
              <w:rPr>
                <w:rFonts w:eastAsia="Calibri" w:cs="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испытание по п. 3.9</w:t>
            </w:r>
          </w:p>
        </w:tc>
      </w:tr>
      <w:tr>
        <w:trPr/>
        <w:tc>
          <w:tcPr>
            <w:tcW w:w="772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2.2.8.</w:t>
            </w:r>
          </w:p>
        </w:tc>
        <w:tc>
          <w:tcPr>
            <w:tcW w:w="563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Запах</w:t>
            </w: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Не нормируется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bookmarkStart w:id="29" w:name="__RefHeading___Toc1439190_3604399662"/>
      <w:bookmarkStart w:id="30" w:name="_Toc75446578"/>
      <w:bookmarkStart w:id="31" w:name="_Toc51339696"/>
      <w:bookmarkEnd w:id="29"/>
      <w:r>
        <w:rPr>
          <w:sz w:val="24"/>
          <w:szCs w:val="24"/>
          <w:lang w:val="ru-RU"/>
        </w:rPr>
        <w:t xml:space="preserve">Требования </w:t>
      </w:r>
      <w:bookmarkEnd w:id="31"/>
      <w:r>
        <w:rPr>
          <w:sz w:val="24"/>
          <w:szCs w:val="24"/>
          <w:lang w:val="ru-RU"/>
        </w:rPr>
        <w:t>к срокам поставки продукции и оказания сопутствующих услуг</w:t>
      </w:r>
      <w:bookmarkEnd w:id="30"/>
    </w:p>
    <w:p>
      <w:pPr>
        <w:pStyle w:val="Heading1"/>
        <w:keepLines/>
        <w:tabs>
          <w:tab w:val="clear" w:pos="0"/>
        </w:tabs>
        <w:spacing w:lineRule="auto" w:line="240" w:before="240" w:after="60"/>
        <w:ind w:left="0" w:hanging="0"/>
        <w:rPr>
          <w:rFonts w:ascii="Times New Roman" w:hAnsi="Times New Roman"/>
          <w:sz w:val="24"/>
          <w:szCs w:val="24"/>
        </w:rPr>
      </w:pPr>
      <w:bookmarkStart w:id="32" w:name="__RefHeading___Toc1439192_3604399662"/>
      <w:bookmarkStart w:id="33" w:name="_Toc75446579"/>
      <w:bookmarkStart w:id="34" w:name="_Toc51339697"/>
      <w:bookmarkStart w:id="35" w:name="_Toc50125127"/>
      <w:bookmarkStart w:id="36" w:name="_Toc501251261"/>
      <w:bookmarkEnd w:id="32"/>
      <w:bookmarkEnd w:id="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7" w:name="_Hlk50465284"/>
      <w:r>
        <w:rPr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>
        <w:rPr>
          <w:sz w:val="24"/>
          <w:szCs w:val="24"/>
          <w:lang w:val="ru-RU"/>
        </w:rPr>
        <w:t>поставки продукции</w:t>
      </w:r>
      <w:bookmarkEnd w:id="33"/>
      <w:r>
        <w:rPr>
          <w:sz w:val="24"/>
          <w:szCs w:val="24"/>
          <w:lang w:val="ru-RU"/>
        </w:rPr>
        <w:t xml:space="preserve"> </w:t>
      </w:r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9"/>
        <w:gridCol w:w="3221"/>
        <w:gridCol w:w="2455"/>
        <w:gridCol w:w="3499"/>
      </w:tblGrid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uppressAutoHyphens w:val="true"/>
              <w:bidi w:val="0"/>
              <w:spacing w:lineRule="auto" w:line="240" w:before="0" w:after="0"/>
              <w:ind w:left="-57" w:right="5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lineRule="auto" w:line="240"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0" w:right="0" w:firstLine="57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/>
              <w:ind w:left="3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Поставка </w:t>
            </w:r>
            <w:r>
              <w:rPr>
                <w:rFonts w:eastAsia="Calibri"/>
                <w:bCs/>
                <w:sz w:val="24"/>
                <w:szCs w:val="24"/>
                <w:lang w:eastAsia="x-none"/>
              </w:rPr>
              <w:t>технических газов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tabs>
                <w:tab w:val="clear" w:pos="720"/>
                <w:tab w:val="left" w:pos="851" w:leader="none"/>
              </w:tabs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Начало поставки - с даты заключения договора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 полном объеме в течении 30 дней с даты заключения договора.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650" w:right="794" w:gutter="0" w:header="737" w:top="1191" w:footer="0" w:bottom="70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lineRule="auto" w:line="240"/>
        <w:rPr>
          <w:rFonts w:ascii="Times New Roman" w:hAnsi="Times New Roman"/>
          <w:sz w:val="24"/>
          <w:szCs w:val="24"/>
        </w:rPr>
      </w:pPr>
      <w:bookmarkStart w:id="38" w:name="__RefHeading___Toc1439196_3604399662"/>
      <w:bookmarkStart w:id="39" w:name="_Toc51339698"/>
      <w:bookmarkStart w:id="40" w:name="_Toc75446581"/>
      <w:bookmarkStart w:id="41" w:name="_Toc46743511"/>
      <w:bookmarkStart w:id="42" w:name="_Toc754465801"/>
      <w:bookmarkEnd w:id="38"/>
      <w:bookmarkEnd w:id="42"/>
      <w:r>
        <w:rPr>
          <w:sz w:val="24"/>
          <w:szCs w:val="24"/>
        </w:rPr>
        <w:t xml:space="preserve">Требования к </w:t>
      </w:r>
      <w:bookmarkEnd w:id="41"/>
      <w:r>
        <w:rPr>
          <w:sz w:val="24"/>
          <w:szCs w:val="24"/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lineRule="auto" w:line="240" w:before="240" w:after="60"/>
        <w:ind w:left="0" w:hanging="0"/>
        <w:rPr/>
      </w:pPr>
      <w:bookmarkStart w:id="43" w:name="__RefHeading___Toc1439198_3604399662"/>
      <w:bookmarkEnd w:id="43"/>
      <w:r>
        <w:rPr>
          <w:sz w:val="24"/>
          <w:szCs w:val="24"/>
        </w:rPr>
        <w:t xml:space="preserve"> </w:t>
      </w:r>
      <w:bookmarkStart w:id="44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4"/>
      <w:r>
        <w:rPr>
          <w:sz w:val="24"/>
          <w:szCs w:val="24"/>
        </w:rPr>
        <w:t xml:space="preserve"> </w:t>
      </w:r>
      <w:bookmarkEnd w:id="39"/>
      <w:r>
        <w:rPr>
          <w:rStyle w:val="Style8"/>
          <w:b/>
          <w:sz w:val="24"/>
          <w:szCs w:val="24"/>
        </w:rPr>
        <w:t xml:space="preserve"> </w:t>
      </w:r>
    </w:p>
    <w:p>
      <w:pPr>
        <w:pStyle w:val="BodyText"/>
        <w:spacing w:lineRule="auto" w:line="240"/>
        <w:rPr/>
      </w:pPr>
      <w:r>
        <w:rPr>
          <w:b/>
          <w:bCs/>
          <w:i/>
          <w:iCs/>
          <w:sz w:val="24"/>
          <w:szCs w:val="24"/>
        </w:rPr>
        <w:t>Н</w:t>
      </w:r>
      <w:r>
        <w:rPr>
          <w:rFonts w:eastAsia="Times New Roman" w:cs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аименование продукции :</w:t>
      </w:r>
      <w:r>
        <w:rPr>
          <w:rStyle w:val="Style8"/>
          <w:rFonts w:eastAsia="Times New Roman" w:cs="Times New Roman"/>
          <w:b w:val="false"/>
          <w:bCs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«ОКПД2 20.11.11 Поставка технических газов в баллонах для нужд Филиала ПАО «РусГидро» - «Карачаево-Черкесский филиал».</w:t>
      </w:r>
    </w:p>
    <w:tbl>
      <w:tblPr>
        <w:tblStyle w:val="affff8"/>
        <w:tblW w:w="1552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2324"/>
        <w:gridCol w:w="5836"/>
        <w:gridCol w:w="2040"/>
        <w:gridCol w:w="2384"/>
        <w:gridCol w:w="2265"/>
      </w:tblGrid>
      <w:tr>
        <w:trPr/>
        <w:tc>
          <w:tcPr>
            <w:tcW w:w="67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42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8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3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8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324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Требования к техническим и функциональным характеристикам в отношении продукции</w:t>
            </w:r>
          </w:p>
        </w:tc>
        <w:tc>
          <w:tcPr>
            <w:tcW w:w="58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  <w:u w:val="single"/>
              </w:rPr>
              <w:t>1. Аргон газообразный высший сорт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Количество:1 штука (баллон). Емкость баллона 40 литров, рабочее давление 150 атм, объем газа в баллоне 6,5 м3 , объёмная доля аргона (чистота) не менее 99,993%. Аргон газообразный высший сорт должен быть изготовлен в соответствии с требованиями ГОСТ 10157-2016 по технологическим регламентам, утвержденным в установленном порядке. Упаковка, маркировка, транспортирование и хранение газообразного и жидкого аргона - по ГОСТ 26460. Газообразный аргон должен сопровождаться документом о качестве, содержащим следующие данные: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наименование предприятия-изготовителя и его товарный знак;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наименование продукта, его сорт;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дату изготовления;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номер партии, номер баллона;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объем газообразного аргона в кубических метрах;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результаты проведенных анализов или подтверждение о соответствии продукта требованиям ГОСТ 10157-2016;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обозначение ГОСТ 10157-2016;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вид водорода, используемого для очистки сырого аргона.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Гарантийный срок хранения газообразного аргона - 18 мес. со дня </w:t>
            </w: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изготовления.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  <w:u w:val="single"/>
              </w:rPr>
              <w:t xml:space="preserve">2. Кислород газообразный технический </w:t>
            </w:r>
            <w:r>
              <w:rPr>
                <w:i/>
                <w:iCs/>
                <w:sz w:val="24"/>
                <w:szCs w:val="24"/>
              </w:rPr>
              <w:t>Количество: 1 штука (баллон). Емкость баллона 40 литров, рабочее давление 150 атм, объем газа в баллоне 6,3 м3 , объёмная доля кислорода (чистота) не менее 99,7%. Кислород газообразный технический должен быть изготовлен в соответствии с требованиями ГОСТ 5583-78 (ИСО 2046-73) по технологическим регламентам, утвержденным в установленном порядке. Упаковка, маркировка, транспортирование и хранение кислорода газообразного технического - по ГОСТ 26460. Каждая партия газообразного технического кислорода должна сопровождаться документом о качестве, содержащим следующие данные: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наименование предприятия и его товарный знак;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 наименование и сорт продукта;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номер партии технического кислорода;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дату изготовления;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объем газообразного кислорода, м3;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результаты проведенных анализов или подтверждение соответствия продукта требованиям ГОСТ 5583-78;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обозначение ГОСТ 5583-78.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Гарантийный срок хранения - 18 месяцев со дня изготовления кислорода газообразного технического.</w:t>
            </w:r>
          </w:p>
        </w:tc>
        <w:tc>
          <w:tcPr>
            <w:tcW w:w="20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Согласие с требованиями</w:t>
            </w:r>
          </w:p>
        </w:tc>
        <w:tc>
          <w:tcPr>
            <w:tcW w:w="238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8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179" w:hRule="atLeas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369244, Карачаево -Черкесская Республика, Карачаевский район, пос. Правокубанский, Зеленчукская ГЭС-ГАЭС.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38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Транспортировка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Товар подлежит транспортировке в транспортной таре, обеспечивающий температурный режим хранения согласно инструкции производителя: исключающей влаго-, паро- и газообмен с атмосферой, а также солнечное облучение и механические повреждения. Автомобильный транспорт должен быть оборудован в соответствии с требованиями Правил перевозки опасных грузов автомобильным транспортом. Маркировка (информация для потребителей), размещаемая на каждой единице транспортной и потребительской тары, должна соответствовать требованиям нормативных документов РФ.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rFonts w:ascii="Times New Roman" w:hAnsi="Times New Roman"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8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 гарантийному обслуживанию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 поставщика</w:t>
            </w:r>
          </w:p>
        </w:tc>
        <w:tc>
          <w:tcPr>
            <w:tcW w:w="5836" w:type="dxa"/>
            <w:tcBorders/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Остаточный срок хранения на момент поставки технических газов должен быть не менее 80% от срока хранения, указанного в нормативно-технической документации производителя технических газов.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4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816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товаром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Поставщик обязан одновременно с передачей товара передать Покупателю относящиеся к нему документы, оформленные надлежащим образом: документ о качестве товара - паспорт (сертификат) качества, либо  иные документы, предусмотренные действующим законодательством, подтверждающие качество товара; товарно-транспортную накладную формы №1-Т; товарную накладную унифицированной формы ТОРГ-12 в 2 экз.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spacing w:lineRule="auto" w:line="240"/>
        <w:ind w:left="357" w:hanging="357"/>
        <w:jc w:val="center"/>
        <w:rPr>
          <w:rFonts w:ascii="Times New Roman" w:hAnsi="Times New Roman"/>
          <w:sz w:val="24"/>
          <w:szCs w:val="24"/>
        </w:rPr>
      </w:pPr>
      <w:bookmarkStart w:id="45" w:name="__RefHeading___Toc1439200_3604399662"/>
      <w:bookmarkStart w:id="46" w:name="_Toc75446583"/>
      <w:bookmarkStart w:id="47" w:name="_Toc53393312"/>
      <w:bookmarkEnd w:id="45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47"/>
      <w:r>
        <w:rPr>
          <w:sz w:val="24"/>
          <w:szCs w:val="24"/>
          <w:lang w:val="ru-RU"/>
        </w:rPr>
        <w:t xml:space="preserve"> на этапе закупки</w:t>
      </w:r>
      <w:bookmarkEnd w:id="46"/>
    </w:p>
    <w:p>
      <w:pPr>
        <w:pStyle w:val="Normal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3.1. Цена предлагаемого товара должна быть указана с учетом затрат на транспортировку, тару, страхование, проведение экспертиз, уплату налогов, таможенных пошлин, сборов и других обязательных платежей.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20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FontStyle16">
    <w:name w:val="Font Style16"/>
    <w:qFormat/>
    <w:rPr>
      <w:rFonts w:ascii="Times New Roman" w:hAnsi="Times New Roman" w:cs="Times New Roman"/>
      <w:sz w:val="22"/>
    </w:rPr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Style16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26"/>
      <w:szCs w:val="24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2">
    <w:name w:val="WW8Num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4B18-A5AD-4E88-A813-DF0C3D0F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Application>AlterOffice/3.4.0.9$Linux_X86_64 LibreOffice_project/b8daf9e823b1a5463a2f48435ddc2e8696e7d4fc</Application>
  <AppVersion>15.0000</AppVersion>
  <Pages>9</Pages>
  <Words>1399</Words>
  <Characters>9539</Characters>
  <CharactersWithSpaces>10754</CharactersWithSpaces>
  <Paragraphs>212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Марина Станиславовна Ганноченко</cp:lastModifiedBy>
  <cp:lastPrinted>2026-07-20T12:43:25Z</cp:lastPrinted>
  <dcterms:modified xsi:type="dcterms:W3CDTF">2026-08-07T09:25:10Z</dcterms:modified>
  <cp:revision>79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