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header10.xml" ContentType="application/vnd.openxmlformats-officedocument.wordprocessingml.header+xml"/>
  <Override PartName="/word/header1.xml" ContentType="application/vnd.openxmlformats-officedocument.wordprocessingml.header+xml"/>
  <Override PartName="/word/header6.xml" ContentType="application/vnd.openxmlformats-officedocument.wordprocessingml.header+xml"/>
  <Override PartName="/word/header11.xml" ContentType="application/vnd.openxmlformats-officedocument.wordprocessingml.header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7.xml" ContentType="application/vnd.openxmlformats-officedocument.wordprocessingml.header+xml"/>
  <Override PartName="/word/header12.xml" ContentType="application/vnd.openxmlformats-officedocument.wordprocessingml.header+xml"/>
  <Override PartName="/word/header3.xml" ContentType="application/vnd.openxmlformats-officedocument.wordprocessingml.header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left"/>
        <w:rPr/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keepLines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Calibri"/>
          <w:b/>
          <w:sz w:val="28"/>
          <w:szCs w:val="28"/>
        </w:rPr>
        <w:t>Технические требования на поставку МТР</w:t>
      </w:r>
    </w:p>
    <w:p>
      <w:pPr>
        <w:pStyle w:val="Title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Title"/>
        <w:rPr>
          <w:b/>
          <w:bCs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«ОКПД2 26.51.52.190 Поставка приборов и устройств для проведения химических анализов для нужд Филиала ПАО «РусГидро» - «Карачаево-Черкесский филиал»</w:t>
      </w:r>
    </w:p>
    <w:p>
      <w:pPr>
        <w:pStyle w:val="Titl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Titl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Title"/>
        <w:spacing w:lineRule="auto" w:line="240" w:before="0" w:after="0"/>
        <w:jc w:val="center"/>
        <w:rPr>
          <w:b/>
          <w:bCs/>
        </w:rPr>
      </w:pPr>
      <w:r>
        <w:rPr>
          <w:rFonts w:eastAsia="Calibri" w:cs="Times New Roman"/>
          <w:b/>
          <w:bCs/>
          <w:sz w:val="28"/>
          <w:szCs w:val="28"/>
          <w:lang w:eastAsia="ru-RU"/>
        </w:rPr>
        <w:t>Лот № 35</w:t>
      </w:r>
      <w:r>
        <w:rPr>
          <w:rFonts w:eastAsia="Times New Roman" w:cs="Times New Roman"/>
          <w:b/>
          <w:bCs/>
          <w:sz w:val="28"/>
          <w:szCs w:val="28"/>
          <w:lang w:eastAsia="ru-RU"/>
        </w:rPr>
        <w:t>-ЭКСППРОД-2026-КЧФ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8"/>
          <w:szCs w:val="28"/>
        </w:rPr>
      </w:pPr>
      <w:r>
        <w:rPr>
          <w:rFonts w:eastAsia="Calibri"/>
          <w:b/>
          <w:i/>
          <w:sz w:val="28"/>
          <w:szCs w:val="28"/>
        </w:rPr>
      </w:r>
    </w:p>
    <w:p>
      <w:pPr>
        <w:pStyle w:val="Normal"/>
        <w:keepNext w:val="true"/>
        <w:keepLines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Title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pStyle w:val="Title"/>
        <w:rPr>
          <w:b w:val="false"/>
          <w:sz w:val="28"/>
          <w:szCs w:val="28"/>
        </w:rPr>
      </w:pPr>
      <w:r>
        <w:rPr>
          <w:b w:val="false"/>
          <w:sz w:val="28"/>
          <w:szCs w:val="28"/>
        </w:rPr>
      </w:r>
    </w:p>
    <w:p>
      <w:pPr>
        <w:sectPr>
          <w:headerReference w:type="default" r:id="rId2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60" w:charSpace="0"/>
        </w:sectPr>
        <w:pStyle w:val="Normal"/>
        <w:widowControl w:val="false"/>
        <w:tabs>
          <w:tab w:val="clear" w:pos="720"/>
          <w:tab w:val="left" w:pos="426" w:leader="none"/>
        </w:tabs>
        <w:spacing w:before="120" w:after="120"/>
        <w:jc w:val="center"/>
        <w:rPr>
          <w:rStyle w:val="Style8"/>
          <w:sz w:val="26"/>
          <w:szCs w:val="26"/>
        </w:rPr>
      </w:pPr>
      <w:r>
        <w:rPr>
          <w:rFonts w:eastAsia="Calibri"/>
          <w:sz w:val="26"/>
          <w:szCs w:val="26"/>
        </w:rPr>
        <w:t xml:space="preserve"> </w:t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1439162_3604399662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439166_3604399662">
            <w:r>
              <w:rPr>
                <w:webHidden/>
                <w:rStyle w:val="Style14"/>
                <w:vanish w:val="false"/>
              </w:rPr>
              <w:t>1.1. Наименование закупаемой продукции</w:t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955_902007666">
            <w:r>
              <w:rPr>
                <w:webHidden/>
                <w:rStyle w:val="Style14"/>
                <w:vanish w:val="false"/>
              </w:rPr>
              <w:t>1.2. Цель использования закупаемой продукции</w:t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439172_3604399662">
            <w:r>
              <w:rPr>
                <w:webHidden/>
                <w:rStyle w:val="Style14"/>
                <w:vanish w:val="false"/>
              </w:rPr>
              <w:t>1.3. Существующее положение</w:t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439176_3604399662">
            <w:r>
              <w:rPr>
                <w:webHidden/>
                <w:rStyle w:val="Style14"/>
                <w:vanish w:val="false"/>
              </w:rPr>
              <w:t>1.4.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4"/>
            <w:tabs>
              <w:tab w:val="clear" w:pos="720"/>
              <w:tab w:val="right" w:pos="9921" w:leader="dot"/>
            </w:tabs>
            <w:rPr>
              <w:vanish w:val="false"/>
            </w:rPr>
          </w:pPr>
          <w:r>
            <w:rPr>
              <w:vanish w:val="false"/>
            </w:rPr>
          </w:r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439182_3604399662">
            <w:r>
              <w:rPr>
                <w:webHidden/>
                <w:rStyle w:val="Style14"/>
                <w:vanish w:val="false"/>
              </w:rPr>
              <w:t>2.  Требования к продукции</w:t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439184_3604399662">
            <w:r>
              <w:rPr>
                <w:webHidden/>
                <w:rStyle w:val="Style14"/>
                <w:vanish w:val="false"/>
              </w:rPr>
              <w:t>2.1. Требования к объемам и срокам поставки</w:t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r>
            <w:rPr>
              <w:vanish w:val="false"/>
            </w:rPr>
            <w:t xml:space="preserve">     </w:t>
          </w:r>
          <w:hyperlink w:anchor="__RefHeading___Toc1439186_3604399662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</w:r>
          </w:hyperlink>
          <w:r>
            <w:rPr>
              <w:vanish w:val="false"/>
            </w:rPr>
            <w:t>3</w:t>
          </w:r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439188_3604399662">
            <w:r>
              <w:rPr>
                <w:webHidden/>
                <w:rStyle w:val="Style14"/>
                <w:vanish w:val="false"/>
              </w:rPr>
              <w:t>Таблица 1.1 Перечень и объем закупаемой продукции</w:t>
              <w:tab/>
            </w:r>
          </w:hyperlink>
          <w:r>
            <w:rPr>
              <w:vanish w:val="false"/>
            </w:rPr>
            <w:t>4</w:t>
          </w:r>
        </w:p>
        <w:p>
          <w:pPr>
            <w:pStyle w:val="TOC3"/>
            <w:tabs>
              <w:tab w:val="clear" w:pos="720"/>
              <w:tab w:val="right" w:pos="9921" w:leader="dot"/>
            </w:tabs>
            <w:rPr/>
          </w:pPr>
          <w:r>
            <w:rPr>
              <w:vanish w:val="false"/>
            </w:rPr>
            <w:t xml:space="preserve">    </w:t>
          </w:r>
          <w:hyperlink w:anchor="__RefHeading___Toc1439190_3604399662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5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439192_3604399662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5</w:t>
            </w:r>
          </w:hyperlink>
        </w:p>
        <w:p>
          <w:pPr>
            <w:pStyle w:val="TOC4"/>
            <w:tabs>
              <w:tab w:val="clear" w:pos="720"/>
              <w:tab w:val="right" w:pos="9921" w:leader="dot"/>
            </w:tabs>
            <w:rPr/>
          </w:pPr>
          <w:hyperlink w:anchor="__RefHeading___Toc1439196_3604399662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6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439198_3604399662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6</w:t>
            </w:r>
          </w:hyperlink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hyperlink w:anchor="__RefHeading___Toc1439200_3604399662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 на этапе закупки</w:t>
              <w:tab/>
              <w:t>1</w:t>
            </w:r>
          </w:hyperlink>
          <w:r>
            <w:rPr>
              <w:vanish w:val="false"/>
            </w:rPr>
            <w:t>1</w:t>
          </w:r>
        </w:p>
        <w:p>
          <w:pPr>
            <w:pStyle w:val="TOC1"/>
            <w:tabs>
              <w:tab w:val="clear" w:pos="720"/>
              <w:tab w:val="right" w:pos="9921" w:leader="dot"/>
            </w:tabs>
            <w:rPr/>
          </w:pPr>
          <w:r>
            <w:rPr>
              <w:vanish w:val="false"/>
            </w:rPr>
            <w:t>4</w:t>
          </w:r>
          <w:hyperlink w:anchor="__RefHeading___Toc1439204_3604399662">
            <w:r>
              <w:rPr>
                <w:webHidden/>
                <w:rStyle w:val="Style14"/>
                <w:vanish w:val="false"/>
              </w:rPr>
              <w:t xml:space="preserve">. </w:t>
            </w:r>
            <w:r>
              <w:rPr>
                <w:rStyle w:val="Style14"/>
                <w:iCs/>
              </w:rPr>
              <w:t>Приложения</w:t>
            </w:r>
            <w:r>
              <w:rPr>
                <w:rStyle w:val="Style14"/>
              </w:rPr>
              <w:tab/>
              <w:t>1</w:t>
            </w:r>
          </w:hyperlink>
          <w:r>
            <w:rPr/>
            <w:t>2</w:t>
          </w:r>
          <w:r>
            <w:rPr/>
            <w:fldChar w:fldCharType="end"/>
          </w:r>
        </w:p>
      </w:sdtContent>
    </w:sdt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2" w:name="__RefHeading___Toc1439162_3604399662"/>
      <w:bookmarkStart w:id="3" w:name="_Toc51339692"/>
      <w:bookmarkStart w:id="4" w:name="_Toc75446566"/>
      <w:bookmarkEnd w:id="2"/>
      <w:r>
        <w:rPr>
          <w:lang w:val="ru-RU"/>
        </w:rPr>
        <w:t>Общие сведения</w:t>
      </w:r>
      <w:bookmarkEnd w:id="3"/>
      <w:bookmarkEnd w:id="4"/>
    </w:p>
    <w:p>
      <w:pPr>
        <w:pStyle w:val="Heading4"/>
        <w:numPr>
          <w:ilvl w:val="1"/>
          <w:numId w:val="3"/>
        </w:numPr>
        <w:rPr/>
      </w:pPr>
      <w:bookmarkStart w:id="5" w:name="_Toc46743506"/>
      <w:bookmarkStart w:id="6" w:name="_Toc75446568"/>
      <w:r>
        <w:rPr/>
        <w:t>Наименование закупаемой продукции</w:t>
      </w:r>
      <w:bookmarkEnd w:id="5"/>
      <w:bookmarkEnd w:id="6"/>
    </w:p>
    <w:p>
      <w:pPr>
        <w:pStyle w:val="Heading4"/>
        <w:numPr>
          <w:ilvl w:val="0"/>
          <w:numId w:val="0"/>
        </w:numPr>
        <w:ind w:left="0" w:hanging="0"/>
        <w:jc w:val="left"/>
        <w:rPr>
          <w:rFonts w:ascii="Times New Roman" w:hAnsi="Times New Roman"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 w:val="false"/>
          <w:bCs w:val="false"/>
          <w:color w:val="auto"/>
          <w:kern w:val="0"/>
          <w:sz w:val="24"/>
          <w:szCs w:val="24"/>
          <w:lang w:val="ru-RU" w:eastAsia="ru-RU" w:bidi="ar-SA"/>
        </w:rPr>
        <w:tab/>
        <w:t>«ОКПД 2 26.51.52.190 Поставка приборов и устройств для проведения химических анализов для нужд Филиала ПАО «РусГидро» - «Карачаево-Черкесский филиал».</w:t>
      </w:r>
    </w:p>
    <w:p>
      <w:pPr>
        <w:pStyle w:val="Heading4"/>
        <w:numPr>
          <w:ilvl w:val="1"/>
          <w:numId w:val="3"/>
        </w:numPr>
        <w:spacing w:before="240" w:after="60"/>
        <w:ind w:left="0" w:hanging="0"/>
        <w:rPr/>
      </w:pPr>
      <w:bookmarkStart w:id="7" w:name="__RefHeading___Toc1955_902007666"/>
      <w:bookmarkStart w:id="8" w:name="_Toc75446569"/>
      <w:bookmarkStart w:id="9" w:name="_Toc46743507"/>
      <w:bookmarkEnd w:id="7"/>
      <w:r>
        <w:rPr/>
        <w:t xml:space="preserve">Цель </w:t>
      </w:r>
      <w:bookmarkEnd w:id="9"/>
      <w:r>
        <w:rPr>
          <w:lang w:val="ru-RU"/>
        </w:rPr>
        <w:t xml:space="preserve">использования закупаемой продукции </w:t>
      </w:r>
      <w:bookmarkEnd w:id="8"/>
      <w:r>
        <w:rPr>
          <w:lang w:val="ru-RU"/>
        </w:rPr>
        <w:t xml:space="preserve">   </w:t>
      </w:r>
    </w:p>
    <w:p>
      <w:pPr>
        <w:pStyle w:val="Normal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  <w:t>Выполнение работ по контролю качества энергетических масел и обеспечение эксплуатации оборудования в соответствии с РД 34.45-51.300-97 «Объем и нормы испытаний электрооборудования».</w:t>
      </w:r>
    </w:p>
    <w:p>
      <w:pPr>
        <w:pStyle w:val="Heading4"/>
        <w:numPr>
          <w:ilvl w:val="1"/>
          <w:numId w:val="3"/>
        </w:numPr>
        <w:rPr/>
      </w:pPr>
      <w:bookmarkStart w:id="10" w:name="__RefHeading___Toc1439172_3604399662"/>
      <w:bookmarkStart w:id="11" w:name="_Toc75446570"/>
      <w:bookmarkStart w:id="12" w:name="_Toc46743508"/>
      <w:bookmarkEnd w:id="10"/>
      <w:r>
        <w:rPr/>
        <w:t>Существующее положение</w:t>
      </w:r>
      <w:bookmarkEnd w:id="12"/>
      <w:r>
        <w:rPr>
          <w:lang w:val="ru-RU"/>
        </w:rPr>
        <w:t xml:space="preserve"> </w:t>
      </w:r>
      <w:bookmarkEnd w:id="11"/>
      <w:r>
        <w:rPr>
          <w:lang w:val="ru-RU"/>
        </w:rPr>
        <w:t xml:space="preserve">            </w:t>
      </w:r>
    </w:p>
    <w:p>
      <w:pPr>
        <w:pStyle w:val="Normal"/>
        <w:ind w:firstLine="709"/>
        <w:jc w:val="both"/>
        <w:rPr>
          <w:bCs/>
          <w:sz w:val="24"/>
        </w:rPr>
      </w:pPr>
      <w:r>
        <w:rPr>
          <w:bCs/>
          <w:sz w:val="24"/>
        </w:rPr>
        <w:t xml:space="preserve">Необходимо укомплектовать лабораторию химического анализа </w:t>
      </w:r>
      <w:r>
        <w:rPr>
          <w:b w:val="false"/>
          <w:bCs/>
          <w:sz w:val="24"/>
          <w:szCs w:val="24"/>
        </w:rPr>
        <w:t xml:space="preserve">приборами и устройствами </w:t>
      </w:r>
      <w:r>
        <w:rPr>
          <w:bCs/>
          <w:sz w:val="24"/>
        </w:rPr>
        <w:t xml:space="preserve">для выполнения работ по проведению физико-химического анализа энергетических масел. </w:t>
      </w:r>
    </w:p>
    <w:p>
      <w:pPr>
        <w:pStyle w:val="Heading4"/>
        <w:numPr>
          <w:ilvl w:val="1"/>
          <w:numId w:val="3"/>
        </w:numPr>
        <w:rPr/>
      </w:pPr>
      <w:bookmarkStart w:id="13" w:name="__RefHeading___Toc1439176_3604399662"/>
      <w:bookmarkStart w:id="14" w:name="_Hlk49857604"/>
      <w:bookmarkStart w:id="15" w:name="_Toc46743509"/>
      <w:bookmarkStart w:id="16" w:name="_Toc75446571"/>
      <w:bookmarkEnd w:id="13"/>
      <w:r>
        <w:rPr/>
        <w:t xml:space="preserve">Информация в отношении исполнения договора, </w:t>
      </w:r>
      <w:bookmarkStart w:id="17" w:name="_Hlk46492347"/>
      <w:r>
        <w:rPr/>
        <w:t xml:space="preserve">которая должна быть учтена при подготовке заявки </w:t>
      </w:r>
      <w:bookmarkEnd w:id="17"/>
      <w:r>
        <w:rPr/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rPr/>
        <w:t xml:space="preserve"> на этапе исполнения договора)</w:t>
      </w:r>
      <w:bookmarkEnd w:id="14"/>
      <w:bookmarkEnd w:id="15"/>
      <w:bookmarkEnd w:id="16"/>
    </w:p>
    <w:p>
      <w:pPr>
        <w:pStyle w:val="BodyText"/>
        <w:tabs>
          <w:tab w:val="clear" w:pos="720"/>
          <w:tab w:val="left" w:pos="851" w:leader="none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Поставляемая продукция по своему качеству должна строго соответствовать указанным в Перечне продукции техническ</w:t>
      </w:r>
      <w:r>
        <w:rPr>
          <w:color w:val="000000"/>
          <w:sz w:val="24"/>
          <w:szCs w:val="24"/>
          <w:shd w:fill="auto" w:val="clear"/>
        </w:rPr>
        <w:t xml:space="preserve">им характеристикам, действующим </w:t>
      </w:r>
      <w:r>
        <w:rPr>
          <w:b w:val="false"/>
          <w:bCs w:val="false"/>
          <w:color w:val="000000"/>
          <w:sz w:val="24"/>
          <w:szCs w:val="24"/>
          <w:shd w:fill="auto" w:val="clear"/>
        </w:rPr>
        <w:t xml:space="preserve">в РФ стандартам, ГОСТам, ТУ, </w:t>
      </w:r>
      <w:r>
        <w:rPr>
          <w:rFonts w:eastAsia="Times New Roman" w:cs="Times New Roman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иной обязательной документации. Соответствие поставляемого товара требованиям ГОСТов и/или ТУ должно подтверждаться сертификатом соответствия. Товар должен иметь документ о качестве (паспорт, сертификат соответствия, протокол испытаний и пр.), содержащий сведения о фактических показателях качества, нормируемых этими документами и иную сопроводительную документацию на русском языке, предусмотренную законодательством Российской федерации (в том числе сертификаты и/или декларации о соответствии, паспорта на изделия, санитарно-эпидемиологические заключения, инструкции и/или руководства по эксплуатации и т.д.). </w:t>
      </w:r>
    </w:p>
    <w:p>
      <w:pPr>
        <w:pStyle w:val="BodyText"/>
        <w:tabs>
          <w:tab w:val="clear" w:pos="720"/>
          <w:tab w:val="left" w:pos="851" w:leader="none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 w:val="false"/>
          <w:bCs w:val="false"/>
          <w:color w:val="auto"/>
          <w:sz w:val="24"/>
          <w:szCs w:val="24"/>
        </w:rPr>
        <w:t>Допускается предложение аналогов продукции по номенклатуре Перечня на не уступающие по техническим характеристикам заявленной номенклатуре. В случае предложения Участником замены/аналога необходимо предоставить техническое описание с указанием технических характеристик на предлагаемую продукцию. При не предоставлении данной документации позиция будет отклонена.</w:t>
      </w:r>
    </w:p>
    <w:p>
      <w:pPr>
        <w:pStyle w:val="BodyText3"/>
        <w:widowControl w:val="false"/>
        <w:spacing w:before="0" w:after="113"/>
        <w:ind w:hanging="0"/>
        <w:jc w:val="both"/>
        <w:rPr>
          <w:b w:val="false"/>
          <w:bCs w:val="false"/>
          <w:color w:val="auto"/>
        </w:rPr>
      </w:pPr>
      <w:r>
        <w:rPr>
          <w:b w:val="false"/>
          <w:bCs w:val="false"/>
          <w:color w:val="000000"/>
          <w:sz w:val="24"/>
          <w:szCs w:val="24"/>
          <w:shd w:fill="auto" w:val="clear"/>
        </w:rPr>
        <w:tab/>
        <w:t>Доставка продукции на место поставки осуществляется силами и средствами Поставщика согласно требованиям по срокам поставки продукции (таблица 2.1 технических требований).</w:t>
      </w:r>
      <w:r>
        <w:rPr>
          <w:b w:val="false"/>
          <w:bCs w:val="false"/>
          <w:color w:val="auto"/>
          <w:sz w:val="24"/>
          <w:szCs w:val="24"/>
        </w:rPr>
        <w:t xml:space="preserve"> </w:t>
      </w:r>
      <w:r>
        <w:rPr>
          <w:b w:val="false"/>
          <w:bCs/>
          <w:color w:val="auto"/>
          <w:sz w:val="24"/>
          <w:szCs w:val="24"/>
        </w:rPr>
        <w:t xml:space="preserve">Продукция должна быть новой, не бывшей в употреблении до момента ее получения Покупателем, не восстановленной. </w:t>
      </w:r>
      <w:r>
        <w:rPr>
          <w:b w:val="false"/>
          <w:bCs w:val="false"/>
          <w:color w:val="auto"/>
          <w:sz w:val="24"/>
          <w:szCs w:val="24"/>
        </w:rPr>
        <w:t>Продукция должна поставляться в упаковке с указанием даты выпуска.  Упаковка должна соответствовать требованиям действующих нормативных актов и обеспечивать сохранность качества товара при выполнении погрузочно-разгрузочных работ, транспортировании и хранении и необходимую защиту от внешних воздействующих факторов.</w:t>
      </w:r>
    </w:p>
    <w:p>
      <w:pPr>
        <w:pStyle w:val="Heading4"/>
        <w:numPr>
          <w:ilvl w:val="1"/>
          <w:numId w:val="3"/>
        </w:numPr>
        <w:rPr/>
      </w:pPr>
      <w:bookmarkStart w:id="18" w:name="__RefHeading___Toc1439180_3604399662"/>
      <w:bookmarkStart w:id="19" w:name="_Toc75446572"/>
      <w:bookmarkEnd w:id="18"/>
      <w:r>
        <w:rPr/>
        <w:t>Иные требования и сведения общего характера</w:t>
      </w:r>
      <w:r>
        <w:rPr>
          <w:lang w:val="ru-RU"/>
        </w:rPr>
        <w:t xml:space="preserve"> </w:t>
      </w:r>
      <w:bookmarkEnd w:id="19"/>
    </w:p>
    <w:p>
      <w:pPr>
        <w:pStyle w:val="Heading1"/>
        <w:numPr>
          <w:ilvl w:val="0"/>
          <w:numId w:val="3"/>
        </w:numPr>
        <w:tabs>
          <w:tab w:val="left" w:pos="0" w:leader="none"/>
          <w:tab w:val="left" w:pos="2715" w:leader="none"/>
        </w:tabs>
        <w:ind w:left="2721" w:hanging="57"/>
        <w:rPr/>
      </w:pPr>
      <w:bookmarkStart w:id="20" w:name="__RefHeading___Toc1439182_3604399662"/>
      <w:bookmarkEnd w:id="20"/>
      <w:r>
        <w:rPr/>
        <w:t xml:space="preserve"> </w:t>
      </w:r>
      <w:bookmarkStart w:id="21" w:name="_Toc75446573"/>
      <w:bookmarkStart w:id="22" w:name="_Toc51339693"/>
      <w:r>
        <w:rPr/>
        <w:t>Требования к продукции</w:t>
      </w:r>
      <w:bookmarkEnd w:id="21"/>
      <w:bookmarkEnd w:id="22"/>
    </w:p>
    <w:p>
      <w:pPr>
        <w:pStyle w:val="Heading4"/>
        <w:numPr>
          <w:ilvl w:val="1"/>
          <w:numId w:val="3"/>
        </w:numPr>
        <w:rPr/>
      </w:pPr>
      <w:bookmarkStart w:id="23" w:name="__RefHeading___Toc1439184_3604399662"/>
      <w:bookmarkStart w:id="24" w:name="_Toc75446574"/>
      <w:bookmarkEnd w:id="23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24"/>
    </w:p>
    <w:p>
      <w:pPr>
        <w:pStyle w:val="Heading3"/>
        <w:numPr>
          <w:ilvl w:val="2"/>
          <w:numId w:val="3"/>
        </w:numPr>
        <w:rPr/>
      </w:pPr>
      <w:bookmarkStart w:id="25" w:name="__RefHeading___Toc1439186_3604399662"/>
      <w:bookmarkStart w:id="26" w:name="_Toc75446575"/>
      <w:bookmarkEnd w:id="25"/>
      <w:r>
        <w:rPr>
          <w:lang w:val="ru-RU"/>
        </w:rPr>
        <w:t>Перечень и объем закупаемой продукции</w:t>
      </w:r>
      <w:bookmarkEnd w:id="2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27" w:name="__RefHeading___Toc1439188_3604399662"/>
      <w:bookmarkStart w:id="28" w:name="_Toc75446576"/>
      <w:bookmarkStart w:id="29" w:name="_Toc51339695"/>
      <w:bookmarkEnd w:id="2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9"/>
      <w:r>
        <w:rPr>
          <w:sz w:val="24"/>
          <w:szCs w:val="24"/>
          <w:lang w:val="ru-RU"/>
        </w:rPr>
        <w:t>и объем закупаемой продукци</w:t>
      </w:r>
      <w:bookmarkEnd w:id="28"/>
      <w:r>
        <w:rPr>
          <w:sz w:val="24"/>
          <w:szCs w:val="24"/>
          <w:lang w:val="ru-RU"/>
        </w:rPr>
        <w:t>и</w:t>
      </w:r>
    </w:p>
    <w:p>
      <w:pPr>
        <w:pStyle w:val="Normal"/>
        <w:jc w:val="both"/>
        <w:rPr>
          <w:b/>
          <w:bCs/>
          <w:sz w:val="24"/>
        </w:rPr>
      </w:pPr>
      <w:r>
        <w:rPr>
          <w:b/>
          <w:bCs/>
          <w:sz w:val="24"/>
        </w:rPr>
      </w:r>
    </w:p>
    <w:tbl>
      <w:tblPr>
        <w:tblStyle w:val="affff8"/>
        <w:tblW w:w="10200" w:type="dxa"/>
        <w:jc w:val="left"/>
        <w:tblInd w:w="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43"/>
        <w:gridCol w:w="2177"/>
        <w:gridCol w:w="5624"/>
        <w:gridCol w:w="841"/>
        <w:gridCol w:w="915"/>
      </w:tblGrid>
      <w:tr>
        <w:trPr/>
        <w:tc>
          <w:tcPr>
            <w:tcW w:w="643" w:type="dxa"/>
            <w:tcBorders>
              <w:bottom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 xml:space="preserve">№ </w:t>
            </w:r>
            <w:r>
              <w:rPr>
                <w:b/>
                <w:color w:val="000000"/>
                <w:sz w:val="21"/>
                <w:szCs w:val="21"/>
              </w:rPr>
              <w:t>п.п.</w:t>
            </w:r>
          </w:p>
        </w:tc>
        <w:tc>
          <w:tcPr>
            <w:tcW w:w="2177" w:type="dxa"/>
            <w:tcBorders>
              <w:bottom w:val="nil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Наименование продукции</w:t>
            </w:r>
          </w:p>
        </w:tc>
        <w:tc>
          <w:tcPr>
            <w:tcW w:w="5624" w:type="dxa"/>
            <w:tcBorders>
              <w:bottom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bidi w:val="0"/>
              <w:jc w:val="center"/>
              <w:rPr>
                <w:sz w:val="21"/>
                <w:szCs w:val="21"/>
              </w:rPr>
            </w:pPr>
            <w:r>
              <w:rPr>
                <w:b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1"/>
                <w:szCs w:val="21"/>
                <w:u w:val="none"/>
                <w:em w:val="none"/>
              </w:rPr>
              <w:t>Характеристика (краткое описание) ГОСТ, ТУ или иная НТД</w:t>
            </w:r>
          </w:p>
        </w:tc>
        <w:tc>
          <w:tcPr>
            <w:tcW w:w="841" w:type="dxa"/>
            <w:tcBorders>
              <w:bottom w:val="nil"/>
              <w:right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</w:rPr>
              <w:t>Ед. изм.</w:t>
            </w:r>
          </w:p>
        </w:tc>
        <w:tc>
          <w:tcPr>
            <w:tcW w:w="915" w:type="dxa"/>
            <w:tcBorders>
              <w:bottom w:val="nil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spacing w:lineRule="auto" w:line="240" w:before="0" w:after="200"/>
              <w:jc w:val="center"/>
              <w:rPr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color w:val="000000"/>
                <w:kern w:val="0"/>
                <w:sz w:val="21"/>
                <w:szCs w:val="21"/>
                <w:lang w:val="ru-RU" w:eastAsia="ru-RU" w:bidi="ar-SA"/>
              </w:rPr>
              <w:t>Коли-чество</w:t>
            </w:r>
          </w:p>
        </w:tc>
      </w:tr>
      <w:tr>
        <w:trPr/>
        <w:tc>
          <w:tcPr>
            <w:tcW w:w="643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1</w:t>
            </w:r>
          </w:p>
        </w:tc>
        <w:tc>
          <w:tcPr>
            <w:tcW w:w="2177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2</w:t>
            </w:r>
          </w:p>
        </w:tc>
        <w:tc>
          <w:tcPr>
            <w:tcW w:w="5624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i w:val="false"/>
                <w:i w:val="false"/>
                <w:caps w:val="false"/>
                <w:smallCaps w:val="false"/>
                <w:color w:val="1A222C"/>
                <w:spacing w:val="0"/>
                <w:sz w:val="18"/>
                <w:szCs w:val="18"/>
              </w:rPr>
            </w:pPr>
            <w:r>
              <w:rPr>
                <w:b/>
                <w:bCs/>
                <w:i w:val="false"/>
                <w:caps w:val="false"/>
                <w:smallCaps w:val="false"/>
                <w:color w:val="1A222C"/>
                <w:spacing w:val="0"/>
                <w:sz w:val="18"/>
                <w:szCs w:val="18"/>
              </w:rPr>
              <w:t>3</w:t>
            </w:r>
          </w:p>
        </w:tc>
        <w:tc>
          <w:tcPr>
            <w:tcW w:w="841" w:type="dxa"/>
            <w:tcBorders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4</w:t>
            </w:r>
          </w:p>
        </w:tc>
        <w:tc>
          <w:tcPr>
            <w:tcW w:w="915" w:type="dxa"/>
            <w:tcBorders/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18"/>
                <w:szCs w:val="18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643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1.</w:t>
            </w:r>
          </w:p>
        </w:tc>
        <w:tc>
          <w:tcPr>
            <w:tcW w:w="2177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Аквадистиллятор</w:t>
            </w:r>
          </w:p>
        </w:tc>
        <w:tc>
          <w:tcPr>
            <w:tcW w:w="562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BodyText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1A222C"/>
                <w:spacing w:val="0"/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Аквадистиллятор электрический автоматический Liston A 1104 или эквивалент. </w:t>
            </w:r>
            <w:r>
              <w:rPr>
                <w:b w:val="false"/>
                <w:i w:val="false"/>
                <w:caps w:val="false"/>
                <w:smallCaps w:val="false"/>
                <w:color w:val="1A222C"/>
                <w:spacing w:val="0"/>
                <w:sz w:val="24"/>
                <w:szCs w:val="24"/>
              </w:rPr>
              <w:t>В конструкции предусмотрен встроенный сборник готового продукта (дистиллята). В контейнере для сбора дистиллированной воды помещается до 8 литров жидкости.</w:t>
            </w:r>
          </w:p>
        </w:tc>
        <w:tc>
          <w:tcPr>
            <w:tcW w:w="841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шт.</w:t>
            </w:r>
          </w:p>
        </w:tc>
        <w:tc>
          <w:tcPr>
            <w:tcW w:w="915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43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2.</w:t>
            </w:r>
          </w:p>
        </w:tc>
        <w:tc>
          <w:tcPr>
            <w:tcW w:w="2177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Баня лабораторная</w:t>
            </w:r>
          </w:p>
        </w:tc>
        <w:tc>
          <w:tcPr>
            <w:tcW w:w="562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  <w:lang w:val="ru-RU" w:eastAsia="ru-RU" w:bidi="ar-SA"/>
              </w:rPr>
              <w:t>Баня лабораторная Termex ЛБ-13-Ш или эквивалент. Предназначена для термостатирования образцов в стаканах, колбах и другой лабораторной посуде диапазон рабочих температур Токр +5...+200 °С. Стальная ванна глубиной 160 мм.</w:t>
            </w:r>
          </w:p>
        </w:tc>
        <w:tc>
          <w:tcPr>
            <w:tcW w:w="841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шт.</w:t>
            </w:r>
          </w:p>
        </w:tc>
        <w:tc>
          <w:tcPr>
            <w:tcW w:w="915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43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3.</w:t>
            </w:r>
          </w:p>
        </w:tc>
        <w:tc>
          <w:tcPr>
            <w:tcW w:w="2177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  <w:lang w:val="ru-RU" w:eastAsia="ru-RU" w:bidi="ar-SA"/>
              </w:rPr>
              <w:t>Барометр-анероид</w:t>
            </w:r>
          </w:p>
        </w:tc>
        <w:tc>
          <w:tcPr>
            <w:tcW w:w="562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  <w:lang w:val="ru-RU" w:eastAsia="ru-RU" w:bidi="ar-SA"/>
              </w:rPr>
              <w:t>Метеорологический барометр-анероид, предназначенный для измерения атмосферного давления БАММ-1М с поверкой,  или эквивалент. Технические характеристики согласно  требованиям ТУ 25-11.1513-19, с погрешностью измерения не более 0,2 кПа, ценой деления  0,1 кПа.</w:t>
            </w:r>
          </w:p>
        </w:tc>
        <w:tc>
          <w:tcPr>
            <w:tcW w:w="841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шт.</w:t>
            </w:r>
          </w:p>
        </w:tc>
        <w:tc>
          <w:tcPr>
            <w:tcW w:w="915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43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4.</w:t>
            </w:r>
          </w:p>
        </w:tc>
        <w:tc>
          <w:tcPr>
            <w:tcW w:w="2177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Весы лабораторные</w:t>
            </w:r>
          </w:p>
        </w:tc>
        <w:tc>
          <w:tcPr>
            <w:tcW w:w="562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Весы ВЛТЭ-2100/5100 или эквивалент. Высокого класса точности (II)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0"/>
                <w:lang w:val="ru-RU" w:eastAsia="ru-RU" w:bidi="ar-SA"/>
              </w:rPr>
              <w:t>, с поверкой. Наибольший преде</w:t>
            </w: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л взвешивания - 2100/5100 г; наименьший предел взвешивания -0,5/50 г; дискретность — 0,01/0,1 г.</w:t>
            </w:r>
          </w:p>
        </w:tc>
        <w:tc>
          <w:tcPr>
            <w:tcW w:w="841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шт.</w:t>
            </w:r>
          </w:p>
        </w:tc>
        <w:tc>
          <w:tcPr>
            <w:tcW w:w="915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43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5.</w:t>
            </w:r>
          </w:p>
        </w:tc>
        <w:tc>
          <w:tcPr>
            <w:tcW w:w="2177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рH-метр /кондуктометр</w:t>
            </w:r>
          </w:p>
        </w:tc>
        <w:tc>
          <w:tcPr>
            <w:tcW w:w="562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 xml:space="preserve">Лабораторный рН-метр (Анион 4100 или эквивалент), с первичной поверкой. Активность ионов водорода: диапазон показаний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  <w:lang w:val="ru-RU" w:eastAsia="ru-RU" w:bidi="ar-SA"/>
              </w:rPr>
              <w:t xml:space="preserve">pH от -2…..14; дискретность 0,01, погрешность измерений  </w:t>
            </w:r>
            <w:r>
              <w:rPr>
                <w:rFonts w:eastAsia="Times New Roman" w:cs="Times New Roman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  <w:lang w:val="ru-RU" w:eastAsia="ru-RU" w:bidi="ar-SA"/>
              </w:rPr>
              <w:t xml:space="preserve">±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  <w:lang w:val="ru-RU" w:eastAsia="ru-RU" w:bidi="ar-SA"/>
              </w:rPr>
              <w:t xml:space="preserve">0,02. ЭДС электродных систем диапазон </w:t>
            </w:r>
            <w:r>
              <w:rPr>
                <w:rFonts w:eastAsia="Times New Roman" w:cs="Times New Roman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  <w:lang w:val="ru-RU" w:eastAsia="ru-RU" w:bidi="ar-SA"/>
              </w:rPr>
              <w:t xml:space="preserve">± 2000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  <w:lang w:val="ru-RU" w:eastAsia="ru-RU" w:bidi="ar-SA"/>
              </w:rPr>
              <w:t xml:space="preserve">мВ, дискретность 1, погрешность </w:t>
            </w:r>
            <w:r>
              <w:rPr>
                <w:rFonts w:eastAsia="Times New Roman" w:cs="Times New Roman" w:ascii="Liberation Serif" w:hAnsi="Liberation Serif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  <w:lang w:val="ru-RU" w:eastAsia="ru-RU" w:bidi="ar-SA"/>
              </w:rPr>
              <w:t>± 2.</w:t>
            </w:r>
          </w:p>
        </w:tc>
        <w:tc>
          <w:tcPr>
            <w:tcW w:w="841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шт.</w:t>
            </w:r>
          </w:p>
        </w:tc>
        <w:tc>
          <w:tcPr>
            <w:tcW w:w="915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43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6.</w:t>
            </w:r>
          </w:p>
        </w:tc>
        <w:tc>
          <w:tcPr>
            <w:tcW w:w="2177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Стол лабораторный рабочий</w:t>
            </w:r>
          </w:p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r>
          </w:p>
        </w:tc>
        <w:tc>
          <w:tcPr>
            <w:tcW w:w="562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Heading1"/>
              <w:keepNext w:val="true"/>
              <w:widowControl w:val="false"/>
              <w:suppressAutoHyphens w:val="true"/>
              <w:bidi w:val="0"/>
              <w:spacing w:before="0" w:after="0"/>
              <w:ind w:left="-57" w:right="0" w:hanging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0"/>
                <w:lang w:val="ru-RU" w:eastAsia="ru-RU" w:bidi="ar-SA"/>
              </w:rPr>
              <w:t>Стол пристенный с надстройкой.  Размеры (ШхГхВ)1520х700х1650 мм; столешница из химстойкого пластика; цвет изделия: серый. Под столешницей встроенная тумбы: справа с тремя ящиками, слева с полкой. Высота от пола до столешницы не менее 85 см. Надстройка оборудована освещением.</w:t>
            </w:r>
          </w:p>
        </w:tc>
        <w:tc>
          <w:tcPr>
            <w:tcW w:w="841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шт.</w:t>
            </w:r>
          </w:p>
        </w:tc>
        <w:tc>
          <w:tcPr>
            <w:tcW w:w="915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43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7.</w:t>
            </w:r>
          </w:p>
        </w:tc>
        <w:tc>
          <w:tcPr>
            <w:tcW w:w="2177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Стул лабораторный высокий /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4"/>
                <w:szCs w:val="20"/>
                <w:lang w:val="ru-RU" w:eastAsia="ru-RU" w:bidi="ar-SA"/>
              </w:rPr>
              <w:t>Табурет лабораторный на опорах</w:t>
            </w:r>
          </w:p>
        </w:tc>
        <w:tc>
          <w:tcPr>
            <w:tcW w:w="562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Heading1"/>
              <w:keepNext w:val="true"/>
              <w:widowControl w:val="false"/>
              <w:suppressAutoHyphens w:val="true"/>
              <w:bidi w:val="0"/>
              <w:spacing w:before="0" w:after="0"/>
              <w:ind w:left="-57" w:right="0" w:hanging="0"/>
              <w:jc w:val="left"/>
              <w:rPr/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0"/>
                <w:lang w:val="ru-RU" w:eastAsia="ru-RU" w:bidi="ar-SA"/>
              </w:rPr>
              <w:t>Комплект (Стул лабораторный на роликах (высота 620-760 мм) (кожзам, газ-лифт, ролики) +Табурет лабораторный (высота 620-760 мм) (кожзам, газ-лифт, опоры)) или эквивалент</w:t>
            </w:r>
          </w:p>
        </w:tc>
        <w:tc>
          <w:tcPr>
            <w:tcW w:w="841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шт.</w:t>
            </w:r>
          </w:p>
        </w:tc>
        <w:tc>
          <w:tcPr>
            <w:tcW w:w="915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43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8.</w:t>
            </w:r>
          </w:p>
        </w:tc>
        <w:tc>
          <w:tcPr>
            <w:tcW w:w="2177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Шкаф для газовых баллонов</w:t>
            </w:r>
          </w:p>
        </w:tc>
        <w:tc>
          <w:tcPr>
            <w:tcW w:w="562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Шкаф металлический для 2 газовых баллонов объемом 40 литров, для безопасного хранения газовых баллонов как внутри помещения, так и на улице. Размеры: 800х450х1800 (на 2 баллона) или эквивалент. Шкаф из листовой стали, окрашенной порошковой краской серого цвета. Шкаф должен иметь крепления для фиксации баллонов в вертикальном положении, замок с ключами в комплекте.</w:t>
            </w:r>
          </w:p>
        </w:tc>
        <w:tc>
          <w:tcPr>
            <w:tcW w:w="841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шт.</w:t>
            </w:r>
          </w:p>
        </w:tc>
        <w:tc>
          <w:tcPr>
            <w:tcW w:w="915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  <w:tr>
        <w:trPr/>
        <w:tc>
          <w:tcPr>
            <w:tcW w:w="643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9.</w:t>
            </w:r>
          </w:p>
        </w:tc>
        <w:tc>
          <w:tcPr>
            <w:tcW w:w="2177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Электроплитка с закрытой спиралью</w:t>
            </w:r>
          </w:p>
        </w:tc>
        <w:tc>
          <w:tcPr>
            <w:tcW w:w="5624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2 элемента, рабочая поверхность из стеклокерамики; быстрый и равномерный нагрев по всей поверхности ( двухконфорочная настольная электрическая плита Кварц-2, Веста-2 или эквивалент, стеклокерамическая)</w:t>
            </w:r>
          </w:p>
        </w:tc>
        <w:tc>
          <w:tcPr>
            <w:tcW w:w="841" w:type="dxa"/>
            <w:tcBorders>
              <w:top w:val="nil"/>
              <w:right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0"/>
                <w:lang w:val="ru-RU" w:eastAsia="ru-RU" w:bidi="ar-SA"/>
              </w:rPr>
              <w:t>шт.</w:t>
            </w:r>
          </w:p>
        </w:tc>
        <w:tc>
          <w:tcPr>
            <w:tcW w:w="915" w:type="dxa"/>
            <w:tcBorders>
              <w:top w:val="nil"/>
            </w:tcBorders>
            <w:tcMar>
              <w:top w:w="55" w:type="dxa"/>
              <w:bottom w:w="55" w:type="dxa"/>
            </w:tcMar>
          </w:tcPr>
          <w:p>
            <w:pPr>
              <w:pStyle w:val="Style36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0"/>
                <w:lang w:val="ru-RU" w:eastAsia="ru-RU" w:bidi="ar-SA"/>
              </w:rPr>
              <w:t>1</w:t>
            </w:r>
          </w:p>
        </w:tc>
      </w:tr>
    </w:tbl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Heading3"/>
        <w:numPr>
          <w:ilvl w:val="2"/>
          <w:numId w:val="3"/>
        </w:numPr>
        <w:rPr>
          <w:lang w:val="ru-RU"/>
        </w:rPr>
      </w:pPr>
      <w:bookmarkStart w:id="30" w:name="__RefHeading___Toc1439190_3604399662"/>
      <w:bookmarkStart w:id="31" w:name="_Toc75446578"/>
      <w:bookmarkStart w:id="32" w:name="_Toc51339696"/>
      <w:bookmarkEnd w:id="30"/>
      <w:r>
        <w:rPr>
          <w:lang w:val="ru-RU"/>
        </w:rPr>
        <w:t xml:space="preserve">Требования </w:t>
      </w:r>
      <w:bookmarkEnd w:id="32"/>
      <w:r>
        <w:rPr>
          <w:lang w:val="ru-RU"/>
        </w:rPr>
        <w:t>к срокам поставки продукции и оказания сопутствующих услуг</w:t>
      </w:r>
      <w:bookmarkEnd w:id="3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33" w:name="__RefHeading___Toc1439192_3604399662"/>
      <w:bookmarkStart w:id="34" w:name="_Toc75446579"/>
      <w:bookmarkStart w:id="35" w:name="_Toc51339697"/>
      <w:bookmarkStart w:id="36" w:name="_Toc50125127"/>
      <w:bookmarkStart w:id="37" w:name="_Toc501251261"/>
      <w:bookmarkEnd w:id="33"/>
      <w:bookmarkEnd w:id="37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38" w:name="_Hlk50465284"/>
      <w:r>
        <w:rPr>
          <w:sz w:val="24"/>
          <w:szCs w:val="24"/>
        </w:rPr>
        <w:t xml:space="preserve">Требования по срокам </w:t>
      </w:r>
      <w:bookmarkEnd w:id="35"/>
      <w:bookmarkEnd w:id="36"/>
      <w:bookmarkEnd w:id="38"/>
      <w:r>
        <w:rPr>
          <w:sz w:val="24"/>
          <w:szCs w:val="24"/>
          <w:lang w:val="ru-RU"/>
        </w:rPr>
        <w:t>поставки продукции</w:t>
      </w:r>
      <w:bookmarkEnd w:id="34"/>
      <w:r>
        <w:rPr>
          <w:sz w:val="24"/>
          <w:szCs w:val="24"/>
          <w:lang w:val="ru-RU"/>
        </w:rPr>
        <w:t xml:space="preserve"> </w:t>
      </w:r>
    </w:p>
    <w:tbl>
      <w:tblPr>
        <w:tblW w:w="1014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15"/>
        <w:gridCol w:w="3300"/>
        <w:gridCol w:w="2715"/>
        <w:gridCol w:w="3509"/>
      </w:tblGrid>
      <w:tr>
        <w:trPr/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0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bidi w:val="0"/>
              <w:spacing w:before="0" w:after="0"/>
              <w:ind w:left="476" w:right="0" w:hanging="363"/>
              <w:contextualSpacing/>
              <w:jc w:val="center"/>
              <w:rPr>
                <w:rFonts w:eastAsia="Times New Roman"/>
                <w:szCs w:val="28"/>
              </w:rPr>
            </w:pPr>
            <w:r>
              <w:rPr>
                <w:rFonts w:eastAsia="Times New Roman"/>
                <w:szCs w:val="28"/>
              </w:rPr>
            </w:r>
          </w:p>
        </w:tc>
        <w:tc>
          <w:tcPr>
            <w:tcW w:w="3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itle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b w:val="false"/>
                <w:bCs/>
                <w:sz w:val="24"/>
                <w:szCs w:val="24"/>
                <w:lang w:eastAsia="x-none"/>
              </w:rPr>
              <w:t>Поставка приборов и устройств для проведения химических анализов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tabs>
                <w:tab w:val="clear" w:pos="720"/>
                <w:tab w:val="left" w:pos="851" w:leader="none"/>
              </w:tabs>
              <w:spacing w:before="0" w:after="120"/>
              <w:jc w:val="center"/>
              <w:rPr/>
            </w:pPr>
            <w:r>
              <w:rPr>
                <w:bCs/>
                <w:sz w:val="24"/>
              </w:rPr>
              <w:t>Начало поставки - с даты заключения договора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851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Times New Roman" w:cs="Times New Roman"/>
                <w:bCs/>
                <w:i w:val="false"/>
                <w:i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>В полном объеме в течение 60 рабочих  дней с даты заключения договора</w:t>
            </w:r>
          </w:p>
        </w:tc>
      </w:tr>
    </w:tbl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134" w:right="851" w:gutter="0" w:header="850" w:top="1304" w:footer="0" w:bottom="709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39" w:name="__RefHeading___Toc1439196_3604399662"/>
      <w:bookmarkStart w:id="40" w:name="_Toc51339698"/>
      <w:bookmarkStart w:id="41" w:name="_Toc75446581"/>
      <w:bookmarkStart w:id="42" w:name="_Toc46743511"/>
      <w:bookmarkStart w:id="43" w:name="_Toc754465801"/>
      <w:bookmarkEnd w:id="39"/>
      <w:bookmarkEnd w:id="43"/>
      <w:r>
        <w:rPr/>
        <w:t xml:space="preserve">Требования к </w:t>
      </w:r>
      <w:bookmarkEnd w:id="42"/>
      <w:r>
        <w:rPr>
          <w:lang w:val="ru-RU"/>
        </w:rPr>
        <w:t>качеству продукции</w:t>
      </w:r>
      <w:bookmarkEnd w:id="4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44" w:name="__RefHeading___Toc1439198_3604399662"/>
      <w:bookmarkEnd w:id="44"/>
      <w:r>
        <w:rPr>
          <w:sz w:val="24"/>
          <w:szCs w:val="24"/>
        </w:rPr>
        <w:t xml:space="preserve"> </w:t>
      </w:r>
      <w:bookmarkStart w:id="45" w:name="_Toc7544658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45"/>
      <w:r>
        <w:rPr>
          <w:sz w:val="24"/>
          <w:szCs w:val="24"/>
        </w:rPr>
        <w:t xml:space="preserve"> </w:t>
      </w:r>
      <w:bookmarkEnd w:id="40"/>
      <w:r>
        <w:rPr>
          <w:rStyle w:val="Style8"/>
          <w:b/>
        </w:rPr>
        <w:t xml:space="preserve"> </w:t>
      </w:r>
    </w:p>
    <w:p>
      <w:pPr>
        <w:pStyle w:val="BodyText"/>
        <w:rPr>
          <w:rStyle w:val="Style8"/>
          <w:b w:val="false"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Н</w:t>
      </w:r>
      <w:r>
        <w:rPr>
          <w:rFonts w:eastAsia="Times New Roman" w:cs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t xml:space="preserve">аименование продукции : </w:t>
      </w:r>
      <w:r>
        <w:rPr>
          <w:rFonts w:eastAsia="Times New Roman" w:cs="Times New Roman"/>
          <w:b w:val="false"/>
          <w:bCs w:val="false"/>
          <w:i/>
          <w:iCs/>
          <w:color w:val="auto"/>
          <w:kern w:val="0"/>
          <w:sz w:val="24"/>
          <w:szCs w:val="24"/>
          <w:u w:val="single"/>
          <w:lang w:val="ru-RU" w:eastAsia="ru-RU" w:bidi="ar-SA"/>
        </w:rPr>
        <w:t>«ОКПД 2 26.51.52.190 Поставка приборов и устройств для проведения химических анализов для нужд Филиала ПАО «РусГидро» - «Карачаево-Черкесский филиал».</w:t>
      </w:r>
      <w:r>
        <w:rPr>
          <w:rFonts w:eastAsia="Times New Roman" w:cs="Times New Roman"/>
          <w:b/>
          <w:bCs/>
          <w:i/>
          <w:iCs/>
          <w:color w:val="auto"/>
          <w:kern w:val="0"/>
          <w:sz w:val="24"/>
          <w:szCs w:val="24"/>
          <w:lang w:val="ru-RU" w:eastAsia="ru-RU" w:bidi="ar-SA"/>
        </w:rPr>
        <w:br/>
      </w:r>
    </w:p>
    <w:tbl>
      <w:tblPr>
        <w:tblStyle w:val="affff8"/>
        <w:tblW w:w="15260" w:type="dxa"/>
        <w:jc w:val="left"/>
        <w:tblInd w:w="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795"/>
        <w:gridCol w:w="2258"/>
        <w:gridCol w:w="4255"/>
        <w:gridCol w:w="2263"/>
        <w:gridCol w:w="3464"/>
        <w:gridCol w:w="2224"/>
      </w:tblGrid>
      <w:tr>
        <w:trPr/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25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25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572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22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5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425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4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22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258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425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26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346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22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65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2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5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6513" w:type="dxa"/>
            <w:gridSpan w:val="2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tLeast" w:line="225"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i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en-US" w:bidi="ar-SA"/>
              </w:rPr>
              <w:t>Требования к техническим и функциональным характеристикам в отношении продукции представлены в Таблице 1.1 настоящих Технических требований</w:t>
            </w:r>
          </w:p>
        </w:tc>
        <w:tc>
          <w:tcPr>
            <w:tcW w:w="226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b w:val="false"/>
                <w:bCs w:val="false"/>
                <w:i/>
                <w:iCs/>
                <w:sz w:val="22"/>
                <w:szCs w:val="22"/>
                <w:shd w:fill="auto" w:val="clear"/>
              </w:rPr>
              <w:t>Согласие с требованиями</w:t>
            </w:r>
          </w:p>
        </w:tc>
        <w:tc>
          <w:tcPr>
            <w:tcW w:w="346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24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 w:val="false"/>
                <w:bCs w:val="false"/>
                <w:i/>
                <w:i/>
                <w:iCs/>
                <w:color w:val="auto"/>
                <w:kern w:val="0"/>
                <w:sz w:val="22"/>
                <w:szCs w:val="22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i/>
                <w:iCs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Указание характеристик</w:t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65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2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42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Cs/>
                <w:i/>
                <w:iCs/>
                <w:kern w:val="0"/>
                <w:sz w:val="22"/>
                <w:szCs w:val="22"/>
                <w:lang w:val="ru-RU" w:eastAsia="ru-RU" w:bidi="ar-SA"/>
              </w:rPr>
              <w:t>Продукция должна быть доставлена  Поставщиком по адресу: 369244, Карачаево-Черкесская Республика, Карачаевский р-н, пос. Правокубанский, Зеленчукская ГЭС-ГАЭС.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3464" w:type="dxa"/>
            <w:tcBorders/>
          </w:tcPr>
          <w:p>
            <w:pPr>
              <w:pStyle w:val="Style29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ascii="Times New Roman" w:hAnsi="Times New Roman" w:eastAsia="Times New Roman" w:cs="Times New Roman"/>
                <w:b w:val="false"/>
                <w:i/>
                <w:i/>
                <w:iCs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i/>
                <w:iCs/>
                <w:kern w:val="0"/>
                <w:sz w:val="22"/>
                <w:szCs w:val="22"/>
                <w:lang w:val="ru-RU" w:eastAsia="ru-RU" w:bidi="ar-SA"/>
              </w:rPr>
            </w:r>
          </w:p>
        </w:tc>
        <w:tc>
          <w:tcPr>
            <w:tcW w:w="22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Calibri"/>
                <w:sz w:val="22"/>
                <w:szCs w:val="22"/>
                <w:lang w:eastAsia="x-none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</w:r>
          </w:p>
        </w:tc>
      </w:tr>
      <w:tr>
        <w:trPr/>
        <w:tc>
          <w:tcPr>
            <w:tcW w:w="79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Упаковка</w:t>
            </w:r>
          </w:p>
        </w:tc>
        <w:tc>
          <w:tcPr>
            <w:tcW w:w="4255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Упаковка должна быть целостной, обеспечивающей сохранность продукции при перевозке с учетом возможных перегрузок, складирования и  способов транспортировки, а также предохраняющей Продукцию от атмосферных воздействий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требованиями</w:t>
            </w:r>
          </w:p>
        </w:tc>
        <w:tc>
          <w:tcPr>
            <w:tcW w:w="346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2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60" w:after="0"/>
              <w:jc w:val="left"/>
              <w:rPr>
                <w:rFonts w:eastAsia="Calibri"/>
                <w:sz w:val="22"/>
                <w:szCs w:val="22"/>
                <w:lang w:eastAsia="x-none"/>
              </w:rPr>
            </w:pPr>
            <w:r>
              <w:rPr>
                <w:rFonts w:eastAsia="Calibri"/>
                <w:sz w:val="22"/>
                <w:szCs w:val="22"/>
                <w:lang w:eastAsia="x-none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65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6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22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160"/>
              <w:jc w:val="left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Срок гарантии поставщика</w:t>
            </w:r>
          </w:p>
        </w:tc>
        <w:tc>
          <w:tcPr>
            <w:tcW w:w="4255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ind w:left="0" w:hanging="0"/>
              <w:jc w:val="both"/>
              <w:rPr/>
            </w:pPr>
            <w:r>
              <w:rPr>
                <w:rStyle w:val="FontStyle16"/>
                <w:rFonts w:eastAsia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Гарантийный срок на поставленный Товар </w:t>
            </w: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должен соответствовать  сроку установленному предприятием-изготовителем, на момент</w:t>
            </w:r>
            <w:r>
              <w:rPr>
                <w:rStyle w:val="FontStyle16"/>
                <w:rFonts w:eastAsia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 xml:space="preserve"> подписания Акта приема-передачи Товара/товарной накладной, </w:t>
            </w:r>
            <w:r>
              <w:rPr>
                <w:rFonts w:eastAsia="Times New Roman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  <w:t>остаточный срок годности товара  должен составлять не менее 80% от срока годности, установленного предприятием- изготовителем.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  <w:kern w:val="0"/>
                <w:sz w:val="22"/>
                <w:szCs w:val="22"/>
                <w:lang w:val="ru-RU" w:eastAsia="ru-RU" w:bidi="ar-SA"/>
              </w:rPr>
            </w:pPr>
            <w:r>
              <w:rPr>
                <w:rFonts w:eastAsia="Calibri" w:cs="Times New Roman"/>
                <w:bCs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3464" w:type="dxa"/>
            <w:tcBorders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uppressAutoHyphens w:val="true"/>
              <w:spacing w:before="4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</w:r>
          </w:p>
        </w:tc>
      </w:tr>
      <w:tr>
        <w:trPr/>
        <w:tc>
          <w:tcPr>
            <w:tcW w:w="795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65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346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224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795" w:type="dxa"/>
            <w:tcBorders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</w:r>
          </w:p>
        </w:tc>
        <w:tc>
          <w:tcPr>
            <w:tcW w:w="2258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Документы, передаваемые вместе с  продукцией</w:t>
            </w:r>
          </w:p>
        </w:tc>
        <w:tc>
          <w:tcPr>
            <w:tcW w:w="4255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технические паспорта;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упаковочные листы, упаковочные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товарную накладную унифицированной формы ТОРГ-12 в 2 экз.;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протоколы заводских испытаний.</w:t>
            </w:r>
          </w:p>
        </w:tc>
        <w:tc>
          <w:tcPr>
            <w:tcW w:w="226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Calibri" w:cs="Times New Roman"/>
                <w:i/>
                <w:iCs/>
                <w:kern w:val="0"/>
                <w:sz w:val="22"/>
                <w:szCs w:val="22"/>
                <w:lang w:val="ru-RU" w:eastAsia="en-US" w:bidi="ar-SA"/>
              </w:rPr>
              <w:t>Согласие с требованием</w:t>
            </w:r>
          </w:p>
        </w:tc>
        <w:tc>
          <w:tcPr>
            <w:tcW w:w="346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2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95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  <w:lang w:val="en-US" w:eastAsia="x-none"/>
              </w:rPr>
              <w:t>5.</w:t>
            </w:r>
          </w:p>
        </w:tc>
        <w:tc>
          <w:tcPr>
            <w:tcW w:w="8776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rFonts w:eastAsia="Calibri"/>
                <w:b/>
                <w:i/>
                <w:iCs/>
                <w:sz w:val="22"/>
                <w:szCs w:val="22"/>
                <w:lang w:eastAsia="en-US"/>
              </w:rPr>
              <w:t>Прочие (дополнительные) требования к продукции</w:t>
            </w:r>
          </w:p>
        </w:tc>
        <w:tc>
          <w:tcPr>
            <w:tcW w:w="3464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24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795" w:type="dxa"/>
            <w:tcBorders>
              <w:top w:val="nil"/>
            </w:tcBorders>
          </w:tcPr>
          <w:p>
            <w:pPr>
              <w:pStyle w:val="Normal"/>
              <w:widowControl w:val="false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 w:eastAsia="x-none"/>
              </w:rPr>
              <w:t>5.1</w:t>
            </w:r>
          </w:p>
        </w:tc>
        <w:tc>
          <w:tcPr>
            <w:tcW w:w="2258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60" w:leader="none"/>
              </w:tabs>
              <w:jc w:val="lef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Требования к происхождению поставляемой продукции</w:t>
            </w:r>
          </w:p>
        </w:tc>
        <w:tc>
          <w:tcPr>
            <w:tcW w:w="4255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jc w:val="left"/>
              <w:rPr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 соответствии с нормами Постановления Правительства РФ от 23.12.2024 №1875 при проведении настоящей закупки устанавливается ограничение закупок иностранных товаров, работ, услуг, в том числе минимальную обязательную долю закупок товаров российского происхождения</w:t>
            </w:r>
          </w:p>
        </w:tc>
        <w:tc>
          <w:tcPr>
            <w:tcW w:w="2263" w:type="dxa"/>
            <w:tcBorders>
              <w:top w:val="nil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Symbol" w:cs="Symbol"/>
                <w:i/>
                <w:sz w:val="22"/>
                <w:szCs w:val="22"/>
              </w:rPr>
              <w:t>Согласие с требованием</w:t>
            </w:r>
          </w:p>
        </w:tc>
        <w:tc>
          <w:tcPr>
            <w:tcW w:w="3464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200"/>
              <w:jc w:val="both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bCs w:val="false"/>
                <w:i/>
                <w:iCs/>
                <w:color w:val="auto"/>
                <w:kern w:val="0"/>
                <w:sz w:val="24"/>
                <w:szCs w:val="24"/>
                <w:lang w:val="uk-UA" w:eastAsia="en-US" w:bidi="ar-SA"/>
              </w:rPr>
              <w:t>Участник закупки обязан представить в составе заявки номер реестровой записи.</w:t>
            </w:r>
          </w:p>
        </w:tc>
        <w:tc>
          <w:tcPr>
            <w:tcW w:w="2224" w:type="dxa"/>
            <w:tcBorders>
              <w:top w:val="nil"/>
            </w:tcBorders>
          </w:tcPr>
          <w:p>
            <w:pPr>
              <w:pStyle w:val="Heading1"/>
              <w:keepLines/>
              <w:numPr>
                <w:ilvl w:val="0"/>
                <w:numId w:val="0"/>
              </w:numPr>
              <w:spacing w:before="120" w:after="60"/>
              <w:ind w:left="357" w:hanging="0"/>
              <w:jc w:val="center"/>
              <w:rPr>
                <w:sz w:val="24"/>
                <w:szCs w:val="24"/>
              </w:rPr>
            </w:pPr>
            <w:r>
              <w:rPr/>
            </w:r>
          </w:p>
        </w:tc>
      </w:tr>
    </w:tbl>
    <w:p>
      <w:pPr>
        <w:sectPr>
          <w:headerReference w:type="default" r:id="rId6"/>
          <w:headerReference w:type="first" r:id="rId7"/>
          <w:type w:val="nextPage"/>
          <w:pgSz w:orient="landscape" w:w="16838" w:h="11906"/>
          <w:pgMar w:left="992" w:right="567" w:gutter="0" w:header="397" w:top="568" w:footer="0" w:bottom="624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rPr/>
      </w:pPr>
      <w:r>
        <w:rPr/>
      </w:r>
    </w:p>
    <w:p>
      <w:pPr>
        <w:pStyle w:val="BodyText"/>
        <w:widowControl w:val="false"/>
        <w:tabs>
          <w:tab w:val="clear" w:pos="720"/>
          <w:tab w:val="left" w:pos="426" w:leader="none"/>
        </w:tabs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eastAsia="Calibri"/>
          <w:b/>
          <w:iCs/>
          <w:sz w:val="24"/>
          <w:szCs w:val="24"/>
          <w:lang w:val="x-none" w:eastAsia="x-none"/>
        </w:rPr>
      </w:pPr>
      <w:r>
        <w:rPr>
          <w:rFonts w:eastAsia="Calibri"/>
          <w:b/>
          <w:iCs/>
          <w:sz w:val="24"/>
          <w:szCs w:val="24"/>
          <w:lang w:val="x-none" w:eastAsia="x-none"/>
        </w:rPr>
      </w:r>
      <w:bookmarkStart w:id="46" w:name="__RefHeading___Toc1439202_3604399662"/>
      <w:bookmarkStart w:id="47" w:name="_Toc75446584"/>
      <w:bookmarkStart w:id="48" w:name="__RefHeading___Toc1439202_3604399662"/>
      <w:bookmarkStart w:id="49" w:name="_Toc75446584"/>
      <w:bookmarkEnd w:id="48"/>
      <w:bookmarkEnd w:id="49"/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lang w:val="ru-RU"/>
        </w:rPr>
      </w:pPr>
      <w:bookmarkStart w:id="50" w:name="_Toc75446583_Копия_1"/>
      <w:bookmarkStart w:id="51" w:name="_Toc53393312_Копия_1"/>
      <w:r>
        <w:rPr>
          <w:lang w:val="ru-RU"/>
        </w:rPr>
        <w:t>Требования к документации по ценообразованию</w:t>
      </w:r>
      <w:bookmarkEnd w:id="51"/>
      <w:r>
        <w:rPr>
          <w:lang w:val="ru-RU"/>
        </w:rPr>
        <w:t xml:space="preserve"> на этапе закупки</w:t>
      </w:r>
      <w:bookmarkEnd w:id="50"/>
    </w:p>
    <w:p>
      <w:pPr>
        <w:pStyle w:val="Normal"/>
        <w:widowControl w:val="false"/>
        <w:tabs>
          <w:tab w:val="clear" w:pos="720"/>
          <w:tab w:val="left" w:pos="426" w:leader="none"/>
        </w:tabs>
        <w:spacing w:before="60" w:after="0"/>
        <w:jc w:val="both"/>
        <w:rPr>
          <w:rStyle w:val="Style8"/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numPr>
          <w:ilvl w:val="1"/>
          <w:numId w:val="8"/>
        </w:numPr>
        <w:suppressAutoHyphens w:val="false"/>
        <w:spacing w:before="0" w:after="120"/>
        <w:ind w:left="709" w:hanging="425"/>
        <w:jc w:val="both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  <w:t xml:space="preserve">В обоснование стоимости своей заявки Участник предоставляет Коммерческое предложение по форме </w:t>
      </w:r>
      <w:bookmarkStart w:id="52" w:name="_Hlk88325985"/>
      <w:r>
        <w:rPr>
          <w:bCs/>
          <w:i/>
          <w:iCs/>
          <w:sz w:val="24"/>
          <w:szCs w:val="24"/>
          <w:lang w:eastAsia="x-none"/>
        </w:rPr>
        <w:t>(с учетом прилагаемой к ней инструкции по заполнению)</w:t>
      </w:r>
      <w:bookmarkEnd w:id="52"/>
      <w:r>
        <w:rPr>
          <w:bCs/>
          <w:i/>
          <w:iCs/>
          <w:sz w:val="24"/>
          <w:szCs w:val="24"/>
          <w:lang w:eastAsia="x-none"/>
        </w:rPr>
        <w:t xml:space="preserve">, </w:t>
      </w:r>
    </w:p>
    <w:p>
      <w:pPr>
        <w:pStyle w:val="Normal"/>
        <w:ind w:left="709" w:hanging="425"/>
        <w:rPr/>
      </w:pPr>
      <w:bookmarkStart w:id="53" w:name="_Hlk88327292"/>
      <w:r>
        <w:rPr>
          <w:bCs/>
          <w:i/>
          <w:iCs/>
          <w:sz w:val="24"/>
          <w:szCs w:val="24"/>
          <w:lang w:eastAsia="x-none"/>
        </w:rPr>
        <w:t>3.2. Дополнительные документы по ценообразованию</w:t>
      </w:r>
      <w:bookmarkEnd w:id="53"/>
      <w:r>
        <w:rPr>
          <w:bCs/>
          <w:i/>
          <w:iCs/>
          <w:sz w:val="24"/>
          <w:szCs w:val="24"/>
          <w:lang w:eastAsia="x-none"/>
        </w:rPr>
        <w:t xml:space="preserve"> в состав заявки не включаются.</w:t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sectPr>
          <w:headerReference w:type="default" r:id="rId8"/>
          <w:headerReference w:type="first" r:id="rId9"/>
          <w:type w:val="nextPage"/>
          <w:pgSz w:orient="landscape" w:w="16838" w:h="11906"/>
          <w:pgMar w:left="992" w:right="567" w:gutter="0" w:header="397" w:top="568" w:footer="0" w:bottom="624"/>
          <w:pgNumType w:fmt="decimal"/>
          <w:formProt w:val="false"/>
          <w:textDirection w:val="lrTb"/>
          <w:docGrid w:type="default" w:linePitch="381" w:charSpace="0"/>
        </w:sectPr>
        <w:pStyle w:val="Normal"/>
        <w:ind w:hanging="0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Normal"/>
        <w:ind w:left="709" w:hanging="425"/>
        <w:rPr>
          <w:bCs/>
          <w:i/>
          <w:i/>
          <w:iCs/>
          <w:sz w:val="24"/>
          <w:szCs w:val="24"/>
          <w:lang w:eastAsia="x-none"/>
        </w:rPr>
      </w:pPr>
      <w:r>
        <w:rPr>
          <w:bCs/>
          <w:i/>
          <w:iCs/>
          <w:sz w:val="24"/>
          <w:szCs w:val="24"/>
          <w:lang w:eastAsia="x-none"/>
        </w:rPr>
      </w:r>
    </w:p>
    <w:p>
      <w:pPr>
        <w:pStyle w:val="24"/>
        <w:keepNext w:val="false"/>
        <w:numPr>
          <w:ilvl w:val="0"/>
          <w:numId w:val="0"/>
        </w:numPr>
        <w:tabs>
          <w:tab w:val="left" w:pos="1134" w:leader="none"/>
          <w:tab w:val="left" w:pos="1440" w:leader="none"/>
          <w:tab w:val="left" w:pos="2736" w:leader="none"/>
        </w:tabs>
        <w:spacing w:lineRule="exact" w:line="360" w:before="0" w:after="160"/>
        <w:ind w:left="1134" w:hanging="1134"/>
        <w:jc w:val="both"/>
        <w:outlineLvl w:val="9"/>
        <w:rPr>
          <w:sz w:val="26"/>
        </w:rPr>
      </w:pPr>
      <w:r>
        <w:rPr/>
        <w:t>Ф</w:t>
      </w:r>
      <w:bookmarkStart w:id="54" w:name="_Toc141972716"/>
      <w:bookmarkStart w:id="55" w:name="_Ref511135236"/>
      <w:r>
        <w:rPr/>
        <w:t xml:space="preserve">орма </w:t>
      </w:r>
      <w:bookmarkEnd w:id="55"/>
      <w:r>
        <w:rPr/>
        <w:t>Коммерческого предложения</w:t>
      </w:r>
      <w:bookmarkEnd w:id="54"/>
    </w:p>
    <w:p>
      <w:pPr>
        <w:pStyle w:val="Normal"/>
        <w:keepNext w:val="true"/>
        <w:pBdr>
          <w:top w:val="single" w:sz="4" w:space="1" w:color="000000"/>
        </w:pBdr>
        <w:shd w:val="clear" w:color="auto" w:fill="D9D9D9" w:themeFill="background1" w:themeFillShade="d9"/>
        <w:spacing w:before="0" w:after="120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начало формы</w:t>
      </w:r>
    </w:p>
    <w:p>
      <w:pPr>
        <w:pStyle w:val="Normal"/>
        <w:ind w:hanging="0"/>
        <w:rPr>
          <w:sz w:val="24"/>
        </w:rPr>
      </w:pPr>
      <w:r>
        <w:rPr>
          <w:sz w:val="24"/>
        </w:rPr>
        <w:t xml:space="preserve">Приложение </w:t>
      </w:r>
      <w:r>
        <w:rPr>
          <w:sz w:val="24"/>
        </w:rPr>
        <w:fldChar w:fldCharType="begin"/>
      </w:r>
      <w:r>
        <w:rPr>
          <w:sz w:val="24"/>
        </w:rPr>
        <w:instrText xml:space="preserve"> SEQ Приложение \* ARABIC </w:instrText>
      </w:r>
      <w:r>
        <w:rPr>
          <w:sz w:val="24"/>
        </w:rPr>
        <w:fldChar w:fldCharType="separate"/>
      </w:r>
      <w:r>
        <w:rPr>
          <w:sz w:val="24"/>
        </w:rPr>
        <w:t>1</w:t>
      </w:r>
      <w:r>
        <w:rPr>
          <w:sz w:val="24"/>
        </w:rPr>
        <w:fldChar w:fldCharType="end"/>
      </w:r>
      <w:r>
        <w:rPr>
          <w:sz w:val="24"/>
        </w:rPr>
        <w:t xml:space="preserve"> к письму о подаче оферты</w:t>
        <w:br/>
        <w:t>от «____» _____________ г. №__________</w:t>
      </w:r>
    </w:p>
    <w:p>
      <w:pPr>
        <w:pStyle w:val="Normal"/>
        <w:rPr>
          <w:sz w:val="26"/>
        </w:rPr>
      </w:pPr>
      <w:r>
        <w:rPr>
          <w:sz w:val="26"/>
        </w:rPr>
      </w:r>
    </w:p>
    <w:p>
      <w:pPr>
        <w:pStyle w:val="Normal"/>
        <w:rPr>
          <w:b/>
          <w:sz w:val="32"/>
        </w:rPr>
      </w:pPr>
      <w:r>
        <w:rPr>
          <w:b/>
          <w:caps/>
          <w:spacing w:val="20"/>
        </w:rPr>
        <w:t>Коммерческое предложение</w:t>
      </w:r>
    </w:p>
    <w:p>
      <w:pPr>
        <w:pStyle w:val="Normal"/>
        <w:spacing w:before="0" w:after="120"/>
        <w:rPr/>
      </w:pPr>
      <w:r>
        <w:rPr/>
        <w:t>Наименование и ИНН Участника: _________________________________</w:t>
      </w:r>
    </w:p>
    <w:p>
      <w:pPr>
        <w:pStyle w:val="Normal"/>
        <w:rPr>
          <w:rStyle w:val="Style8"/>
          <w:b w:val="false"/>
          <w:sz w:val="26"/>
          <w:highlight w:val="lightGray"/>
        </w:rPr>
      </w:pPr>
      <w:r>
        <w:rPr>
          <w:i/>
          <w:highlight w:val="lightGray"/>
          <w:shd w:fill="BFBFBF" w:val="clear"/>
        </w:rPr>
        <w:t>[</w:t>
      </w:r>
      <w:r>
        <w:rPr>
          <w:rStyle w:val="Style8"/>
          <w:highlight w:val="lightGray"/>
          <w:shd w:fill="BFBFBF" w:val="clear"/>
        </w:rPr>
        <w:t xml:space="preserve">Здесь Участник приводит свое Коммерческое предложение вместе </w:t>
      </w:r>
      <w:r>
        <w:rPr>
          <w:rStyle w:val="Style8"/>
          <w:highlight w:val="lightGray"/>
          <w:u w:val="single"/>
          <w:shd w:fill="BFBFBF" w:val="clear"/>
        </w:rPr>
        <w:t>с приложением в обязательном порядке подтверждающей документации, составленной в соответствии с Техническими требованиями Заказчика</w:t>
      </w:r>
      <w:r>
        <w:rPr>
          <w:rStyle w:val="Style8"/>
          <w:highlight w:val="lightGray"/>
          <w:shd w:fill="BFBFBF" w:val="clear"/>
        </w:rPr>
        <w:t xml:space="preserve"> </w:t>
      </w:r>
    </w:p>
    <w:p>
      <w:pPr>
        <w:pStyle w:val="Normal"/>
        <w:ind w:hanging="0"/>
        <w:jc w:val="center"/>
        <w:rPr>
          <w:rStyle w:val="Style8"/>
          <w:b w:val="false"/>
        </w:rPr>
      </w:pPr>
      <w:r>
        <w:rPr>
          <w:b w:val="false"/>
        </w:rPr>
      </w:r>
    </w:p>
    <w:tbl>
      <w:tblPr>
        <w:tblW w:w="1483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24"/>
        <w:gridCol w:w="567"/>
        <w:gridCol w:w="992"/>
        <w:gridCol w:w="1702"/>
        <w:gridCol w:w="1982"/>
        <w:gridCol w:w="2980"/>
        <w:gridCol w:w="564"/>
        <w:gridCol w:w="1844"/>
        <w:gridCol w:w="1563"/>
        <w:gridCol w:w="710"/>
        <w:gridCol w:w="1276"/>
        <w:gridCol w:w="230"/>
      </w:tblGrid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firstLine="567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№ </w:t>
            </w:r>
            <w:r>
              <w:rPr>
                <w:rFonts w:eastAsia="Calibri"/>
                <w:sz w:val="18"/>
                <w:szCs w:val="18"/>
                <w:lang w:eastAsia="en-US"/>
              </w:rPr>
              <w:t>п/п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Наименование предлагаемой продукции (товары, работы, услуги)</w:t>
            </w:r>
            <w:r>
              <w:rPr>
                <w:rStyle w:val="Style8"/>
                <w:sz w:val="18"/>
                <w:szCs w:val="18"/>
                <w:highlight w:val="lightGray"/>
                <w:shd w:fill="BFBFBF" w:val="clear"/>
              </w:rPr>
              <w:t>]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Страна происхождения товара </w:t>
              <w:br/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Производитель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Номер реестровой записи из реестра, предусмотренного приложением №1 ПП 1875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Е</w:t>
            </w:r>
            <w:r>
              <w:rPr>
                <w:rFonts w:eastAsia="Calibri"/>
                <w:sz w:val="18"/>
                <w:szCs w:val="18"/>
                <w:lang w:eastAsia="en-US"/>
              </w:rPr>
              <w:t>д.</w:t>
            </w:r>
          </w:p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изм.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</w:rPr>
              <w:t xml:space="preserve">НМЦ единицы продукции (руб. без НДС) </w:t>
              <w:br/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i/>
                <w:i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Предлагаемая цена одной единицы </w:t>
            </w:r>
            <w:r>
              <w:rPr>
                <w:sz w:val="18"/>
                <w:szCs w:val="18"/>
              </w:rPr>
              <w:t>продукции</w:t>
            </w:r>
            <w:r>
              <w:rPr>
                <w:rFonts w:eastAsia="Calibri"/>
                <w:sz w:val="18"/>
                <w:szCs w:val="18"/>
                <w:lang w:eastAsia="en-US"/>
              </w:rPr>
              <w:t>, руб. без НДС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105" w:right="-81" w:hang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Итоговая стоимость позиции</w:t>
              <w:br/>
              <w:t>(руб. без НДС)</w:t>
            </w:r>
          </w:p>
        </w:tc>
        <w:tc>
          <w:tcPr>
            <w:tcW w:w="230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30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230" w:type="dxa"/>
            <w:tcBorders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123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  <w:t>ИТОГО без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3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Кроме того, НДС (__%):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3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</w:r>
          </w:p>
        </w:tc>
        <w:tc>
          <w:tcPr>
            <w:tcW w:w="1233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ИТОГО с НДС: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rFonts w:eastAsia="Calibri"/>
                <w:b/>
                <w:sz w:val="18"/>
                <w:szCs w:val="18"/>
                <w:lang w:eastAsia="en-US"/>
              </w:rPr>
            </w:r>
          </w:p>
        </w:tc>
        <w:tc>
          <w:tcPr>
            <w:tcW w:w="230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pStyle w:val="Normal"/>
        <w:jc w:val="center"/>
        <w:rPr>
          <w:i/>
          <w:i/>
        </w:rPr>
      </w:pPr>
      <w:r>
        <w:rPr>
          <w:i/>
          <w:highlight w:val="lightGray"/>
        </w:rPr>
        <w:t>В случае неуказания Участником в данной форме Страны происхождения товара и Производителя продукции и невозможности определения Организатором суммарной доли российской продукции в составе заявки – предлагаемый им товар будет считаться иностранного происхождения.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(подпись, М.П.)</w:t>
      </w:r>
    </w:p>
    <w:p>
      <w:pPr>
        <w:pStyle w:val="Normal"/>
        <w:jc w:val="center"/>
        <w:rPr/>
      </w:pPr>
      <w:r>
        <w:rPr/>
        <w:t>____________________________________</w:t>
      </w:r>
    </w:p>
    <w:p>
      <w:pPr>
        <w:pStyle w:val="Normal"/>
        <w:ind w:right="3684" w:firstLine="567"/>
        <w:jc w:val="center"/>
        <w:rPr>
          <w:vertAlign w:val="superscript"/>
        </w:rPr>
      </w:pPr>
      <w:r>
        <w:rPr>
          <w:vertAlign w:val="superscript"/>
        </w:rPr>
        <w:t>(фамилия, имя, отчество подписавшего, должность)</w:t>
      </w:r>
    </w:p>
    <w:p>
      <w:pPr>
        <w:sectPr>
          <w:headerReference w:type="default" r:id="rId10"/>
          <w:headerReference w:type="first" r:id="rId11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  <w:pStyle w:val="Normal"/>
        <w:pBdr>
          <w:bottom w:val="single" w:sz="4" w:space="1" w:color="000000"/>
        </w:pBdr>
        <w:shd w:val="clear" w:color="auto" w:fill="D9D9D9" w:themeFill="background1" w:themeFillShade="d9"/>
        <w:spacing w:before="0" w:after="120"/>
        <w:jc w:val="center"/>
        <w:rPr>
          <w:rFonts w:eastAsia="Calibri" w:eastAsiaTheme="minorHAnsi"/>
          <w:lang w:eastAsia="en-US"/>
        </w:rPr>
      </w:pPr>
      <w:r>
        <w:rPr>
          <w:rFonts w:eastAsia="Calibri" w:eastAsiaTheme="minorHAnsi"/>
          <w:lang w:eastAsia="en-US"/>
        </w:rPr>
        <w:t>конец формы</w:t>
      </w:r>
      <w:r>
        <w:br w:type="page"/>
      </w:r>
    </w:p>
    <w:p>
      <w:pPr>
        <w:pStyle w:val="24"/>
        <w:keepNext w:val="false"/>
        <w:numPr>
          <w:ilvl w:val="0"/>
          <w:numId w:val="0"/>
        </w:numPr>
        <w:tabs>
          <w:tab w:val="clear" w:pos="1134"/>
          <w:tab w:val="left" w:pos="1440" w:leader="none"/>
          <w:tab w:val="left" w:pos="2736" w:leader="none"/>
        </w:tabs>
        <w:spacing w:lineRule="exact" w:line="360" w:before="0" w:after="160"/>
        <w:ind w:left="0" w:hanging="0"/>
        <w:jc w:val="both"/>
        <w:outlineLvl w:val="9"/>
        <w:rPr>
          <w:rFonts w:ascii="Times New Roman" w:hAnsi="Times New Roman" w:cs="Times New Roman"/>
        </w:rPr>
      </w:pPr>
      <w:bookmarkStart w:id="56" w:name="_Toc141972717"/>
      <w:r>
        <w:rPr>
          <w:rFonts w:cs="Times New Roman"/>
        </w:rPr>
        <w:t>Инструкции по заполнению</w:t>
      </w:r>
      <w:bookmarkEnd w:id="56"/>
      <w:r>
        <w:rPr>
          <w:rFonts w:cs="Times New Roman"/>
        </w:rPr>
        <w:t xml:space="preserve"> Участник приводит номер и дату письма о подаче оферты, приложением к которому является данное Коммерческое предложение.</w:t>
      </w:r>
    </w:p>
    <w:p>
      <w:pPr>
        <w:pStyle w:val="Style23"/>
        <w:numPr>
          <w:ilvl w:val="0"/>
          <w:numId w:val="0"/>
        </w:numPr>
        <w:tabs>
          <w:tab w:val="clear" w:pos="1134"/>
          <w:tab w:val="left" w:pos="2268" w:leader="none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Участник указывает свое фирменное наименование (в т.ч. организационно-правовую форму) и свой ИНН.</w:t>
      </w:r>
    </w:p>
    <w:p>
      <w:pPr>
        <w:pStyle w:val="Style23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Все расчеты округляются до двух знаков после запятой.</w:t>
      </w:r>
    </w:p>
    <w:p>
      <w:pPr>
        <w:pStyle w:val="Style23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 xml:space="preserve">Результат суммирования стоимостей отдельных видов продукции, указанных в Коммерческом предложении, должен совпадать с суммами (в рублях без НДС и с НДС), указанными в Письме о подаче оферты </w:t>
      </w:r>
    </w:p>
    <w:p>
      <w:pPr>
        <w:pStyle w:val="Style23"/>
        <w:numPr>
          <w:ilvl w:val="0"/>
          <w:numId w:val="0"/>
        </w:numPr>
        <w:tabs>
          <w:tab w:val="clear" w:pos="1134"/>
        </w:tabs>
        <w:ind w:left="0" w:hanging="0"/>
        <w:rPr>
          <w:rFonts w:ascii="Times New Roman" w:hAnsi="Times New Roman" w:cs="Times New Roman"/>
        </w:rPr>
      </w:pPr>
      <w:r>
        <w:rPr>
          <w:rFonts w:cs="Times New Roman"/>
        </w:rPr>
        <w:t>Данная форма должна быть в обязательном порядке представлена в формате, доступном для редактирования (</w:t>
      </w:r>
      <w:r>
        <w:rPr>
          <w:rFonts w:cs="Times New Roman"/>
          <w:lang w:val="en-US"/>
        </w:rPr>
        <w:t>MicrosoftExcelSheet</w:t>
      </w:r>
      <w:r>
        <w:rPr>
          <w:rFonts w:cs="Times New Roman"/>
        </w:rPr>
        <w:t xml:space="preserve"> (*.</w:t>
      </w:r>
      <w:r>
        <w:rPr>
          <w:rFonts w:cs="Times New Roman"/>
          <w:lang w:val="en-US"/>
        </w:rPr>
        <w:t>xls</w:t>
      </w:r>
      <w:r>
        <w:rPr>
          <w:rFonts w:cs="Times New Roman"/>
        </w:rPr>
        <w:t>)).</w:t>
      </w:r>
    </w:p>
    <w:sectPr>
      <w:headerReference w:type="default" r:id="rId12"/>
      <w:headerReference w:type="first" r:id="rId13"/>
      <w:type w:val="nextPage"/>
      <w:pgSz w:w="11906" w:h="16838"/>
      <w:pgMar w:left="992" w:right="567" w:gutter="0" w:header="680" w:top="851" w:footer="0" w:bottom="851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footnote text" w:uiPriority="99"/>
    <w:lsdException w:name="caption" w:uiPriority="35" w:qFormat="1"/>
    <w:lsdException w:name="annotation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uiPriority="10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uiPriority="11" w:semiHidden="0" w:unhideWhenUsed="0" w:qFormat="1"/>
    <w:lsdException w:name="Hyperlink" w:uiPriority="99"/>
    <w:lsdException w:name="Strong" w:semiHidden="0" w:unhideWhenUsed="0" w:qFormat="1"/>
    <w:lsdException w:name="Emphasis" w:uiPriority="20" w:semiHidden="0" w:unhideWhenUsed="0" w:qFormat="1"/>
    <w:lsdException w:name="E-mail Signature" w:uiPriority="99"/>
    <w:lsdException w:name="Normal (Web)" w:uiPriority="99"/>
    <w:lsdException w:name="No List" w:uiPriority="99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20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 w:customStyle="1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3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1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yle15" w:customStyle="1">
    <w:name w:val="Символ нумерации"/>
    <w:qFormat/>
    <w:rPr/>
  </w:style>
  <w:style w:type="character" w:styleId="FontStyle16">
    <w:name w:val="Font Style16"/>
    <w:qFormat/>
    <w:rPr>
      <w:rFonts w:ascii="Times New Roman" w:hAnsi="Times New Roman" w:cs="Times New Roman"/>
      <w:sz w:val="22"/>
    </w:rPr>
  </w:style>
  <w:style w:type="character" w:styleId="Style16">
    <w:name w:val="Маркеры"/>
    <w:qFormat/>
    <w:rPr>
      <w:rFonts w:ascii="OpenSymbol" w:hAnsi="OpenSymbol" w:eastAsia="OpenSymbol" w:cs="OpenSymbol"/>
    </w:rPr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lang w:val="zxx" w:eastAsia="zxx" w:bidi="zxx"/>
    </w:rPr>
  </w:style>
  <w:style w:type="paragraph" w:styleId="Caption1">
    <w:name w:val="caption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Indexheading1">
    <w:name w:val="index heading1"/>
    <w:basedOn w:val="Style17"/>
    <w:qFormat/>
    <w:pPr/>
    <w:rPr/>
  </w:style>
  <w:style w:type="paragraph" w:styleId="Style19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20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1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2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3" w:customStyle="1">
    <w:name w:val="Подпункт"/>
    <w:basedOn w:val="Normal"/>
    <w:link w:val="11"/>
    <w:qFormat/>
    <w:rsid w:val="0076353a"/>
    <w:pPr>
      <w:tabs>
        <w:tab w:val="clear" w:pos="720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20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4" w:customStyle="1">
    <w:name w:val="Раздел регламента"/>
    <w:basedOn w:val="Normal"/>
    <w:qFormat/>
    <w:rsid w:val="00e228fa"/>
    <w:pPr/>
    <w:rPr/>
  </w:style>
  <w:style w:type="paragraph" w:styleId="Style25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6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7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7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8" w:customStyle="1">
    <w:name w:val="Пункт"/>
    <w:basedOn w:val="Normal"/>
    <w:qFormat/>
    <w:rsid w:val="00d22f6d"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9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0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1" w:customStyle="1">
    <w:name w:val="Подподпункт"/>
    <w:basedOn w:val="Style23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2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3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4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5" w:customStyle="1">
    <w:name w:val="Содержимое врезки"/>
    <w:basedOn w:val="Normal"/>
    <w:qFormat/>
    <w:pPr/>
    <w:rPr/>
  </w:style>
  <w:style w:type="paragraph" w:styleId="Title">
    <w:name w:val="Title"/>
    <w:basedOn w:val="Normal"/>
    <w:qFormat/>
    <w:pPr>
      <w:jc w:val="center"/>
    </w:pPr>
    <w:rPr>
      <w:b/>
      <w:bCs/>
      <w:sz w:val="26"/>
      <w:szCs w:val="24"/>
    </w:rPr>
  </w:style>
  <w:style w:type="paragraph" w:styleId="Style3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7" w:customStyle="1">
    <w:name w:val="Заголовок таблицы"/>
    <w:basedOn w:val="Style36"/>
    <w:qFormat/>
    <w:pPr>
      <w:jc w:val="center"/>
    </w:pPr>
    <w:rPr>
      <w:b/>
      <w:bCs/>
    </w:rPr>
  </w:style>
  <w:style w:type="paragraph" w:styleId="Western">
    <w:name w:val="western"/>
    <w:basedOn w:val="Normal"/>
    <w:qFormat/>
    <w:pPr>
      <w:suppressAutoHyphens w:val="false"/>
      <w:spacing w:beforeAutospacing="1" w:afterAutospacing="1"/>
    </w:pPr>
    <w:rPr>
      <w:sz w:val="24"/>
      <w:szCs w:val="24"/>
    </w:rPr>
  </w:style>
  <w:style w:type="paragraph" w:styleId="29">
    <w:name w:val="Абзац списка2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10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5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header" Target="header10.xml"/><Relationship Id="rId12" Type="http://schemas.openxmlformats.org/officeDocument/2006/relationships/header" Target="header11.xml"/><Relationship Id="rId13" Type="http://schemas.openxmlformats.org/officeDocument/2006/relationships/header" Target="header12.xml"/><Relationship Id="rId14" Type="http://schemas.openxmlformats.org/officeDocument/2006/relationships/numbering" Target="numbering.xml"/><Relationship Id="rId15" Type="http://schemas.openxmlformats.org/officeDocument/2006/relationships/fontTable" Target="fontTable.xml"/><Relationship Id="rId16" Type="http://schemas.openxmlformats.org/officeDocument/2006/relationships/settings" Target="settings.xml"/><Relationship Id="rId17" Type="http://schemas.openxmlformats.org/officeDocument/2006/relationships/theme" Target="theme/theme1.xml"/><Relationship Id="rId1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14B18-A5AD-4E88-A813-DF0C3D0FF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2001</TotalTime>
  <Application>AlterOffice/3.4.0.9$Linux_X86_64 LibreOffice_project/b8daf9e823b1a5463a2f48435ddc2e8696e7d4fc</Application>
  <AppVersion>15.0000</AppVersion>
  <Pages>10</Pages>
  <Words>1497</Words>
  <Characters>10446</Characters>
  <CharactersWithSpaces>11888</CharactersWithSpaces>
  <Paragraphs>217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2021-04-05T15:04:00Z</dcterms:created>
  <dc:creator>Быстров Олег Геннадьевич</dc:creator>
  <dc:description/>
  <dc:language>ru-RU</dc:language>
  <cp:lastModifiedBy>zabelkinans@corp.gidroogk.com</cp:lastModifiedBy>
  <cp:lastPrinted>2026-06-09T08:49:02Z</cp:lastPrinted>
  <dcterms:modified xsi:type="dcterms:W3CDTF">2026-08-07T13:09:18Z</dcterms:modified>
  <cp:revision>96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