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_rels/header2.xml.rels" ContentType="application/vnd.openxmlformats-package.relationships+xml"/>
  <Override PartName="/word/_rels/document.xml.rels" ContentType="application/vnd.openxmlformats-package.relationships+xml"/>
  <Override PartName="/word/header2.xml" ContentType="application/vnd.openxmlformats-officedocument.wordprocessingml.header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ind w:left="567" w:hanging="0"/>
        <w:rPr>
          <w:rFonts w:ascii="Verdana" w:hAnsi="Verdana"/>
        </w:rPr>
      </w:pPr>
      <w:r>
        <w:rPr>
          <w:rFonts w:ascii="Verdana" w:hAnsi="Verdana"/>
        </w:rPr>
      </w:r>
    </w:p>
    <w:p>
      <w:pPr>
        <w:pStyle w:val="Normal"/>
        <w:ind w:left="567" w:hanging="0"/>
        <w:rPr>
          <w:rFonts w:ascii="Verdana" w:hAnsi="Verdana"/>
        </w:rPr>
      </w:pPr>
      <w:r>
        <w:rPr>
          <w:rFonts w:ascii="Verdana" w:hAnsi="Verdana"/>
        </w:rPr>
      </w:r>
    </w:p>
    <w:p>
      <w:pPr>
        <w:pStyle w:val="Normal"/>
        <w:ind w:left="567" w:hanging="0"/>
        <w:rPr>
          <w:rFonts w:ascii="Verdana" w:hAnsi="Verdana"/>
        </w:rPr>
      </w:pPr>
      <w:r>
        <w:rPr>
          <w:rFonts w:ascii="Verdana" w:hAnsi="Verdana"/>
        </w:rPr>
      </w:r>
    </w:p>
    <w:p>
      <w:pPr>
        <w:pStyle w:val="Normal"/>
        <w:ind w:left="567" w:hanging="0"/>
        <w:rPr>
          <w:rFonts w:ascii="Verdana" w:hAnsi="Verdana"/>
        </w:rPr>
      </w:pPr>
      <w:r>
        <w:rPr>
          <w:rFonts w:ascii="Verdana" w:hAnsi="Verdana"/>
        </w:rPr>
        <w:t xml:space="preserve"> </w:t>
      </w:r>
    </w:p>
    <w:p>
      <w:pPr>
        <w:pStyle w:val="Normal"/>
        <w:ind w:left="567" w:hanging="0"/>
        <w:rPr>
          <w:rFonts w:ascii="Verdana" w:hAnsi="Verdana"/>
        </w:rPr>
      </w:pPr>
      <w:r>
        <w:rPr>
          <w:rFonts w:ascii="Verdana" w:hAnsi="Verdana"/>
        </w:rPr>
      </w:r>
    </w:p>
    <w:p>
      <w:pPr>
        <w:pStyle w:val="Normal"/>
        <w:ind w:left="567" w:hanging="0"/>
        <w:rPr>
          <w:rFonts w:ascii="Verdana" w:hAnsi="Verdana"/>
        </w:rPr>
      </w:pPr>
      <w:r>
        <w:rPr>
          <w:rFonts w:ascii="Verdana" w:hAnsi="Verdana"/>
        </w:rPr>
      </w:r>
    </w:p>
    <w:p>
      <w:pPr>
        <w:pStyle w:val="Normal"/>
        <w:ind w:left="567" w:hanging="0"/>
        <w:rPr>
          <w:rFonts w:ascii="Verdana" w:hAnsi="Verdana"/>
        </w:rPr>
      </w:pPr>
      <w:r>
        <w:rPr>
          <w:rFonts w:ascii="Verdana" w:hAnsi="Verdana"/>
        </w:rPr>
      </w:r>
    </w:p>
    <w:p>
      <w:pPr>
        <w:pStyle w:val="Normal"/>
        <w:ind w:left="567" w:hanging="0"/>
        <w:rPr>
          <w:rFonts w:ascii="Verdana" w:hAnsi="Verdana"/>
        </w:rPr>
      </w:pPr>
      <w:r>
        <w:rPr>
          <w:rFonts w:ascii="Verdana" w:hAnsi="Verdana"/>
        </w:rPr>
      </w:r>
    </w:p>
    <w:p>
      <w:pPr>
        <w:pStyle w:val="Normal"/>
        <w:ind w:left="567" w:hanging="0"/>
        <w:rPr>
          <w:rFonts w:ascii="Verdana" w:hAnsi="Verdana"/>
        </w:rPr>
      </w:pPr>
      <w:r>
        <w:rPr>
          <w:rFonts w:ascii="Verdana" w:hAnsi="Verdana"/>
        </w:rPr>
      </w:r>
    </w:p>
    <w:p>
      <w:pPr>
        <w:pStyle w:val="Normal"/>
        <w:ind w:left="567" w:hanging="0"/>
        <w:rPr>
          <w:lang w:val="en-US"/>
        </w:rPr>
      </w:pPr>
      <w:r>
        <w:rPr>
          <w:rFonts w:ascii="Verdana" w:hAnsi="Verdana"/>
        </w:rPr>
        <w:t xml:space="preserve"> </w:t>
      </w:r>
      <w:r>
        <w:rPr>
          <w:rFonts w:ascii="Verdana" w:hAnsi="Verdana"/>
          <w:lang w:val="en-US"/>
        </w:rPr>
        <w:t xml:space="preserve">   </w:t>
      </w:r>
    </w:p>
    <w:p>
      <w:pPr>
        <w:pStyle w:val="Normal"/>
        <w:ind w:left="567" w:hanging="0"/>
        <w:rPr>
          <w:sz w:val="24"/>
        </w:rPr>
      </w:pPr>
      <w:r>
        <w:rPr>
          <w:sz w:val="24"/>
        </w:rPr>
        <w:t>О предоставлении ТКП</w:t>
      </w:r>
    </w:p>
    <w:p>
      <w:pPr>
        <w:pStyle w:val="Normal"/>
        <w:ind w:left="567" w:hanging="0"/>
        <w:rPr>
          <w:sz w:val="24"/>
          <w:lang w:eastAsia="ru-RU"/>
        </w:rPr>
      </w:pPr>
      <w:r>
        <w:rPr>
          <w:sz w:val="24"/>
          <w:lang w:eastAsia="ru-RU"/>
        </w:rPr>
      </w:r>
    </w:p>
    <w:p>
      <w:pPr>
        <w:pStyle w:val="Normal"/>
        <w:ind w:left="567" w:hanging="0"/>
        <w:rPr>
          <w:sz w:val="24"/>
          <w:lang w:eastAsia="ru-RU"/>
        </w:rPr>
      </w:pPr>
      <w:r>
        <w:rPr>
          <w:sz w:val="24"/>
          <w:lang w:eastAsia="ru-RU"/>
        </w:rPr>
      </w:r>
    </w:p>
    <w:p>
      <w:pPr>
        <w:pStyle w:val="Normal"/>
        <w:ind w:left="567" w:hanging="0"/>
        <w:rPr>
          <w:sz w:val="24"/>
          <w:lang w:eastAsia="ru-RU"/>
        </w:rPr>
      </w:pPr>
      <w:r>
        <w:rPr>
          <w:sz w:val="24"/>
          <w:lang w:eastAsia="ru-RU"/>
        </w:rPr>
      </w:r>
    </w:p>
    <w:p>
      <w:pPr>
        <w:pStyle w:val="Normal"/>
        <w:widowControl/>
        <w:suppressAutoHyphens w:val="true"/>
        <w:bidi w:val="0"/>
        <w:spacing w:before="0" w:after="0"/>
        <w:ind w:left="624" w:right="0" w:firstLine="567"/>
        <w:jc w:val="both"/>
        <w:rPr/>
      </w:pPr>
      <w:r>
        <w:rPr>
          <w:sz w:val="28"/>
          <w:szCs w:val="28"/>
        </w:rPr>
        <w:t xml:space="preserve">В целях подготовки закупочной процедуры на </w:t>
      </w:r>
      <w:bookmarkStart w:id="0" w:name="__DdeLink__11957_1381289162_Копия_1"/>
      <w:r>
        <w:rPr>
          <w:rFonts w:eastAsia="Calibri"/>
          <w:b w:val="false"/>
          <w:bCs w:val="false"/>
          <w:color w:val="000000"/>
          <w:sz w:val="28"/>
          <w:szCs w:val="28"/>
          <w:shd w:fill="FFFFFF" w:val="clear"/>
        </w:rPr>
        <w:t>«</w:t>
      </w:r>
      <w:r>
        <w:rPr>
          <w:rFonts w:eastAsia="Calibri"/>
          <w:b/>
          <w:bCs/>
          <w:color w:val="000000"/>
          <w:sz w:val="28"/>
          <w:szCs w:val="28"/>
          <w:shd w:fill="FFFFFF" w:val="clear"/>
        </w:rPr>
        <w:t xml:space="preserve">ОКПД2: 71.12.35.110 </w:t>
      </w:r>
      <w:bookmarkStart w:id="1" w:name="__DdeLink__11796_1381289162_Копия_1"/>
      <w:r>
        <w:rPr>
          <w:rStyle w:val="Style12"/>
          <w:rFonts w:eastAsia="Calibri"/>
          <w:b/>
          <w:bCs/>
          <w:color w:val="000000"/>
          <w:sz w:val="28"/>
          <w:szCs w:val="28"/>
          <w:shd w:fill="auto" w:val="clear"/>
        </w:rPr>
        <w:t>В</w:t>
      </w:r>
      <w:r>
        <w:rPr>
          <w:rStyle w:val="Style12"/>
          <w:rFonts w:eastAsia="Calibri"/>
          <w:bCs w:val="false"/>
          <w:color w:val="000000"/>
          <w:sz w:val="28"/>
          <w:szCs w:val="28"/>
          <w:shd w:fill="auto" w:val="clear"/>
        </w:rPr>
        <w:t xml:space="preserve">ыполнение </w:t>
      </w:r>
      <w:bookmarkEnd w:id="0"/>
      <w:bookmarkEnd w:id="1"/>
      <w:r>
        <w:rPr>
          <w:rStyle w:val="Style12"/>
          <w:rFonts w:eastAsia="Calibri"/>
          <w:bCs w:val="false"/>
          <w:color w:val="000000"/>
          <w:sz w:val="28"/>
          <w:szCs w:val="28"/>
          <w:shd w:fill="auto" w:val="clear"/>
        </w:rPr>
        <w:t>кадастровых работ на объектах Загорской ГАЭС-2»</w:t>
      </w:r>
      <w:r>
        <w:rPr>
          <w:sz w:val="28"/>
          <w:szCs w:val="28"/>
        </w:rPr>
        <w:t xml:space="preserve"> прошу предоставить технико-коммерческое предложение стоимости работ в соответствии с прилагаемыми техническими требованиями.</w:t>
      </w:r>
    </w:p>
    <w:p>
      <w:pPr>
        <w:pStyle w:val="Normal"/>
        <w:widowControl/>
        <w:suppressAutoHyphens w:val="true"/>
        <w:bidi w:val="0"/>
        <w:spacing w:before="0" w:after="0"/>
        <w:ind w:left="624" w:righ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Коммерческое предложение предоставить по шаблону таблицы №1:</w:t>
      </w:r>
    </w:p>
    <w:p>
      <w:pPr>
        <w:pStyle w:val="Normal"/>
        <w:widowControl/>
        <w:suppressAutoHyphens w:val="true"/>
        <w:bidi w:val="0"/>
        <w:spacing w:before="0" w:after="0"/>
        <w:ind w:left="624" w:righ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</w:t>
      </w:r>
      <w:r>
        <w:rPr>
          <w:sz w:val="28"/>
          <w:szCs w:val="28"/>
        </w:rPr>
        <w:t xml:space="preserve">Таблица №1 </w:t>
      </w:r>
    </w:p>
    <w:tbl>
      <w:tblPr>
        <w:tblW w:w="9579" w:type="dxa"/>
        <w:jc w:val="left"/>
        <w:tblInd w:w="664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3061"/>
        <w:gridCol w:w="1197"/>
        <w:gridCol w:w="2318"/>
        <w:gridCol w:w="1303"/>
        <w:gridCol w:w="1700"/>
      </w:tblGrid>
      <w:tr>
        <w:trPr/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7"/>
              <w:widowControl w:val="false"/>
              <w:jc w:val="center"/>
              <w:rPr/>
            </w:pPr>
            <w:r>
              <w:rPr>
                <w:b/>
                <w:bCs/>
                <w:sz w:val="20"/>
                <w:szCs w:val="20"/>
              </w:rPr>
              <w:t>Наименование предлагаемой продукции (товары, работы, услуги)</w:t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7"/>
              <w:widowControl w:val="false"/>
              <w:jc w:val="center"/>
              <w:rPr/>
            </w:pPr>
            <w:r>
              <w:rPr>
                <w:b/>
                <w:bCs/>
                <w:sz w:val="20"/>
                <w:szCs w:val="20"/>
              </w:rPr>
              <w:t>Ед. изм</w:t>
            </w:r>
          </w:p>
        </w:tc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7"/>
              <w:widowControl w:val="false"/>
              <w:jc w:val="center"/>
              <w:rPr/>
            </w:pPr>
            <w:r>
              <w:rPr>
                <w:b/>
                <w:bCs/>
                <w:sz w:val="20"/>
                <w:szCs w:val="20"/>
              </w:rPr>
              <w:t>Предлагаемая цена одной единицы продукции, руб. без НДС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7"/>
              <w:widowControl w:val="false"/>
              <w:jc w:val="center"/>
              <w:rPr/>
            </w:pPr>
            <w:r>
              <w:rPr>
                <w:b/>
                <w:bCs/>
                <w:sz w:val="20"/>
                <w:szCs w:val="20"/>
              </w:rPr>
              <w:t>Количество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7"/>
              <w:widowControl w:val="false"/>
              <w:jc w:val="center"/>
              <w:rPr/>
            </w:pPr>
            <w:r>
              <w:rPr>
                <w:b/>
                <w:bCs/>
                <w:sz w:val="20"/>
                <w:szCs w:val="20"/>
              </w:rPr>
              <w:t>Итоговая стоимость позиции, руб. без НДС</w:t>
            </w:r>
          </w:p>
        </w:tc>
      </w:tr>
      <w:tr>
        <w:trPr/>
        <w:tc>
          <w:tcPr>
            <w:tcW w:w="306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left"/>
              <w:rPr>
                <w:b w:val="false"/>
                <w:bCs w:val="false"/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rStyle w:val="Style12"/>
                <w:rFonts w:eastAsia="Calibri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shd w:fill="FFFFFF" w:val="clear"/>
                <w:lang w:eastAsia="en-US"/>
              </w:rPr>
              <w:t xml:space="preserve"> </w:t>
            </w:r>
            <w:r>
              <w:rPr>
                <w:rStyle w:val="Style12"/>
                <w:rFonts w:eastAsia="Calibri"/>
                <w:b w:val="false"/>
                <w:bCs/>
                <w:i w:val="false"/>
                <w:iCs w:val="false"/>
                <w:color w:val="000000"/>
                <w:sz w:val="20"/>
                <w:szCs w:val="20"/>
                <w:shd w:fill="auto" w:val="clear"/>
                <w:lang w:eastAsia="en-US"/>
              </w:rPr>
              <w:t xml:space="preserve">Выполнение работ по подготовке документов необходимых для постановки их на кадастровый учет </w:t>
            </w:r>
            <w:r>
              <w:rPr>
                <w:rStyle w:val="Style12"/>
                <w:rFonts w:eastAsia="Calibri"/>
                <w:b w:val="false"/>
                <w:bCs/>
                <w:i w:val="false"/>
                <w:iCs w:val="false"/>
                <w:color w:val="000000"/>
                <w:sz w:val="20"/>
                <w:szCs w:val="20"/>
                <w:shd w:fill="auto" w:val="clear"/>
                <w:lang w:eastAsia="en-US"/>
              </w:rPr>
              <w:t xml:space="preserve">двух </w:t>
            </w:r>
            <w:r>
              <w:rPr>
                <w:rStyle w:val="Style12"/>
                <w:rFonts w:eastAsia="Calibri"/>
                <w:b w:val="false"/>
                <w:bCs/>
                <w:i w:val="false"/>
                <w:iCs w:val="false"/>
                <w:color w:val="000000"/>
                <w:sz w:val="20"/>
                <w:szCs w:val="20"/>
                <w:shd w:fill="auto" w:val="clear"/>
                <w:lang w:eastAsia="en-US"/>
              </w:rPr>
              <w:t>земельных участков расположенных на кадастровых кварталах №№ 50:05:0100110, 50:05:0110101 и по постановке на государственный кадастровый учет новообразованных земельных участков.</w:t>
            </w:r>
          </w:p>
        </w:tc>
        <w:tc>
          <w:tcPr>
            <w:tcW w:w="119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7"/>
              <w:widowControl w:val="false"/>
              <w:jc w:val="center"/>
              <w:rPr>
                <w:b w:val="false"/>
                <w:bCs w:val="false"/>
                <w:sz w:val="20"/>
                <w:szCs w:val="20"/>
              </w:rPr>
            </w:pPr>
            <w:r>
              <w:rPr>
                <w:b w:val="false"/>
                <w:bCs w:val="false"/>
                <w:sz w:val="20"/>
                <w:szCs w:val="20"/>
              </w:rPr>
              <w:t>шт</w:t>
            </w:r>
          </w:p>
        </w:tc>
        <w:tc>
          <w:tcPr>
            <w:tcW w:w="23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7"/>
              <w:widowControl w:val="false"/>
              <w:jc w:val="center"/>
              <w:rPr>
                <w:b w:val="false"/>
                <w:bCs w:val="false"/>
                <w:sz w:val="20"/>
                <w:szCs w:val="20"/>
              </w:rPr>
            </w:pPr>
            <w:r>
              <w:rPr>
                <w:b w:val="false"/>
                <w:bCs w:val="false"/>
                <w:sz w:val="20"/>
                <w:szCs w:val="20"/>
              </w:rPr>
              <w:t>……</w:t>
            </w:r>
            <w:r>
              <w:rPr>
                <w:b w:val="false"/>
                <w:bCs w:val="false"/>
                <w:sz w:val="20"/>
                <w:szCs w:val="20"/>
              </w:rPr>
              <w:t>.</w:t>
            </w:r>
          </w:p>
        </w:tc>
        <w:tc>
          <w:tcPr>
            <w:tcW w:w="13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7"/>
              <w:widowControl w:val="false"/>
              <w:jc w:val="center"/>
              <w:rPr>
                <w:b w:val="false"/>
                <w:bCs w:val="false"/>
                <w:sz w:val="20"/>
                <w:szCs w:val="20"/>
              </w:rPr>
            </w:pPr>
            <w:r>
              <w:rPr>
                <w:b w:val="false"/>
                <w:bCs w:val="false"/>
                <w:sz w:val="20"/>
                <w:szCs w:val="20"/>
              </w:rPr>
              <w:t>2</w:t>
            </w:r>
          </w:p>
        </w:tc>
        <w:tc>
          <w:tcPr>
            <w:tcW w:w="1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7"/>
              <w:widowControl w:val="false"/>
              <w:jc w:val="center"/>
              <w:rPr>
                <w:b w:val="false"/>
                <w:bCs w:val="false"/>
                <w:sz w:val="20"/>
                <w:szCs w:val="20"/>
              </w:rPr>
            </w:pPr>
            <w:r>
              <w:rPr>
                <w:b w:val="false"/>
                <w:bCs w:val="false"/>
                <w:sz w:val="20"/>
                <w:szCs w:val="20"/>
              </w:rPr>
              <w:t>…</w:t>
            </w:r>
            <w:r>
              <w:rPr>
                <w:b w:val="false"/>
                <w:bCs w:val="false"/>
                <w:sz w:val="20"/>
                <w:szCs w:val="20"/>
              </w:rPr>
              <w:t>...</w:t>
            </w:r>
          </w:p>
        </w:tc>
      </w:tr>
      <w:tr>
        <w:trPr/>
        <w:tc>
          <w:tcPr>
            <w:tcW w:w="306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bookmarkStart w:id="2" w:name="__RefHeading___Toc3224_3650529325_Копия_"/>
            <w:bookmarkEnd w:id="2"/>
            <w:r>
              <w:rPr>
                <w:rStyle w:val="Style12"/>
                <w:b w:val="false"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  <w:shd w:fill="auto" w:val="clear"/>
              </w:rPr>
              <w:t>В</w:t>
            </w:r>
            <w:bookmarkStart w:id="3" w:name="__DdeLink__11822_1381289162_Копия_1"/>
            <w:r>
              <w:rPr>
                <w:rStyle w:val="Style12"/>
                <w:b w:val="false"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  <w:shd w:fill="auto" w:val="clear"/>
              </w:rPr>
              <w:t xml:space="preserve">ыполнение кадастровых работ по подготовке документов необходимых для постановки на кадастровый учет и регистрации права собственности </w:t>
            </w:r>
            <w:bookmarkEnd w:id="3"/>
            <w:r>
              <w:rPr>
                <w:rStyle w:val="Style12"/>
                <w:b w:val="false"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  <w:shd w:fill="auto" w:val="clear"/>
              </w:rPr>
              <w:t>автодороги от нижнего бассейна Загорской ГАЭС-2 до ул. 40 лет Победы г. Краснозаводск., в том числе:</w:t>
            </w:r>
          </w:p>
        </w:tc>
        <w:tc>
          <w:tcPr>
            <w:tcW w:w="119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7"/>
              <w:widowControl w:val="false"/>
              <w:jc w:val="center"/>
              <w:rPr>
                <w:b w:val="false"/>
                <w:bCs w:val="false"/>
                <w:sz w:val="20"/>
                <w:szCs w:val="20"/>
              </w:rPr>
            </w:pPr>
            <w:r>
              <w:rPr>
                <w:b w:val="false"/>
                <w:bCs w:val="false"/>
                <w:sz w:val="20"/>
                <w:szCs w:val="20"/>
              </w:rPr>
              <w:t>шт</w:t>
            </w:r>
          </w:p>
        </w:tc>
        <w:tc>
          <w:tcPr>
            <w:tcW w:w="23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7"/>
              <w:widowControl w:val="false"/>
              <w:jc w:val="center"/>
              <w:rPr>
                <w:b w:val="false"/>
                <w:bCs w:val="false"/>
                <w:sz w:val="20"/>
                <w:szCs w:val="20"/>
              </w:rPr>
            </w:pPr>
            <w:r>
              <w:rPr>
                <w:b w:val="false"/>
                <w:bCs w:val="false"/>
                <w:sz w:val="20"/>
                <w:szCs w:val="20"/>
              </w:rPr>
              <w:t>…</w:t>
            </w:r>
            <w:r>
              <w:rPr>
                <w:b w:val="false"/>
                <w:bCs w:val="false"/>
                <w:sz w:val="20"/>
                <w:szCs w:val="20"/>
              </w:rPr>
              <w:t>..</w:t>
            </w:r>
          </w:p>
        </w:tc>
        <w:tc>
          <w:tcPr>
            <w:tcW w:w="13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7"/>
              <w:widowControl w:val="false"/>
              <w:jc w:val="center"/>
              <w:rPr>
                <w:b w:val="false"/>
                <w:bCs w:val="false"/>
                <w:sz w:val="20"/>
                <w:szCs w:val="20"/>
              </w:rPr>
            </w:pPr>
            <w:r>
              <w:rPr>
                <w:b w:val="false"/>
                <w:bCs w:val="false"/>
                <w:sz w:val="20"/>
                <w:szCs w:val="20"/>
              </w:rPr>
              <w:t>1</w:t>
            </w:r>
          </w:p>
        </w:tc>
        <w:tc>
          <w:tcPr>
            <w:tcW w:w="1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7"/>
              <w:widowControl w:val="false"/>
              <w:jc w:val="center"/>
              <w:rPr>
                <w:b w:val="false"/>
                <w:bCs w:val="false"/>
                <w:sz w:val="20"/>
                <w:szCs w:val="20"/>
              </w:rPr>
            </w:pPr>
            <w:r>
              <w:rPr>
                <w:b w:val="false"/>
                <w:bCs w:val="false"/>
                <w:sz w:val="20"/>
                <w:szCs w:val="20"/>
              </w:rPr>
            </w:r>
          </w:p>
        </w:tc>
      </w:tr>
      <w:tr>
        <w:trPr/>
        <w:tc>
          <w:tcPr>
            <w:tcW w:w="306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rStyle w:val="Style12"/>
                <w:b w:val="false"/>
                <w:bCs/>
                <w:i w:val="false"/>
                <w:color w:val="000000"/>
                <w:sz w:val="20"/>
                <w:szCs w:val="20"/>
                <w:shd w:fill="auto" w:val="clear"/>
              </w:rPr>
              <w:t>Выполнение кадастровых работ по подготовке документов необходимых для снятие с кадастрового учет сооружения «Плотина бетонная водосбросная верховая» с кадастровым номером 50:05:0000000:75585:</w:t>
            </w:r>
          </w:p>
        </w:tc>
        <w:tc>
          <w:tcPr>
            <w:tcW w:w="119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7"/>
              <w:widowControl w:val="false"/>
              <w:jc w:val="center"/>
              <w:rPr>
                <w:b w:val="false"/>
                <w:bCs w:val="false"/>
                <w:sz w:val="20"/>
                <w:szCs w:val="20"/>
              </w:rPr>
            </w:pPr>
            <w:r>
              <w:rPr>
                <w:b w:val="false"/>
                <w:bCs w:val="false"/>
                <w:sz w:val="20"/>
                <w:szCs w:val="20"/>
              </w:rPr>
              <w:t>шт</w:t>
            </w:r>
          </w:p>
        </w:tc>
        <w:tc>
          <w:tcPr>
            <w:tcW w:w="23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7"/>
              <w:widowControl w:val="false"/>
              <w:jc w:val="center"/>
              <w:rPr>
                <w:b w:val="false"/>
                <w:bCs w:val="false"/>
                <w:sz w:val="20"/>
                <w:szCs w:val="20"/>
              </w:rPr>
            </w:pPr>
            <w:r>
              <w:rPr>
                <w:b w:val="false"/>
                <w:bCs w:val="false"/>
                <w:sz w:val="20"/>
                <w:szCs w:val="20"/>
              </w:rPr>
              <w:t>…</w:t>
            </w:r>
            <w:r>
              <w:rPr>
                <w:b w:val="false"/>
                <w:bCs w:val="false"/>
                <w:sz w:val="20"/>
                <w:szCs w:val="20"/>
              </w:rPr>
              <w:t>...</w:t>
            </w:r>
          </w:p>
        </w:tc>
        <w:tc>
          <w:tcPr>
            <w:tcW w:w="13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7"/>
              <w:widowControl w:val="false"/>
              <w:jc w:val="center"/>
              <w:rPr>
                <w:b w:val="false"/>
                <w:bCs w:val="false"/>
                <w:sz w:val="20"/>
                <w:szCs w:val="20"/>
              </w:rPr>
            </w:pPr>
            <w:r>
              <w:rPr>
                <w:b w:val="false"/>
                <w:bCs w:val="false"/>
                <w:sz w:val="20"/>
                <w:szCs w:val="20"/>
              </w:rPr>
              <w:t>1</w:t>
            </w:r>
          </w:p>
        </w:tc>
        <w:tc>
          <w:tcPr>
            <w:tcW w:w="1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7"/>
              <w:widowControl w:val="false"/>
              <w:jc w:val="center"/>
              <w:rPr>
                <w:b w:val="false"/>
                <w:bCs w:val="false"/>
                <w:sz w:val="20"/>
                <w:szCs w:val="20"/>
              </w:rPr>
            </w:pPr>
            <w:r>
              <w:rPr>
                <w:b w:val="false"/>
                <w:bCs w:val="false"/>
                <w:sz w:val="20"/>
                <w:szCs w:val="20"/>
              </w:rPr>
            </w:r>
          </w:p>
        </w:tc>
      </w:tr>
      <w:tr>
        <w:trPr/>
        <w:tc>
          <w:tcPr>
            <w:tcW w:w="306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rStyle w:val="Style12"/>
                <w:b w:val="false"/>
                <w:bCs/>
                <w:i w:val="false"/>
                <w:color w:val="000000"/>
                <w:sz w:val="20"/>
                <w:szCs w:val="20"/>
                <w:shd w:fill="auto" w:val="clear"/>
              </w:rPr>
              <w:t>Выполнение кадастровых работ по подготовке документов необходимых для постановки на кадастровый учет и регистрации права собственности на технологический проезд №23,</w:t>
            </w:r>
          </w:p>
        </w:tc>
        <w:tc>
          <w:tcPr>
            <w:tcW w:w="119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7"/>
              <w:widowControl w:val="false"/>
              <w:jc w:val="center"/>
              <w:rPr>
                <w:b w:val="false"/>
                <w:bCs w:val="false"/>
                <w:sz w:val="20"/>
                <w:szCs w:val="20"/>
              </w:rPr>
            </w:pPr>
            <w:r>
              <w:rPr>
                <w:b w:val="false"/>
                <w:bCs w:val="false"/>
                <w:sz w:val="20"/>
                <w:szCs w:val="20"/>
              </w:rPr>
              <w:t>шт</w:t>
            </w:r>
          </w:p>
        </w:tc>
        <w:tc>
          <w:tcPr>
            <w:tcW w:w="23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7"/>
              <w:widowControl w:val="false"/>
              <w:jc w:val="center"/>
              <w:rPr>
                <w:b w:val="false"/>
                <w:bCs w:val="false"/>
                <w:sz w:val="20"/>
                <w:szCs w:val="20"/>
              </w:rPr>
            </w:pPr>
            <w:r>
              <w:rPr>
                <w:b w:val="false"/>
                <w:bCs w:val="false"/>
                <w:sz w:val="20"/>
                <w:szCs w:val="20"/>
              </w:rPr>
              <w:t>…</w:t>
            </w:r>
          </w:p>
        </w:tc>
        <w:tc>
          <w:tcPr>
            <w:tcW w:w="13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7"/>
              <w:widowControl w:val="false"/>
              <w:jc w:val="center"/>
              <w:rPr>
                <w:b w:val="false"/>
                <w:bCs w:val="false"/>
                <w:sz w:val="20"/>
                <w:szCs w:val="20"/>
              </w:rPr>
            </w:pPr>
            <w:r>
              <w:rPr>
                <w:b w:val="false"/>
                <w:bCs w:val="false"/>
                <w:sz w:val="20"/>
                <w:szCs w:val="20"/>
              </w:rPr>
              <w:t>1</w:t>
            </w:r>
          </w:p>
        </w:tc>
        <w:tc>
          <w:tcPr>
            <w:tcW w:w="1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7"/>
              <w:widowControl w:val="false"/>
              <w:jc w:val="center"/>
              <w:rPr>
                <w:b w:val="false"/>
                <w:bCs w:val="false"/>
                <w:sz w:val="20"/>
                <w:szCs w:val="20"/>
              </w:rPr>
            </w:pPr>
            <w:r>
              <w:rPr>
                <w:b w:val="false"/>
                <w:bCs w:val="false"/>
                <w:sz w:val="20"/>
                <w:szCs w:val="20"/>
              </w:rPr>
            </w:r>
          </w:p>
        </w:tc>
      </w:tr>
      <w:tr>
        <w:trPr/>
        <w:tc>
          <w:tcPr>
            <w:tcW w:w="306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rStyle w:val="Style12"/>
                <w:b w:val="false"/>
                <w:bCs/>
                <w:i w:val="false"/>
                <w:color w:val="000000"/>
                <w:sz w:val="20"/>
                <w:szCs w:val="20"/>
                <w:shd w:fill="auto" w:val="clear"/>
              </w:rPr>
              <w:t xml:space="preserve">Выполнение кадастровых работ по подготовке документов необходимых для раздела земельного участка с кадастровым </w:t>
            </w:r>
            <w:r>
              <w:rPr>
                <w:rStyle w:val="Style12"/>
                <w:rFonts w:eastAsia="Times New Roman" w:cs="Times New Roman"/>
                <w:b w:val="false"/>
                <w:bCs/>
                <w:i w:val="false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№ 50:05:0110104:26</w:t>
            </w:r>
          </w:p>
        </w:tc>
        <w:tc>
          <w:tcPr>
            <w:tcW w:w="119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7"/>
              <w:widowControl w:val="false"/>
              <w:jc w:val="center"/>
              <w:rPr>
                <w:b w:val="false"/>
                <w:bCs w:val="false"/>
                <w:sz w:val="20"/>
                <w:szCs w:val="20"/>
              </w:rPr>
            </w:pPr>
            <w:r>
              <w:rPr>
                <w:b w:val="false"/>
                <w:bCs w:val="false"/>
                <w:sz w:val="20"/>
                <w:szCs w:val="20"/>
              </w:rPr>
              <w:t>шт</w:t>
            </w:r>
          </w:p>
        </w:tc>
        <w:tc>
          <w:tcPr>
            <w:tcW w:w="23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7"/>
              <w:widowControl w:val="false"/>
              <w:jc w:val="center"/>
              <w:rPr>
                <w:b w:val="false"/>
                <w:bCs w:val="false"/>
                <w:sz w:val="20"/>
                <w:szCs w:val="20"/>
              </w:rPr>
            </w:pPr>
            <w:r>
              <w:rPr>
                <w:b w:val="false"/>
                <w:bCs w:val="false"/>
                <w:sz w:val="20"/>
                <w:szCs w:val="20"/>
              </w:rPr>
            </w:r>
          </w:p>
        </w:tc>
        <w:tc>
          <w:tcPr>
            <w:tcW w:w="13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7"/>
              <w:widowControl w:val="false"/>
              <w:jc w:val="center"/>
              <w:rPr>
                <w:b w:val="false"/>
                <w:bCs w:val="false"/>
                <w:sz w:val="20"/>
                <w:szCs w:val="20"/>
              </w:rPr>
            </w:pPr>
            <w:r>
              <w:rPr>
                <w:b w:val="false"/>
                <w:bCs w:val="false"/>
                <w:sz w:val="20"/>
                <w:szCs w:val="20"/>
              </w:rPr>
              <w:t>1</w:t>
            </w:r>
          </w:p>
        </w:tc>
        <w:tc>
          <w:tcPr>
            <w:tcW w:w="1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7"/>
              <w:widowControl w:val="false"/>
              <w:jc w:val="center"/>
              <w:rPr>
                <w:b w:val="false"/>
                <w:bCs w:val="false"/>
                <w:sz w:val="20"/>
                <w:szCs w:val="20"/>
              </w:rPr>
            </w:pPr>
            <w:r>
              <w:rPr>
                <w:b w:val="false"/>
                <w:bCs w:val="false"/>
                <w:sz w:val="20"/>
                <w:szCs w:val="20"/>
              </w:rPr>
            </w:r>
          </w:p>
        </w:tc>
      </w:tr>
      <w:tr>
        <w:trPr/>
        <w:tc>
          <w:tcPr>
            <w:tcW w:w="306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rStyle w:val="Style12"/>
                <w:b w:val="false"/>
                <w:bCs/>
                <w:i w:val="false"/>
                <w:color w:val="000000"/>
                <w:sz w:val="20"/>
                <w:szCs w:val="20"/>
                <w:shd w:fill="auto" w:val="clear"/>
              </w:rPr>
              <w:t>В</w:t>
            </w:r>
            <w:bookmarkStart w:id="4" w:name="__DdeLink__11822_1381289162_Копия_3_Копи"/>
            <w:r>
              <w:rPr>
                <w:rStyle w:val="Style12"/>
                <w:b w:val="false"/>
                <w:bCs/>
                <w:i w:val="false"/>
                <w:color w:val="000000"/>
                <w:sz w:val="20"/>
                <w:szCs w:val="20"/>
                <w:shd w:fill="auto" w:val="clear"/>
              </w:rPr>
              <w:t xml:space="preserve">ыполнение кадастровых работ по подготовке документов необходимых для постановки на кадастровый учет и регистрации права собственности </w:t>
            </w:r>
            <w:bookmarkEnd w:id="4"/>
            <w:r>
              <w:rPr>
                <w:rStyle w:val="Style12"/>
                <w:b w:val="false"/>
                <w:bCs/>
                <w:i w:val="false"/>
                <w:color w:val="000000"/>
                <w:sz w:val="20"/>
                <w:szCs w:val="20"/>
                <w:shd w:fill="auto" w:val="clear"/>
              </w:rPr>
              <w:t xml:space="preserve">на объекты нижнего бассейна Загорской ГАЭС-2, </w:t>
            </w:r>
            <w:r>
              <w:rPr>
                <w:rStyle w:val="Style12"/>
                <w:b w:val="false"/>
                <w:bCs/>
                <w:i w:val="false"/>
                <w:color w:val="000000"/>
                <w:sz w:val="20"/>
                <w:szCs w:val="20"/>
                <w:shd w:fill="auto" w:val="clear"/>
              </w:rPr>
              <w:t>как комплекс объектов.</w:t>
            </w:r>
          </w:p>
        </w:tc>
        <w:tc>
          <w:tcPr>
            <w:tcW w:w="119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7"/>
              <w:widowControl w:val="false"/>
              <w:jc w:val="center"/>
              <w:rPr>
                <w:b w:val="false"/>
                <w:bCs w:val="false"/>
                <w:sz w:val="20"/>
                <w:szCs w:val="20"/>
              </w:rPr>
            </w:pPr>
            <w:r>
              <w:rPr>
                <w:b w:val="false"/>
                <w:bCs w:val="false"/>
                <w:sz w:val="20"/>
                <w:szCs w:val="20"/>
              </w:rPr>
              <w:t>шт</w:t>
            </w:r>
          </w:p>
        </w:tc>
        <w:tc>
          <w:tcPr>
            <w:tcW w:w="23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7"/>
              <w:widowControl w:val="false"/>
              <w:jc w:val="center"/>
              <w:rPr>
                <w:b w:val="false"/>
                <w:bCs w:val="false"/>
                <w:sz w:val="20"/>
                <w:szCs w:val="20"/>
              </w:rPr>
            </w:pPr>
            <w:r>
              <w:rPr>
                <w:b w:val="false"/>
                <w:bCs w:val="false"/>
                <w:sz w:val="20"/>
                <w:szCs w:val="20"/>
              </w:rPr>
            </w:r>
          </w:p>
        </w:tc>
        <w:tc>
          <w:tcPr>
            <w:tcW w:w="13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7"/>
              <w:widowControl w:val="false"/>
              <w:jc w:val="center"/>
              <w:rPr>
                <w:b w:val="false"/>
                <w:bCs w:val="false"/>
                <w:sz w:val="20"/>
                <w:szCs w:val="20"/>
              </w:rPr>
            </w:pPr>
            <w:r>
              <w:rPr>
                <w:b w:val="false"/>
                <w:bCs w:val="false"/>
                <w:sz w:val="20"/>
                <w:szCs w:val="20"/>
              </w:rPr>
              <w:t>1</w:t>
            </w:r>
          </w:p>
        </w:tc>
        <w:tc>
          <w:tcPr>
            <w:tcW w:w="1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7"/>
              <w:widowControl w:val="false"/>
              <w:jc w:val="center"/>
              <w:rPr>
                <w:b w:val="false"/>
                <w:bCs w:val="false"/>
                <w:sz w:val="20"/>
                <w:szCs w:val="20"/>
              </w:rPr>
            </w:pPr>
            <w:r>
              <w:rPr>
                <w:b w:val="false"/>
                <w:bCs w:val="false"/>
                <w:sz w:val="20"/>
                <w:szCs w:val="20"/>
              </w:rPr>
            </w:r>
          </w:p>
        </w:tc>
      </w:tr>
      <w:tr>
        <w:trPr/>
        <w:tc>
          <w:tcPr>
            <w:tcW w:w="7879" w:type="dxa"/>
            <w:gridSpan w:val="4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7"/>
              <w:widowControl w:val="false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Итого без НДС</w:t>
            </w:r>
          </w:p>
        </w:tc>
        <w:tc>
          <w:tcPr>
            <w:tcW w:w="1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7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W w:w="7879" w:type="dxa"/>
            <w:gridSpan w:val="4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7"/>
              <w:widowControl w:val="false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Кроме того, НДС</w:t>
            </w:r>
          </w:p>
        </w:tc>
        <w:tc>
          <w:tcPr>
            <w:tcW w:w="1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7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W w:w="7879" w:type="dxa"/>
            <w:gridSpan w:val="4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7"/>
              <w:widowControl w:val="false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Итого с НДС</w:t>
            </w:r>
          </w:p>
        </w:tc>
        <w:tc>
          <w:tcPr>
            <w:tcW w:w="1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7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</w:tbl>
    <w:p>
      <w:pPr>
        <w:pStyle w:val="Normal"/>
        <w:widowControl/>
        <w:suppressAutoHyphens w:val="true"/>
        <w:bidi w:val="0"/>
        <w:spacing w:before="120" w:after="0"/>
        <w:ind w:left="624" w:righ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Настоящий запрос не является публичной офертой и не влечет за собой возникновения каких-либо обязательств для Заказчика. Рассмотрение Заказчиком поступивших технико-коммерческих предложений не предполагает какого-либо информирования (в т.ч. публичного) лиц, подавших такие предложения, а также любых иных лиц о результатах произведенного рассмотрения.</w:t>
      </w:r>
    </w:p>
    <w:p>
      <w:pPr>
        <w:pStyle w:val="Normal"/>
        <w:widowControl/>
        <w:suppressAutoHyphens w:val="true"/>
        <w:bidi w:val="0"/>
        <w:spacing w:before="120" w:after="0"/>
        <w:ind w:left="624" w:righ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Ответ с технико-коммерческим предложением должен быть оформлен на официальном бланке организации и заверен подписью уполномоченного лица, а также печатью организации (при наличии), и в обязательном порядке содержать следующую информацию:</w:t>
      </w:r>
    </w:p>
    <w:p>
      <w:pPr>
        <w:pStyle w:val="Normal"/>
        <w:widowControl/>
        <w:suppressAutoHyphens w:val="true"/>
        <w:bidi w:val="0"/>
        <w:spacing w:before="120" w:after="0"/>
        <w:ind w:left="624" w:righ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• </w:t>
      </w:r>
      <w:r>
        <w:rPr>
          <w:sz w:val="28"/>
          <w:szCs w:val="28"/>
        </w:rPr>
        <w:t>дату направления предложения;</w:t>
      </w:r>
    </w:p>
    <w:p>
      <w:pPr>
        <w:pStyle w:val="Normal"/>
        <w:widowControl/>
        <w:suppressAutoHyphens w:val="true"/>
        <w:bidi w:val="0"/>
        <w:spacing w:before="120" w:after="0"/>
        <w:ind w:left="624" w:righ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• </w:t>
      </w:r>
      <w:r>
        <w:rPr>
          <w:sz w:val="28"/>
          <w:szCs w:val="28"/>
        </w:rPr>
        <w:t>полное наименование организации с указанием организационно-правовой формы (для юридических лиц);</w:t>
      </w:r>
    </w:p>
    <w:p>
      <w:pPr>
        <w:pStyle w:val="Normal"/>
        <w:widowControl/>
        <w:suppressAutoHyphens w:val="true"/>
        <w:bidi w:val="0"/>
        <w:spacing w:before="120" w:after="0"/>
        <w:ind w:left="624" w:righ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• </w:t>
      </w:r>
      <w:r>
        <w:rPr>
          <w:sz w:val="28"/>
          <w:szCs w:val="28"/>
        </w:rPr>
        <w:t>юридический адрес, почтовый адрес, ИНН;</w:t>
      </w:r>
    </w:p>
    <w:p>
      <w:pPr>
        <w:pStyle w:val="Normal"/>
        <w:widowControl/>
        <w:suppressAutoHyphens w:val="true"/>
        <w:bidi w:val="0"/>
        <w:spacing w:before="120" w:after="0"/>
        <w:ind w:left="624" w:righ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• </w:t>
      </w:r>
      <w:r>
        <w:rPr>
          <w:sz w:val="28"/>
          <w:szCs w:val="28"/>
        </w:rPr>
        <w:t>контактные данные: номер телефона, e-mail, ФИО контактного лица;</w:t>
      </w:r>
    </w:p>
    <w:p>
      <w:pPr>
        <w:pStyle w:val="Normal"/>
        <w:widowControl/>
        <w:suppressAutoHyphens w:val="true"/>
        <w:bidi w:val="0"/>
        <w:spacing w:before="120" w:after="0"/>
        <w:ind w:left="624" w:righ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•</w:t>
      </w:r>
      <w:r>
        <w:rPr>
          <w:sz w:val="28"/>
          <w:szCs w:val="28"/>
        </w:rPr>
        <w:t>предложения должны быть направлены в виде сканированной электронной копии на портале ЭТП РАД к соответствующему запросу.</w:t>
      </w:r>
    </w:p>
    <w:p>
      <w:pPr>
        <w:pStyle w:val="Normal"/>
        <w:widowControl/>
        <w:suppressAutoHyphens w:val="true"/>
        <w:bidi w:val="0"/>
        <w:spacing w:before="120" w:after="0"/>
        <w:ind w:left="624" w:right="0" w:firstLine="567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widowControl/>
        <w:suppressAutoHyphens w:val="true"/>
        <w:bidi w:val="0"/>
        <w:spacing w:before="120" w:after="0"/>
        <w:ind w:left="624" w:right="0" w:firstLine="567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widowControl/>
        <w:suppressAutoHyphens w:val="true"/>
        <w:bidi w:val="0"/>
        <w:spacing w:before="120" w:after="0"/>
        <w:ind w:left="624" w:righ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Приложение: Технические требования с приложениями.</w:t>
      </w:r>
    </w:p>
    <w:p>
      <w:pPr>
        <w:pStyle w:val="Normal"/>
        <w:widowControl/>
        <w:spacing w:before="120" w:after="0"/>
        <w:ind w:firstLine="567"/>
        <w:jc w:val="both"/>
        <w:rPr>
          <w:sz w:val="28"/>
          <w:szCs w:val="28"/>
        </w:rPr>
      </w:pPr>
      <w:r>
        <w:rPr/>
      </w:r>
    </w:p>
    <w:sectPr>
      <w:headerReference w:type="default" r:id="rId2"/>
      <w:headerReference w:type="first" r:id="rId3"/>
      <w:type w:val="nextPage"/>
      <w:pgSz w:w="11906" w:h="16838"/>
      <w:pgMar w:left="907" w:right="737" w:gutter="0" w:header="680" w:top="737" w:footer="0" w:bottom="1238"/>
      <w:pgNumType w:fmt="decimal"/>
      <w:formProt w:val="false"/>
      <w:titlePg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mbria">
    <w:charset w:val="01"/>
    <w:family w:val="roman"/>
    <w:pitch w:val="variable"/>
  </w:font>
  <w:font w:name="Times New Roman">
    <w:charset w:val="01"/>
    <w:family w:val="roman"/>
    <w:pitch w:val="variable"/>
  </w:font>
  <w:font w:name="Geneva CY">
    <w:charset w:val="01"/>
    <w:family w:val="roman"/>
    <w:pitch w:val="variable"/>
  </w:font>
  <w:font w:name="Lucida Grande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Verdana">
    <w:charset w:val="01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w:drawing>
        <wp:anchor behindDoc="1" distT="0" distB="0" distL="0" distR="0" simplePos="0" locked="0" layoutInCell="0" allowOverlap="1" relativeHeight="2">
          <wp:simplePos x="0" y="0"/>
          <wp:positionH relativeFrom="column">
            <wp:posOffset>393700</wp:posOffset>
          </wp:positionH>
          <wp:positionV relativeFrom="paragraph">
            <wp:posOffset>-168910</wp:posOffset>
          </wp:positionV>
          <wp:extent cx="3253740" cy="2711450"/>
          <wp:effectExtent l="0" t="0" r="0" b="0"/>
          <wp:wrapNone/>
          <wp:docPr id="1" name="Изображение1 Копия 1 Копия 1 Копия 1 Копия 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Изображение1 Копия 1 Копия 1 Копия 1 Копия 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3253740" cy="27114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>
    <w:pPr>
      <w:pStyle w:val="Header"/>
      <w:rPr/>
    </w:pPr>
    <w:r>
      <w:rPr/>
    </w:r>
  </w:p>
</w:hdr>
</file>

<file path=word/settings.xml><?xml version="1.0" encoding="utf-8"?>
<w:settings xmlns:w="http://schemas.openxmlformats.org/wordprocessingml/2006/main">
  <w:zoom w:percent="99"/>
  <w:defaultTabStop w:val="709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en-US" w:eastAsia="ja-JP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mbria" w:hAnsi="Cambria" w:eastAsia="MS Mincho" w:cs="Times New Roman"/>
        <w:lang w:val="en-US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Geneva" w:cs="Times New Roman"/>
      <w:color w:val="auto"/>
      <w:kern w:val="0"/>
      <w:sz w:val="28"/>
      <w:szCs w:val="20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9" w:customStyle="1">
    <w:name w:val="Верхний колонтитул Знак"/>
    <w:uiPriority w:val="99"/>
    <w:qFormat/>
    <w:rPr>
      <w:rFonts w:ascii="Geneva CY" w:hAnsi="Geneva CY" w:eastAsia="Geneva" w:cs="Times New Roman"/>
      <w:szCs w:val="20"/>
      <w:lang w:val="ru-RU" w:eastAsia="en-US"/>
    </w:rPr>
  </w:style>
  <w:style w:type="character" w:styleId="Pagenumber">
    <w:name w:val="page number"/>
    <w:basedOn w:val="DefaultParagraphFont"/>
    <w:qFormat/>
    <w:rPr/>
  </w:style>
  <w:style w:type="character" w:styleId="Style10" w:customStyle="1">
    <w:name w:val="Текст выноски Знак"/>
    <w:link w:val="BalloonText"/>
    <w:uiPriority w:val="99"/>
    <w:semiHidden/>
    <w:qFormat/>
    <w:rPr>
      <w:rFonts w:ascii="Lucida Grande" w:hAnsi="Lucida Grande" w:eastAsia="Geneva" w:cs="Times New Roman"/>
      <w:sz w:val="18"/>
      <w:szCs w:val="18"/>
      <w:lang w:val="ru-RU" w:eastAsia="en-US"/>
    </w:rPr>
  </w:style>
  <w:style w:type="character" w:styleId="Style11" w:customStyle="1">
    <w:name w:val="Нижний колонтитул Знак"/>
    <w:basedOn w:val="DefaultParagraphFont"/>
    <w:uiPriority w:val="99"/>
    <w:qFormat/>
    <w:rPr>
      <w:rFonts w:ascii="Geneva CY" w:hAnsi="Geneva CY" w:eastAsia="Geneva"/>
      <w:sz w:val="24"/>
      <w:lang w:val="ru-RU" w:eastAsia="en-US"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character" w:styleId="Style12">
    <w:name w:val="комментарий"/>
    <w:qFormat/>
    <w:rPr>
      <w:b/>
      <w:i/>
      <w:shd w:fill="FFFF99" w:val="clear"/>
    </w:rPr>
  </w:style>
  <w:style w:type="paragraph" w:styleId="Style13" w:customStyle="1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14">
    <w:name w:val="Указатель"/>
    <w:basedOn w:val="Normal"/>
    <w:qFormat/>
    <w:pPr>
      <w:suppressLineNumbers/>
    </w:pPr>
    <w:rPr/>
  </w:style>
  <w:style w:type="paragraph" w:styleId="Caption1">
    <w:name w:val="caption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/>
  </w:style>
  <w:style w:type="paragraph" w:styleId="Style15" w:customStyle="1">
    <w:name w:val="Колонтитул"/>
    <w:basedOn w:val="Normal"/>
    <w:qFormat/>
    <w:pPr/>
    <w:rPr/>
  </w:style>
  <w:style w:type="paragraph" w:styleId="Header">
    <w:name w:val="Header"/>
    <w:basedOn w:val="Normal"/>
    <w:link w:val="Style9"/>
    <w:uiPriority w:val="99"/>
    <w:pPr>
      <w:tabs>
        <w:tab w:val="clear" w:pos="709"/>
        <w:tab w:val="center" w:pos="4320" w:leader="none"/>
        <w:tab w:val="right" w:pos="8640" w:leader="none"/>
      </w:tabs>
    </w:pPr>
    <w:rPr/>
  </w:style>
  <w:style w:type="paragraph" w:styleId="BalloonText">
    <w:name w:val="Balloon Text"/>
    <w:basedOn w:val="Normal"/>
    <w:link w:val="Style10"/>
    <w:uiPriority w:val="99"/>
    <w:semiHidden/>
    <w:unhideWhenUsed/>
    <w:qFormat/>
    <w:pPr/>
    <w:rPr>
      <w:rFonts w:ascii="Lucida Grande" w:hAnsi="Lucida Grande"/>
      <w:sz w:val="18"/>
      <w:szCs w:val="18"/>
    </w:rPr>
  </w:style>
  <w:style w:type="paragraph" w:styleId="Footer">
    <w:name w:val="Footer"/>
    <w:basedOn w:val="Normal"/>
    <w:link w:val="Style11"/>
    <w:uiPriority w:val="99"/>
    <w:unhideWhenUsed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Style16" w:customStyle="1">
    <w:name w:val="Содержимое врезки"/>
    <w:basedOn w:val="Normal"/>
    <w:qFormat/>
    <w:pPr/>
    <w:rPr/>
  </w:style>
  <w:style w:type="paragraph" w:styleId="Style17" w:customStyle="1">
    <w:name w:val="Содержимое таблицы"/>
    <w:basedOn w:val="Normal"/>
    <w:qFormat/>
    <w:pPr>
      <w:widowControl w:val="false"/>
      <w:suppressLineNumbers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3">
    <w:name w:val="Table Grid"/>
    <w:basedOn w:val="a1"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1113</TotalTime>
  <Application>AlterOffice/3.4.0.9$Linux_X86_64 LibreOffice_project/b8daf9e823b1a5463a2f48435ddc2e8696e7d4fc</Application>
  <AppVersion>15.0000</AppVersion>
  <Pages>2</Pages>
  <Words>354</Words>
  <Characters>2463</Characters>
  <CharactersWithSpaces>2889</CharactersWithSpaces>
  <Paragraphs>45</Paragraphs>
  <Company>РусГидро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2023-03-30T13:01:00Z</dcterms:created>
  <dc:creator>Шейка С</dc:creator>
  <dc:description/>
  <dc:language>ru-RU</dc:language>
  <cp:lastModifiedBy/>
  <cp:lastPrinted>2025-02-07T16:30:58Z</cp:lastPrinted>
  <dcterms:modified xsi:type="dcterms:W3CDTF">2026-08-07T13:40:52Z</dcterms:modified>
  <cp:revision>67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