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media/image1.png" ContentType="image/png"/>
  <Override PartName="/word/media/image2.png" ContentType="image/png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end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color w:val="000000"/>
          <w:sz w:val="26"/>
          <w:szCs w:val="26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0" w:after="0"/>
        <w:jc w:val="center"/>
        <w:rPr/>
      </w:pPr>
      <w:bookmarkStart w:id="0" w:name="__DdeLink__11957_1381289162_Копия_1"/>
      <w:r>
        <w:rPr>
          <w:rFonts w:eastAsia="Calibri"/>
          <w:b w:val="false"/>
          <w:bCs w:val="false"/>
          <w:color w:val="000000"/>
          <w:sz w:val="26"/>
          <w:szCs w:val="26"/>
          <w:shd w:fill="FFFFFF" w:val="clear"/>
        </w:rPr>
        <w:t>«</w:t>
      </w:r>
      <w:r>
        <w:rPr>
          <w:rFonts w:eastAsia="Calibri"/>
          <w:b/>
          <w:bCs/>
          <w:color w:val="000000"/>
          <w:sz w:val="26"/>
          <w:szCs w:val="26"/>
          <w:shd w:fill="FFFFFF" w:val="clear"/>
        </w:rPr>
        <w:t xml:space="preserve">ОКПД2: 71.12.35.110 </w:t>
      </w:r>
      <w:bookmarkStart w:id="1" w:name="__DdeLink__11796_1381289162_Копия_1"/>
      <w:r>
        <w:rPr>
          <w:rStyle w:val="Style8"/>
          <w:rFonts w:eastAsia="Calibri"/>
          <w:b/>
          <w:bCs/>
          <w:color w:val="000000"/>
          <w:sz w:val="26"/>
          <w:szCs w:val="26"/>
          <w:shd w:fill="auto" w:val="clear"/>
        </w:rPr>
        <w:t>В</w:t>
      </w:r>
      <w:r>
        <w:rPr>
          <w:rStyle w:val="Style8"/>
          <w:rFonts w:eastAsia="Calibri"/>
          <w:bCs w:val="false"/>
          <w:color w:val="000000"/>
          <w:sz w:val="26"/>
          <w:szCs w:val="26"/>
          <w:shd w:fill="auto" w:val="clear"/>
        </w:rPr>
        <w:t xml:space="preserve">ыполнение </w:t>
      </w:r>
      <w:bookmarkEnd w:id="0"/>
      <w:bookmarkEnd w:id="1"/>
      <w:r>
        <w:rPr>
          <w:rStyle w:val="Style8"/>
          <w:rFonts w:eastAsia="Calibri"/>
          <w:bCs w:val="false"/>
          <w:color w:val="000000"/>
          <w:sz w:val="26"/>
          <w:szCs w:val="26"/>
          <w:shd w:fill="auto" w:val="clear"/>
        </w:rPr>
        <w:t xml:space="preserve">кадастровых работ на объектах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0" w:after="0"/>
        <w:jc w:val="center"/>
        <w:rPr/>
      </w:pPr>
      <w:r>
        <w:rPr>
          <w:rStyle w:val="Style8"/>
          <w:rFonts w:eastAsia="Calibri"/>
          <w:bCs w:val="false"/>
          <w:color w:val="000000"/>
          <w:sz w:val="26"/>
          <w:szCs w:val="26"/>
          <w:shd w:fill="auto" w:val="clear"/>
        </w:rPr>
        <w:t>Загорской ГАЭС-2»</w:t>
      </w:r>
    </w:p>
    <w:p>
      <w:pPr>
        <w:pStyle w:val="Normal"/>
        <w:keepNext w:val="true"/>
        <w:keepLines/>
        <w:jc w:val="both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jc w:val="center"/>
        <w:rPr/>
      </w:pPr>
      <w:r>
        <w:rPr>
          <w:b/>
          <w:color w:val="000000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"1-4"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4244_1901684530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46_1901684530">
            <w:r>
              <w:rPr>
                <w:webHidden/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48_1901684530">
            <w:r>
              <w:rPr>
                <w:webHidden/>
                <w:rStyle w:val="Style1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50_1901684530">
            <w:r>
              <w:rPr>
                <w:webHidden/>
                <w:rStyle w:val="Style14"/>
              </w:rPr>
              <w:t>1.3. Цель выполнения работ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921" w:leader="dot"/>
            </w:tabs>
            <w:rPr/>
          </w:pPr>
          <w:hyperlink w:anchor="__RefHeading___Toc4252_1901684530">
            <w:r>
              <w:rPr>
                <w:webHidden/>
                <w:rStyle w:val="Style14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254_1901684530">
            <w:r>
              <w:rPr>
                <w:webHidden/>
                <w:rStyle w:val="Style14"/>
              </w:rPr>
              <w:t>2.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56_1901684530">
            <w:r>
              <w:rPr>
                <w:webHidden/>
                <w:rStyle w:val="Style14"/>
              </w:rPr>
              <w:t>2.1. Требования к объемам и срокам выполнения работ</w:t>
              <w:tab/>
              <w:t>5</w:t>
            </w:r>
          </w:hyperlink>
        </w:p>
        <w:p>
          <w:pPr>
            <w:pStyle w:val="TOC3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58_1901684530">
            <w:r>
              <w:rPr>
                <w:webHidden/>
                <w:rStyle w:val="Style14"/>
              </w:rPr>
              <w:t>2.1.1. Требования к видам и объемам работ</w:t>
              <w:tab/>
              <w:t>5</w:t>
            </w:r>
          </w:hyperlink>
        </w:p>
        <w:p>
          <w:pPr>
            <w:pStyle w:val="TOC2"/>
            <w:tabs>
              <w:tab w:val="clear" w:pos="708"/>
              <w:tab w:val="right" w:pos="9921" w:leader="dot"/>
            </w:tabs>
            <w:rPr/>
          </w:pPr>
          <w:hyperlink w:anchor="__RefHeading___Toc4260_1901684530">
            <w:r>
              <w:rPr>
                <w:webHidden/>
                <w:rStyle w:val="Style14"/>
              </w:rPr>
              <w:t>Таблица 2. Перечень и объем выполняемых работ</w:t>
              <w:tab/>
              <w:t>5</w:t>
            </w:r>
          </w:hyperlink>
        </w:p>
        <w:p>
          <w:pPr>
            <w:pStyle w:val="TOC3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62_1901684530">
            <w:r>
              <w:rPr>
                <w:webHidden/>
                <w:rStyle w:val="Style14"/>
              </w:rPr>
              <w:t>2.1.2. Требования к срокам выполнения работ</w:t>
              <w:tab/>
              <w:t>6</w:t>
            </w:r>
          </w:hyperlink>
        </w:p>
        <w:p>
          <w:pPr>
            <w:pStyle w:val="TOC2"/>
            <w:tabs>
              <w:tab w:val="clear" w:pos="708"/>
              <w:tab w:val="right" w:pos="9921" w:leader="dot"/>
            </w:tabs>
            <w:rPr/>
          </w:pPr>
          <w:hyperlink w:anchor="__RefHeading___Toc4264_1901684530">
            <w:r>
              <w:rPr>
                <w:webHidden/>
                <w:rStyle w:val="Style14"/>
              </w:rPr>
              <w:t>Таблица 3. Требования по срокам выполнения работ</w:t>
              <w:tab/>
              <w:t>6</w:t>
            </w:r>
          </w:hyperlink>
        </w:p>
        <w:p>
          <w:pPr>
            <w:pStyle w:val="TOC4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266_1901684530">
            <w:r>
              <w:rPr>
                <w:webHidden/>
                <w:rStyle w:val="Style14"/>
              </w:rPr>
              <w:t>2.2. Требования к качеству продукции</w:t>
              <w:tab/>
              <w:t>8</w:t>
            </w:r>
          </w:hyperlink>
        </w:p>
        <w:p>
          <w:pPr>
            <w:pStyle w:val="TOC2"/>
            <w:tabs>
              <w:tab w:val="clear" w:pos="708"/>
              <w:tab w:val="right" w:pos="9921" w:leader="dot"/>
            </w:tabs>
            <w:rPr/>
          </w:pPr>
          <w:hyperlink w:anchor="__RefHeading___Toc4268_1901684530">
            <w:r>
              <w:rPr>
                <w:webHidden/>
                <w:rStyle w:val="Style14"/>
              </w:rPr>
              <w:t>Таблица 4. Требования к качеству продукции</w:t>
              <w:tab/>
              <w:t>8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270_1901684530">
            <w:r>
              <w:rPr>
                <w:webHidden/>
                <w:rStyle w:val="Style14"/>
              </w:rPr>
              <w:t>3. Требования к документации по ценообразованию</w:t>
              <w:tab/>
              <w:t>15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272_1901684530">
            <w:r>
              <w:rPr>
                <w:webHidden/>
                <w:rStyle w:val="Style14"/>
              </w:rPr>
              <w:t>4. Приложения</w:t>
              <w:tab/>
              <w:t>15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20" w:leader="dot"/>
        </w:tabs>
        <w:spacing w:before="0" w:after="0"/>
        <w:rPr/>
      </w:pPr>
      <w:r>
        <w:rPr/>
      </w:r>
    </w:p>
    <w:p>
      <w:pPr>
        <w:pStyle w:val="Heading2"/>
        <w:tabs>
          <w:tab w:val="clear" w:pos="0"/>
        </w:tabs>
        <w:spacing w:before="0" w:after="0"/>
        <w:ind w:star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before="0" w:after="0"/>
        <w:ind w:start="0" w:hanging="0"/>
        <w:jc w:val="center"/>
        <w:rPr/>
      </w:pPr>
      <w:bookmarkStart w:id="2" w:name="__RefHeading___Toc4244_1901684530"/>
      <w:bookmarkStart w:id="3" w:name="_Toc192837422"/>
      <w:bookmarkStart w:id="4" w:name="_Toc51339692"/>
      <w:bookmarkStart w:id="5" w:name="_Toc54646395"/>
      <w:bookmarkEnd w:id="2"/>
      <w:r>
        <w:rPr>
          <w:color w:val="000000"/>
        </w:rPr>
        <w:t>Общие сведения</w:t>
      </w:r>
      <w:bookmarkEnd w:id="3"/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ind w:start="1276" w:hanging="556"/>
        <w:rPr/>
      </w:pPr>
      <w:bookmarkStart w:id="6" w:name="__RefHeading___Toc4246_1901684530"/>
      <w:bookmarkStart w:id="7" w:name="_Toc54646396"/>
      <w:bookmarkStart w:id="8" w:name="_Toc192837423"/>
      <w:bookmarkStart w:id="9" w:name="_Toc46743505"/>
      <w:bookmarkEnd w:id="6"/>
      <w:r>
        <w:rPr>
          <w:color w:val="000000"/>
        </w:rPr>
        <w:t>Обозначения и сокращения</w:t>
      </w:r>
      <w:bookmarkEnd w:id="7"/>
      <w:bookmarkEnd w:id="8"/>
      <w:bookmarkEnd w:id="9"/>
    </w:p>
    <w:tbl>
      <w:tblPr>
        <w:tblW w:w="978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Cs/>
                <w:color w:val="000000"/>
                <w:sz w:val="24"/>
                <w:szCs w:val="24"/>
                <w:shd w:fill="auto" w:val="clear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/>
                <w:color w:val="000000"/>
                <w:sz w:val="24"/>
                <w:szCs w:val="24"/>
                <w:shd w:fill="auto" w:val="clear"/>
              </w:rPr>
              <w:t>АО «Загорская ГАЭС-2»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Cs/>
                <w:color w:val="000000"/>
                <w:sz w:val="24"/>
                <w:szCs w:val="24"/>
                <w:shd w:fill="auto" w:val="clear"/>
              </w:rPr>
              <w:t>Подрядчик</w:t>
            </w:r>
          </w:p>
        </w:tc>
        <w:tc>
          <w:tcPr>
            <w:tcW w:w="79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bCs/>
                <w:iCs/>
                <w:color w:val="000000"/>
                <w:sz w:val="24"/>
                <w:szCs w:val="24"/>
              </w:rPr>
              <w:t>Лицо выполняющее, поручаемый объем работ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0"/>
        <w:ind w:start="1276" w:hanging="556"/>
        <w:rPr/>
      </w:pPr>
      <w:bookmarkStart w:id="10" w:name="__RefHeading___Toc4248_1901684530"/>
      <w:bookmarkStart w:id="11" w:name="_Toc54646397"/>
      <w:bookmarkStart w:id="12" w:name="_Toc46743506"/>
      <w:bookmarkStart w:id="13" w:name="_Toc192837424"/>
      <w:bookmarkEnd w:id="10"/>
      <w:r>
        <w:rPr>
          <w:color w:val="000000"/>
        </w:rPr>
        <w:t>Наименование закупаемой продукции</w:t>
      </w:r>
      <w:bookmarkEnd w:id="11"/>
      <w:bookmarkEnd w:id="12"/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start"/>
        <w:rPr/>
      </w:pPr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«ОКПД2: 71.12.35.110 Выполнение кадастровых работ на объектах Загорской ГАЭС-2»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start"/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Heading4"/>
        <w:numPr>
          <w:ilvl w:val="1"/>
          <w:numId w:val="3"/>
        </w:numPr>
        <w:spacing w:before="0" w:after="0"/>
        <w:ind w:start="1276" w:hanging="556"/>
        <w:rPr/>
      </w:pPr>
      <w:bookmarkStart w:id="14" w:name="__RefHeading___Toc4250_1901684530"/>
      <w:bookmarkStart w:id="15" w:name="_Toc192837425"/>
      <w:bookmarkStart w:id="16" w:name="_Toc54646398"/>
      <w:bookmarkStart w:id="17" w:name="_Toc46743507"/>
      <w:bookmarkEnd w:id="14"/>
      <w:r>
        <w:rPr>
          <w:color w:val="000000"/>
        </w:rPr>
        <w:t xml:space="preserve">Цель </w:t>
      </w:r>
      <w:bookmarkEnd w:id="17"/>
      <w:r>
        <w:rPr>
          <w:color w:val="000000"/>
          <w:lang w:val="ru-RU"/>
        </w:rPr>
        <w:t>выполнения работ</w:t>
      </w:r>
      <w:bookmarkEnd w:id="15"/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b w:val="false"/>
          <w:bCs/>
          <w:color w:val="000000"/>
          <w:sz w:val="24"/>
          <w:szCs w:val="24"/>
          <w:shd w:fill="auto" w:val="clear"/>
        </w:rPr>
        <w:t xml:space="preserve">- </w:t>
      </w:r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Межевание земельных участков ( 4 шт.)для постановки их на кадастровый учет;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- Изготовление межевого плана по разделу земельного участка с кадастровым №  50:05:0110104:26.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- Получение технических планов для постановки на кадастровый учет и регистрации права собственности </w:t>
      </w:r>
      <w:bookmarkStart w:id="18" w:name="__DdeLink__11977_1381289162_Копия_1"/>
      <w:bookmarkEnd w:id="18"/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на комплекс объектов автодороги «технологический проезд №23» расположенного на земельном участке с кадастровым номером: 50:05:0110104:26.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- Снятие с кадастрового учет сооружения «Плотина бетонная водосбросная верховая» с кадастровым номером 50:05:0000000:75585.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rFonts w:eastAsia="Times New Roman" w:cs="Times New Roman"/>
          <w:b w:val="false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- Получение технических планов для постановки на кадастровый учет и регистрации права собственности на комплекс объектов нижнего бассейна Загорской ГАЭС-2.</w:t>
      </w:r>
    </w:p>
    <w:p>
      <w:pPr>
        <w:pStyle w:val="Heading2"/>
        <w:spacing w:before="0" w:after="0"/>
        <w:rPr/>
      </w:pPr>
      <w:bookmarkStart w:id="19" w:name="__RefHeading___Toc4252_1901684530"/>
      <w:bookmarkStart w:id="20" w:name="_Toc192837426"/>
      <w:bookmarkStart w:id="21" w:name="_Toc54646400"/>
      <w:bookmarkEnd w:id="19"/>
      <w:r>
        <w:rPr/>
        <w:t>Таблица 1. Перечень объектов заказчика</w:t>
      </w:r>
      <w:bookmarkEnd w:id="20"/>
      <w:bookmarkEnd w:id="21"/>
    </w:p>
    <w:tbl>
      <w:tblPr>
        <w:tblW w:w="991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7"/>
        <w:gridCol w:w="4047"/>
        <w:gridCol w:w="5054"/>
      </w:tblGrid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i/>
                <w:iCs/>
                <w:color w:val="000000"/>
                <w:sz w:val="20"/>
                <w:szCs w:val="20"/>
              </w:rPr>
              <w:t>(место производства работ)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>
        <w:trPr>
          <w:trHeight w:val="817" w:hRule="atLeast"/>
        </w:trPr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Плотина бетонная водосбросная верховая (площадь  39000 кв.м) с кад.№ 50:05:0000000:75585</w:t>
            </w:r>
          </w:p>
        </w:tc>
        <w:tc>
          <w:tcPr>
            <w:tcW w:w="5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141342, Россия, Московская обл., Сергиево-Посадский р-н, р.п. Богородское</w:t>
            </w:r>
          </w:p>
        </w:tc>
      </w:tr>
      <w:tr>
        <w:trPr>
          <w:trHeight w:val="1346" w:hRule="atLeast"/>
        </w:trPr>
        <w:tc>
          <w:tcPr>
            <w:tcW w:w="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Нижний бассейн (комплекс объектов):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-водосбросы боковые (20 шт);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-быстроток;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-проезды инспекционные;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-мост (кроме пролетного строения)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30" w:before="0" w:after="6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141342, Россия, Московская обл., Сергиево-Посадский муниципальный р-н , городское поселение Краснозаводск, г. Краснозаводск, северо-восточная часть кадастрового квартала 50:05:0110104.</w:t>
            </w:r>
          </w:p>
        </w:tc>
      </w:tr>
      <w:tr>
        <w:trPr>
          <w:trHeight w:val="1346" w:hRule="atLeast"/>
        </w:trPr>
        <w:tc>
          <w:tcPr>
            <w:tcW w:w="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Земельный участок нижнего бассейна с кадастровым № </w:t>
            </w: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50:05:0110104:26</w:t>
            </w:r>
          </w:p>
        </w:tc>
        <w:tc>
          <w:tcPr>
            <w:tcW w:w="5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30" w:before="0" w:after="6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141342, Россия, Московская обл., Сергиево-Посадский муниципальный р-н , городское поселение Краснозаводск, г. Краснозаводск, северо-восточная часть кадастрового квартала 50:05:0110104.</w:t>
            </w:r>
          </w:p>
        </w:tc>
      </w:tr>
      <w:tr>
        <w:trPr>
          <w:trHeight w:val="1346" w:hRule="atLeast"/>
        </w:trPr>
        <w:tc>
          <w:tcPr>
            <w:tcW w:w="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Технологический проезд №23 (комплекс объектов)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пролетное строение моста;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локальные очистные сооружения;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-дорожное полотно;</w:t>
            </w:r>
          </w:p>
        </w:tc>
        <w:tc>
          <w:tcPr>
            <w:tcW w:w="5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30" w:before="0" w:after="6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141342, Россия, Московская обл., Сергиево-Посадский муниципальный р-н , городское поселение Краснозаводск, г. Краснозаводск, северо-восточная часть кадастрового квартала 50:05:0110104.</w:t>
            </w:r>
          </w:p>
        </w:tc>
      </w:tr>
      <w:tr>
        <w:trPr>
          <w:trHeight w:val="1346" w:hRule="atLeast"/>
        </w:trPr>
        <w:tc>
          <w:tcPr>
            <w:tcW w:w="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Земельный участок (под технологическим проездом №23)</w:t>
            </w:r>
          </w:p>
        </w:tc>
        <w:tc>
          <w:tcPr>
            <w:tcW w:w="5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30" w:before="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41342, Россия, Московская обл., Сергиево-Посадский муниципальный р-н , городское поселение Краснозаводск, г. Краснозаводск, северо-восточная часть кадастрового квартала 50:05:0110104.</w:t>
            </w:r>
          </w:p>
        </w:tc>
      </w:tr>
      <w:tr>
        <w:trPr>
          <w:trHeight w:val="936" w:hRule="atLeast"/>
        </w:trPr>
        <w:tc>
          <w:tcPr>
            <w:tcW w:w="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5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Московская обл. , Сергиево-Посадский муниципальный р-н , городское поселение Богородское, рабочий п. Богородское</w:t>
            </w:r>
          </w:p>
        </w:tc>
      </w:tr>
      <w:tr>
        <w:trPr>
          <w:trHeight w:val="801" w:hRule="atLeast"/>
        </w:trPr>
        <w:tc>
          <w:tcPr>
            <w:tcW w:w="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5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Московская обл. , Сергиево-Посадский муниципальный р-н , городское поселение Богородское, рабочий п. Богородское</w:t>
            </w:r>
          </w:p>
        </w:tc>
      </w:tr>
    </w:tbl>
    <w:p>
      <w:pPr>
        <w:pStyle w:val="Heading1"/>
        <w:numPr>
          <w:ilvl w:val="0"/>
          <w:numId w:val="3"/>
        </w:numPr>
        <w:spacing w:before="0" w:after="0"/>
        <w:ind w:start="0" w:hanging="0"/>
        <w:jc w:val="center"/>
        <w:rPr/>
      </w:pPr>
      <w:bookmarkStart w:id="22" w:name="__RefHeading___Toc4254_1901684530"/>
      <w:bookmarkStart w:id="23" w:name="_Toc192837427"/>
      <w:bookmarkStart w:id="24" w:name="_Toc51339693"/>
      <w:bookmarkStart w:id="25" w:name="_Toc54646403"/>
      <w:bookmarkStart w:id="26" w:name="_Toc50125126"/>
      <w:bookmarkStart w:id="27" w:name="_Toc46743510"/>
      <w:bookmarkEnd w:id="22"/>
      <w:bookmarkEnd w:id="26"/>
      <w:bookmarkEnd w:id="27"/>
      <w:r>
        <w:rPr>
          <w:color w:val="000000"/>
        </w:rPr>
        <w:t>Требования к продукции</w:t>
      </w:r>
      <w:bookmarkEnd w:id="23"/>
      <w:bookmarkEnd w:id="24"/>
      <w:bookmarkEnd w:id="25"/>
    </w:p>
    <w:p>
      <w:pPr>
        <w:pStyle w:val="Heading4"/>
        <w:numPr>
          <w:ilvl w:val="1"/>
          <w:numId w:val="3"/>
        </w:numPr>
        <w:spacing w:before="0" w:after="0"/>
        <w:ind w:start="1276" w:hanging="556"/>
        <w:rPr/>
      </w:pPr>
      <w:bookmarkStart w:id="28" w:name="__RefHeading___Toc4256_1901684530"/>
      <w:bookmarkStart w:id="29" w:name="_Toc192837428"/>
      <w:bookmarkStart w:id="30" w:name="_Toc54646404"/>
      <w:bookmarkEnd w:id="28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выполнения работ</w:t>
      </w:r>
      <w:bookmarkEnd w:id="29"/>
      <w:bookmarkEnd w:id="30"/>
    </w:p>
    <w:p>
      <w:pPr>
        <w:pStyle w:val="Heading3"/>
        <w:numPr>
          <w:ilvl w:val="2"/>
          <w:numId w:val="3"/>
        </w:numPr>
        <w:spacing w:before="0" w:after="0"/>
        <w:ind w:start="1276" w:hanging="556"/>
        <w:rPr/>
      </w:pPr>
      <w:bookmarkStart w:id="31" w:name="__RefHeading___Toc4258_1901684530"/>
      <w:bookmarkStart w:id="32" w:name="_Toc192837429"/>
      <w:bookmarkStart w:id="33" w:name="_Toc54646405"/>
      <w:bookmarkEnd w:id="31"/>
      <w:r>
        <w:rPr>
          <w:color w:val="000000"/>
        </w:rPr>
        <w:t>Требования к видам и объемам работ</w:t>
      </w:r>
      <w:bookmarkEnd w:id="32"/>
      <w:bookmarkEnd w:id="33"/>
    </w:p>
    <w:p>
      <w:pPr>
        <w:pStyle w:val="Heading2"/>
        <w:spacing w:before="0" w:after="0"/>
        <w:rPr/>
      </w:pPr>
      <w:bookmarkStart w:id="34" w:name="__RefHeading___Toc4260_1901684530"/>
      <w:bookmarkStart w:id="35" w:name="_Toc192837430"/>
      <w:bookmarkStart w:id="36" w:name="_Toc54646406"/>
      <w:bookmarkStart w:id="37" w:name="_Toc51339695"/>
      <w:bookmarkEnd w:id="34"/>
      <w:r>
        <w:rPr/>
        <w:t xml:space="preserve">Таблица 2. Перечень </w:t>
      </w:r>
      <w:bookmarkEnd w:id="37"/>
      <w:r>
        <w:rPr/>
        <w:t>и объем выполняемых работ</w:t>
      </w:r>
      <w:bookmarkEnd w:id="35"/>
      <w:bookmarkEnd w:id="36"/>
    </w:p>
    <w:tbl>
      <w:tblPr>
        <w:tblW w:w="9805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682"/>
        <w:gridCol w:w="6287"/>
        <w:gridCol w:w="1258"/>
        <w:gridCol w:w="1577"/>
      </w:tblGrid>
      <w:tr>
        <w:trPr/>
        <w:tc>
          <w:tcPr>
            <w:tcW w:w="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Наименование работ / этапа работ</w:t>
            </w:r>
          </w:p>
        </w:tc>
        <w:tc>
          <w:tcPr>
            <w:tcW w:w="12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Изготовление Акта обследования для снятие с кадастрового учета сооружения «Плотина бетонная водосбросная верховая» с кадастровым номером 50:05:0000000:75585: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получение и анализ сведений из Единого государственного реестра недвижимости (ЕГРН).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акта обследования сооружения «Плотина бетонная водосбросная верховая» с кадастровым номером 50:05:0000000:75585 на бумажном носителе в 1 экземпляре;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акта обследования сооружения «Плотина бетонная водосбросная верховая» с кадастровым номером 50:05:0000000:75585 в виде XML-файла на диске, необходимых для предоставления в орган кадастрового учета;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Сопровождение в части правильности подготовки акта обследования сооружения «Плотина бетонная водосбросная верховая» с кадастровым номером 50:05:0000000:75585 при снятии с кадастрового учета</w:t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color w:val="000000"/>
                <w:sz w:val="20"/>
                <w:szCs w:val="20"/>
              </w:rPr>
              <w:t>1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</w:t>
            </w:r>
            <w:bookmarkStart w:id="38" w:name="__DdeLink__11822_1381289162_Копия_3"/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ыполнение кадастровых работ по подготовке документов необходимых для постановки на кадастровый учет и регистрации права собственности </w:t>
            </w:r>
            <w:bookmarkEnd w:id="38"/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на объекты нижнего бассейна Загорской ГАЭС-2, в том числе: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плановой съемки с привязкой GPS объектов нижнего бассейна (23 шт).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технического плана объектов нижнего бассейна Загорской ГАЭС-2, как комплекс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подготовка технического плана объектов нижнего бассейна Загорской ГАЭС-2, как комплекс в виде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  <w:lang w:val="en-US"/>
              </w:rPr>
              <w:t>XML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-файла на диске, необходимых для предоставления в орган кадастрового учета;</w:t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1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Выполнение кадастровых работ по подготовке документов необходимых для раздела земельного участка с кадастровым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№ 50:05:0110104:26.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получение и анализ сведений из Единого государственного реестра недвижимости (ЕГРН) 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межевого плана по разделу земельного участка с кадастровым № 50:05:0110104:26 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постановка на государственный кадастровый учет новообразованных земельных участков.</w:t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1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кадастровых работ по подготовке документов необходимых для постановки на кадастровый учет и регистрации права собственности на технологический проезд №23, в том числе: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топографической съемки с привязкой GPS сооружений технологического проезда №23 и земельного участка под технологическим проездом №23 протяженностью 4000 м;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подготовка технического плана сооружений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«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технологический проезд №23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»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, как комплекс объектов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подготовка технического плана сооружений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«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технологический проезд №23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»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, как комплекс объектов в виде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  <w:lang w:val="en-US"/>
              </w:rPr>
              <w:t>XML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-файла на диске, необходимых для предоставления в орган кадастрового учета;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получение и анализ сведений из Единого государственного реестра недвижимости (ЕГРН) о кадастровых планах территории (КПТ) кадастрового квартала № 50:05:0110104 в электронном виде в формате xml;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межевого плана на земельного участка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межевого плана на земельного участка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постановка на государственный кадастровый учет земельного участка в виде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  <w:lang w:val="en-US"/>
              </w:rPr>
              <w:t>XML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-файла на диске, необходимых для предоставления в орган кадастрового учета;.</w:t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1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</w:t>
            </w:r>
            <w:bookmarkStart w:id="39" w:name="__DdeLink__11822_1381289162_Копия_3_Копи"/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ыполнение кадастровых работ по подготовке документов необходимых для постановки на кадастровый учет и регистрации права собственности </w:t>
            </w:r>
            <w:bookmarkEnd w:id="39"/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на автодорогу от нижнего бассейна Загорской ГАЭС-2 до ул. 40 лет Победы г. Краснозаводск., в том числе: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топографической съемки с привязкой GPS протяженностью 2300 м;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описание контуров сооружений (определение координат контура;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технических планов сооружений автодороги от нижнего бассейна Загорской ГАЭС-2 до ул. 40 лет Победы г. Краснозаводск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 xml:space="preserve">подготовка технических планов сооружений автодороги от нижнего бассейна Загорской ГАЭС-2 до ул. 40 лет Победы г. Краснозаводск в виде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  <w:lang w:val="en-US"/>
              </w:rPr>
              <w:t>XML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-файла на диске, необходимых для предоставления в орган кадастрового учета;</w:t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1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работ по подготовке документов необходимых для постановки на кадастровый учет земельного участка площадью 27 108.9 кв.м, расположенного на кадастровых кварталах № 50:05:0100110, 50:05:0110101.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получение и анализ сведений из Единого государственного реестра недвижимости (ЕГРН) о кадастровых планах территории (КПТ) кадастровых кварталов №№ 50:05:0100110, 50:05:0110101 в электронном виде в формате xml;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межевого плана на земельный участок;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постановка на государственный кадастровый учет земельного участка.</w:t>
            </w:r>
          </w:p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1</w:t>
            </w:r>
          </w:p>
        </w:tc>
      </w:tr>
      <w:tr>
        <w:trPr>
          <w:trHeight w:val="2714" w:hRule="atLeast"/>
        </w:trPr>
        <w:tc>
          <w:tcPr>
            <w:tcW w:w="6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Выполнение работ по подготовке документов необходимых для постановки на кадастровый учет земельного участка площадью 49 619.7 кв.м, расположенного на кадастровых кварталах № 50:05:0100110, 50:05:0110101.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получение и анализ сведений из Единого государственного реестра недвижимости (ЕГРН) о кадастровых планах территории (КПТ) кадастровых кварталов №№ 50:05:0100110, 50:05:0110101 в электронном виде в формате xml;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подготовка межевого плана на земельный участок;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0"/>
                <w:szCs w:val="20"/>
                <w:shd w:fill="auto" w:val="clear"/>
              </w:rPr>
              <w:t>постановка на государственный кадастровый учет земельного участка.</w:t>
            </w:r>
          </w:p>
        </w:tc>
        <w:tc>
          <w:tcPr>
            <w:tcW w:w="12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5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ind w:firstLine="142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spacing w:before="0" w:after="0"/>
        <w:ind w:start="1276" w:hanging="556"/>
        <w:rPr/>
      </w:pPr>
      <w:bookmarkStart w:id="40" w:name="__RefHeading___Toc4262_1901684530"/>
      <w:bookmarkStart w:id="41" w:name="_Toc54646407"/>
      <w:bookmarkStart w:id="42" w:name="_Toc192837431"/>
      <w:bookmarkStart w:id="43" w:name="_Toc51339696"/>
      <w:bookmarkEnd w:id="40"/>
      <w:r>
        <w:rPr>
          <w:color w:val="000000"/>
        </w:rPr>
        <w:t xml:space="preserve">Требования </w:t>
      </w:r>
      <w:bookmarkEnd w:id="43"/>
      <w:r>
        <w:rPr>
          <w:color w:val="000000"/>
        </w:rPr>
        <w:t>к срокам выполнения работ</w:t>
      </w:r>
      <w:bookmarkEnd w:id="41"/>
      <w:bookmarkEnd w:id="42"/>
    </w:p>
    <w:p>
      <w:pPr>
        <w:pStyle w:val="Heading2"/>
        <w:spacing w:before="0" w:after="0"/>
        <w:rPr/>
      </w:pPr>
      <w:bookmarkStart w:id="44" w:name="__RefHeading___Toc4264_1901684530"/>
      <w:bookmarkStart w:id="45" w:name="_Toc54646408"/>
      <w:bookmarkStart w:id="46" w:name="_Toc192837432"/>
      <w:bookmarkStart w:id="47" w:name="_Toc50125127"/>
      <w:bookmarkStart w:id="48" w:name="_Toc51339697"/>
      <w:bookmarkStart w:id="49" w:name="_Toc50125126_Копия_1"/>
      <w:bookmarkEnd w:id="44"/>
      <w:bookmarkEnd w:id="49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50" w:name="_Hlk50465284"/>
      <w:r>
        <w:rPr/>
        <w:t xml:space="preserve">Требования по срокам </w:t>
      </w:r>
      <w:bookmarkEnd w:id="47"/>
      <w:bookmarkEnd w:id="48"/>
      <w:bookmarkEnd w:id="50"/>
      <w:r>
        <w:rPr>
          <w:lang w:val="ru-RU"/>
        </w:rPr>
        <w:t>выполнения работ</w:t>
      </w:r>
      <w:bookmarkEnd w:id="45"/>
      <w:bookmarkEnd w:id="46"/>
    </w:p>
    <w:tbl>
      <w:tblPr>
        <w:tblW w:w="991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31"/>
        <w:gridCol w:w="4186"/>
        <w:gridCol w:w="2406"/>
        <w:gridCol w:w="2190"/>
      </w:tblGrid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Наименование работ/ этапа работ</w:t>
            </w:r>
          </w:p>
        </w:tc>
        <w:tc>
          <w:tcPr>
            <w:tcW w:w="2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Требования к началу срока выполнения работ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Требования к окончанию срока выполнения работ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0" w:after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Выполнение кадастровых работ на объектах Загорской ГАЭС-2</w:t>
            </w:r>
          </w:p>
        </w:tc>
        <w:tc>
          <w:tcPr>
            <w:tcW w:w="2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Calibri"/>
                <w:b w:val="false"/>
                <w:i w:val="false"/>
                <w:color w:val="000000"/>
                <w:sz w:val="20"/>
                <w:szCs w:val="20"/>
                <w:shd w:fill="auto" w:val="clear"/>
                <w:lang w:eastAsia="x-none"/>
              </w:rPr>
              <w:t>С даты, заключения договора.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rFonts w:eastAsia="Calibri"/>
                <w:b w:val="false"/>
                <w:i w:val="false"/>
                <w:color w:val="000000"/>
                <w:sz w:val="20"/>
                <w:szCs w:val="20"/>
                <w:shd w:fill="auto" w:val="clear"/>
                <w:lang w:eastAsia="x-none"/>
              </w:rPr>
              <w:t>Не позднее 5 месяцев, с даты заключения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before="0" w:after="0"/>
        <w:ind w:start="1276" w:hanging="556"/>
        <w:rPr/>
      </w:pPr>
      <w:bookmarkStart w:id="51" w:name="__RefHeading___Toc4266_1901684530"/>
      <w:bookmarkStart w:id="52" w:name="_Toc54646410"/>
      <w:bookmarkStart w:id="53" w:name="_Toc51339698"/>
      <w:bookmarkStart w:id="54" w:name="_Toc192837433"/>
      <w:bookmarkStart w:id="55" w:name="_Toc46743510_Копия_1"/>
      <w:bookmarkEnd w:id="51"/>
      <w:bookmarkEnd w:id="55"/>
      <w:r>
        <w:rPr>
          <w:color w:val="000000"/>
        </w:rPr>
        <w:t xml:space="preserve">Требования к </w:t>
      </w:r>
      <w:r>
        <w:rPr>
          <w:color w:val="000000"/>
          <w:lang w:val="ru-RU"/>
        </w:rPr>
        <w:t>качеству продукции</w:t>
      </w:r>
      <w:bookmarkEnd w:id="54"/>
    </w:p>
    <w:p>
      <w:pPr>
        <w:pStyle w:val="Heading2"/>
        <w:spacing w:before="0" w:after="0"/>
        <w:rPr/>
      </w:pPr>
      <w:bookmarkStart w:id="56" w:name="__RefHeading___Toc4268_1901684530"/>
      <w:bookmarkStart w:id="57" w:name="_Toc192837434"/>
      <w:bookmarkEnd w:id="56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53"/>
      <w:r>
        <w:rPr>
          <w:lang w:val="ru-RU"/>
        </w:rPr>
        <w:t xml:space="preserve">качеству </w:t>
      </w:r>
      <w:bookmarkEnd w:id="52"/>
      <w:r>
        <w:rPr>
          <w:lang w:val="ru-RU"/>
        </w:rPr>
        <w:t>продукции</w:t>
      </w:r>
      <w:bookmarkEnd w:id="57"/>
    </w:p>
    <w:p>
      <w:pPr>
        <w:pStyle w:val="Normal"/>
        <w:snapToGrid w:val="false"/>
        <w:ind w:start="708" w:hanging="0"/>
        <w:rPr/>
      </w:pPr>
      <w:r>
        <w:rPr>
          <w:color w:val="000000"/>
          <w:sz w:val="24"/>
          <w:szCs w:val="24"/>
        </w:rPr>
        <w:t>Выполнение работ по подготовке документов необходимых для постановки их на кадастровый учет земельных участков площадью 27 108.9 кв.м и 49 619.7 кв.м расположенных на кадастровых кварталах № 50:05:0100110, 50:05:0110101 и постановка на государственный кадастровый учет новообразованных земельных участков. (позиция №1</w:t>
      </w:r>
      <w:r>
        <w:rPr>
          <w:rStyle w:val="Style8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color w:val="000000"/>
          <w:sz w:val="24"/>
          <w:szCs w:val="24"/>
        </w:rPr>
        <w:t>Таблицы 2)</w:t>
      </w:r>
      <w:r>
        <w:rPr>
          <w:b/>
          <w:bCs/>
          <w:color w:val="000000"/>
          <w:sz w:val="24"/>
          <w:szCs w:val="24"/>
        </w:rPr>
        <w:t>:</w:t>
      </w:r>
    </w:p>
    <w:tbl>
      <w:tblPr>
        <w:tblStyle w:val="affff8"/>
        <w:tblW w:w="1502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077"/>
        <w:gridCol w:w="2297"/>
        <w:gridCol w:w="11652"/>
      </w:tblGrid>
      <w:tr>
        <w:trPr/>
        <w:tc>
          <w:tcPr>
            <w:tcW w:w="10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6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6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</w:tr>
      <w:tr>
        <w:trPr>
          <w:trHeight w:val="322" w:hRule="atLeast"/>
        </w:trPr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Результат работ</w:t>
            </w:r>
          </w:p>
        </w:tc>
        <w:tc>
          <w:tcPr>
            <w:tcW w:w="116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Межевые планы на земельные участки согласно схемы и перечня координат (Приложение № 1 к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Техническим </w:t>
            </w:r>
            <w:bookmarkStart w:id="58" w:name="__DdeLink__11828_1381289162_Копия_1_Копи"/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требованиям</w:t>
            </w:r>
            <w:bookmarkEnd w:id="58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 в виде XML-файла на диске;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Межевые планы на земельные участки согласно схемы и перечня координат (Приложение № 1 к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Техническим </w:t>
            </w:r>
            <w:bookmarkStart w:id="59" w:name="__DdeLink__11828_1381289162_Копия_2_Копи"/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требованиям</w:t>
            </w:r>
            <w:bookmarkEnd w:id="59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Постановка на кадастровый учет земельных участков.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116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0" w:name="__DdeLink__11854_1381289162_Копия_1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 бумажном носителе 1 экз., в электронном виде (формат xml) 1 экз.</w:t>
            </w:r>
            <w:bookmarkEnd w:id="60"/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Соблюдение требований действующего законодательства Российской Федерации</w:t>
            </w:r>
          </w:p>
        </w:tc>
        <w:tc>
          <w:tcPr>
            <w:tcW w:w="116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выполнении работ Подрядчик обязан руководствоваться требованиями действующего законодательства Российской Федерации, в том числе, но не ограничиваясь: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Федеральным законом от 24.07.2007 № 221-ФЗ «О кадастровой деятельности»;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61" w:name="__DdeLink__1284_307092336_Копия_1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30.11.1994 № 51-ФЗ</w:t>
            </w:r>
            <w:bookmarkEnd w:id="61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«Гражданский кодекс Российской Федерации (часть первая)»;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Приказ Росреестра от 14.12.2021 № П/0592 «Об утверждении формы и состава сведений межевого плана, требований к его подготовке» и приказа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 иных подзаконных актов, инструкций.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Прочие требования к выполняемым работам</w:t>
            </w:r>
          </w:p>
        </w:tc>
      </w:tr>
      <w:tr>
        <w:trPr/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информационной безопасности</w:t>
            </w:r>
          </w:p>
        </w:tc>
        <w:tc>
          <w:tcPr>
            <w:tcW w:w="116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Любая информация, полученная Подрядчиком в ходе ознакомления с объемом работ, к которым относится вся информация Заказчика, является его собственностью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</w:tc>
      </w:tr>
      <w:tr>
        <w:trPr>
          <w:trHeight w:val="2171" w:hRule="atLeast"/>
        </w:trPr>
        <w:tc>
          <w:tcPr>
            <w:tcW w:w="10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и оплаты работ</w:t>
            </w:r>
          </w:p>
        </w:tc>
        <w:tc>
          <w:tcPr>
            <w:tcW w:w="116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Оплата в размере 30 (тридцати) процентов от стоимости выполненных Работ по Договору производится Заказчиком в течение 7 (семи) рабочих дней с даты подписания Сторонами Акта выполненных работ, на основании счета, выставленного Подрядчиком.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Окончательный расчет производится Заказчиком в течение 7 (семи) рабочих дней с даты постановки на кадастровый учет, на основании счета, выставленного Подрядчиком</w:t>
            </w:r>
          </w:p>
        </w:tc>
      </w:tr>
    </w:tbl>
    <w:p>
      <w:pPr>
        <w:pStyle w:val="Normal"/>
        <w:snapToGrid w:val="false"/>
        <w:ind w:start="708" w:hanging="0"/>
        <w:rPr/>
      </w:pPr>
      <w:r>
        <w:rPr/>
      </w:r>
    </w:p>
    <w:p>
      <w:pPr>
        <w:pStyle w:val="Normal"/>
        <w:snapToGrid w:val="false"/>
        <w:ind w:start="708" w:hanging="0"/>
        <w:rPr/>
      </w:pPr>
      <w:r>
        <w:rPr>
          <w:color w:val="000000"/>
          <w:sz w:val="24"/>
          <w:szCs w:val="24"/>
        </w:rPr>
        <w:t>Выполнение кадастровых работ по подготовке документов необходимых для постановки на кадастровый учет и регистрации права собственности на технологический проезд №23, в том числе: (позиция №2</w:t>
      </w:r>
      <w:r>
        <w:rPr>
          <w:rStyle w:val="Style8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color w:val="000000"/>
          <w:sz w:val="24"/>
          <w:szCs w:val="24"/>
        </w:rPr>
        <w:t>Таблицы 2)</w:t>
      </w:r>
      <w:r>
        <w:rPr>
          <w:b/>
          <w:bCs/>
          <w:color w:val="000000"/>
          <w:sz w:val="24"/>
          <w:szCs w:val="24"/>
        </w:rPr>
        <w:t>:</w:t>
      </w:r>
    </w:p>
    <w:tbl>
      <w:tblPr>
        <w:tblStyle w:val="affff8"/>
        <w:tblW w:w="1502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68"/>
        <w:gridCol w:w="1851"/>
        <w:gridCol w:w="6469"/>
        <w:gridCol w:w="3370"/>
      </w:tblGrid>
      <w:tr>
        <w:trPr/>
        <w:tc>
          <w:tcPr>
            <w:tcW w:w="8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4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Результат работ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Технический план сооружений согласно техническим характеристикам Объекта (Приложение № 3 к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Техническим </w:t>
            </w:r>
            <w:bookmarkStart w:id="62" w:name="__DdeLink__11828_1381289162_Копия_1_Коп2"/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требованиям</w:t>
            </w:r>
            <w:bookmarkEnd w:id="62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 в виде XML-файла на диске;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Технический план сооружений согласно техническим характеристикам Объекта (Приложение № 3 к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Техническим </w:t>
            </w:r>
            <w:bookmarkStart w:id="63" w:name="__DdeLink__11828_1381289162_Копия_2_Коп2"/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требованиям</w:t>
            </w:r>
            <w:bookmarkEnd w:id="63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 в виде документа на бумажном носителе в 1 экземпляре;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4" w:name="__DdeLink__11854_1381289162_Копия_2_Копи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 бумажном носителе 1 экз., в электронном виде (формат xml) 1 экз.</w:t>
            </w:r>
            <w:bookmarkEnd w:id="64"/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Соблюдение требований действующего законодательства Российской Федерации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выполнении работ Подрядчик обязан руководствоваться требованиями действующего законодательства Российской Федерации, в том числе, но не ограничиваясь: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Федеральным законом от 24.07.2007 № 221-ФЗ «О кадастровой деятельности»;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65" w:name="__DdeLink__1284_307092336_Копия_2_Копия_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30.11.1994 № 51-ФЗ</w:t>
            </w:r>
            <w:bookmarkEnd w:id="65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«Гражданский кодекс Российской Федерации (часть первая)»;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66" w:name="__DdeLink__1286_307092336_Копия_2_Копия_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29.12.2004 № 190-ФЗ</w:t>
            </w:r>
            <w:bookmarkEnd w:id="66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«Градостроительный кодекс Российской Федерации»;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 иных подзаконных актов, инструкций.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информационной безопасности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Любая информация, полученная Подрядчиком в ходе ознакомления с объемом работ, к которым относится вся информация Заказчика, является его собственностью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072" w:hRule="atLeast"/>
        </w:trPr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и оплаты работ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Оплата в размере 30 (тридцати) процентов от стоимости выполненных Работ по Договору производится Заказчиком в течение 7 (семи) рабочих дней с даты подписания Сторонами Акта выполненных работ, на основании счета, выставленного Подрядчиком.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rStyle w:val="Style8"/>
          <w:b w:val="false"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b w:val="false"/>
          <w:i w:val="false"/>
          <w:color w:val="000000"/>
          <w:sz w:val="24"/>
          <w:szCs w:val="24"/>
          <w:shd w:fill="auto" w:val="clear"/>
        </w:rPr>
      </w:r>
    </w:p>
    <w:p>
      <w:pPr>
        <w:pStyle w:val="Normal"/>
        <w:snapToGrid w:val="false"/>
        <w:ind w:start="708" w:hanging="0"/>
        <w:rPr/>
      </w:pPr>
      <w:r>
        <w:rPr>
          <w:color w:val="000000"/>
          <w:sz w:val="24"/>
          <w:szCs w:val="24"/>
        </w:rPr>
        <w:t>Выполнение работ по подготовке документов необходимых для постановки на кадастровый учет земельного участка под технологическим проездом №23 и постановка на государственный кадастровый учет новообразованного земельного участка. (позиция №3</w:t>
      </w:r>
      <w:r>
        <w:rPr>
          <w:rStyle w:val="Style8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color w:val="000000"/>
          <w:sz w:val="24"/>
          <w:szCs w:val="24"/>
        </w:rPr>
        <w:t>Таблицы 2)</w:t>
      </w:r>
      <w:r>
        <w:rPr>
          <w:b/>
          <w:bCs/>
          <w:color w:val="000000"/>
          <w:sz w:val="24"/>
          <w:szCs w:val="24"/>
        </w:rPr>
        <w:t>:</w:t>
      </w:r>
    </w:p>
    <w:tbl>
      <w:tblPr>
        <w:tblStyle w:val="affff8"/>
        <w:tblW w:w="1502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68"/>
        <w:gridCol w:w="1851"/>
        <w:gridCol w:w="6469"/>
        <w:gridCol w:w="3370"/>
      </w:tblGrid>
      <w:tr>
        <w:trPr/>
        <w:tc>
          <w:tcPr>
            <w:tcW w:w="8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4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322" w:hRule="atLeast"/>
        </w:trPr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Результат работ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Межевой план на земельный участок согласно техническому плану на технологический проезд №23 в виде XML-файла на диске;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Межевой план на земельный участок согласно техническому плану на технологический проезд №23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Постановка на кадастровый учет земельных участков.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7" w:name="__DdeLink__11854_1381289162_Копия_1_Копи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 бумажном носителе 1 экз., в электронном виде (формат xml) 1 экз.</w:t>
            </w:r>
            <w:bookmarkEnd w:id="67"/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Соблюдение требований действующего законодательства Российской Федерации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выполнении работ Подрядчик обязан руководствоваться требованиями действующего законодательства Российской Федерации, в том числе, но не ограничиваясь: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Федеральным законом от 24.07.2007 № 221-ФЗ «О кадастровой деятельности»;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68" w:name="__DdeLink__1284_307092336_Копия_1_Копия_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30.11.1994 № 51-ФЗ</w:t>
            </w:r>
            <w:bookmarkEnd w:id="68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«Гражданский кодекс Российской Федерации (часть первая)»;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Приказ Росреестра от 14.12.2021 № П/0592 «Об утверждении формы и состава сведений межевого плана, требований к его подготовке» и приказа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 иных подзаконных актов, инструкций.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информационной безопасности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Любая информация, полученная Подрядчиком в ходе ознакомления с объемом работ, к которым относится вся информация Заказчика, является его собственностью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171" w:hRule="atLeast"/>
        </w:trPr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и оплаты работ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Оплата в размере 30 (тридцати) процентов от стоимости выполненных Работ по Договору производится Заказчиком в течение 7 (семи) рабочих дней с даты подписания Сторонами Акта выполненных работ, на основании счета, выставленного Подрядчиком.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Окончательный расчет производится Заказчиком в течение 7 (семи) рабочих дней с даты постановки на кадастровый учет, на основании счета, выставленного Подрядчиком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napToGrid w:val="false"/>
        <w:ind w:start="708" w:hanging="0"/>
        <w:rPr/>
      </w:pPr>
      <w:r>
        <w:rPr>
          <w:color w:val="000000"/>
          <w:sz w:val="24"/>
          <w:szCs w:val="24"/>
        </w:rPr>
        <w:t>Выполнение кадастровых работ по подготовке документов необходимых для постановки на кадастровый учет и регистрации права собственности на объекты нижнего бассейна Загорской ГАЭС-2, в том числе: (позиция №4</w:t>
      </w:r>
      <w:r>
        <w:rPr>
          <w:rStyle w:val="Style8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color w:val="000000"/>
          <w:sz w:val="24"/>
          <w:szCs w:val="24"/>
        </w:rPr>
        <w:t>Таблицы 2)</w:t>
      </w:r>
      <w:r>
        <w:rPr>
          <w:b/>
          <w:bCs/>
          <w:color w:val="000000"/>
          <w:sz w:val="24"/>
          <w:szCs w:val="24"/>
        </w:rPr>
        <w:t>:</w:t>
      </w:r>
    </w:p>
    <w:tbl>
      <w:tblPr>
        <w:tblStyle w:val="affff8"/>
        <w:tblW w:w="1502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68"/>
        <w:gridCol w:w="1851"/>
        <w:gridCol w:w="6469"/>
        <w:gridCol w:w="3370"/>
      </w:tblGrid>
      <w:tr>
        <w:trPr/>
        <w:tc>
          <w:tcPr>
            <w:tcW w:w="8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4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Результат работ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Технический план  объектов нижнего бассейна Загорской ГАЭС-2, как комплекс согласно техническим характеристикам Объекта (Приложение № 4 к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Техническим </w:t>
            </w:r>
            <w:bookmarkStart w:id="69" w:name="__DdeLink__11828_1381289162_Копия_1_Коп2"/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требованиям</w:t>
            </w:r>
            <w:bookmarkEnd w:id="69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 в виде XML-файла на диске;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Технический план  объектов нижнего бассейна Загорской ГАЭС-2, как комплекс согласно техническим характеристикам Объекта (Приложение № 4 к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Техническим </w:t>
            </w:r>
            <w:bookmarkStart w:id="70" w:name="__DdeLink__11828_1381289162_Копия_2_Коп2"/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требованиям</w:t>
            </w:r>
            <w:bookmarkEnd w:id="70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 в виде документа на бумажном носителе в 1 экземпляре;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71" w:name="__DdeLink__11854_1381289162_Копия_2_Копи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 бумажном носителе 1 экз., в электронном виде (формат xml) 1 экз.</w:t>
            </w:r>
            <w:bookmarkEnd w:id="71"/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Соблюдение требований действующего законодательства Российской Федерации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выполнении работ Подрядчик обязан руководствоваться требованиями действующего законодательства Российской Федерации, в том числе, но не ограничиваясь: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Федеральным законом от 24.07.2007 № 221-ФЗ «О кадастровой деятельности»;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72" w:name="__DdeLink__1284_307092336_Копия_2_Копия_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30.11.1994 № 51-ФЗ</w:t>
            </w:r>
            <w:bookmarkEnd w:id="72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«Гражданский кодекс Российской Федерации (часть первая)»;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73" w:name="__DdeLink__1286_307092336_Копия_2_Копия_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29.12.2004 № 190-ФЗ</w:t>
            </w:r>
            <w:bookmarkEnd w:id="73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«Градостроительный кодекс Российской Федерации»;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 иных подзаконных актов, инструкций.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информационной безопасности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Любая информация, полученная Подрядчиком в ходе ознакомления с объемом работ, к которым относится вся информация Заказчика, является его собственностью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072" w:hRule="atLeast"/>
        </w:trPr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1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и оплаты работ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Оплата в размере 30 (тридцати) процентов от стоимости выполненных Работ по Договору производится Заказчиком в течение 7 (семи) рабочих дней с даты подписания Сторонами Акта выполненных работ, на основании счета, выставленного Подрядчиком.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rStyle w:val="Style8"/>
          <w:b w:val="false"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b w:val="false"/>
          <w:i w:val="false"/>
          <w:color w:val="000000"/>
          <w:sz w:val="24"/>
          <w:szCs w:val="24"/>
          <w:shd w:fill="auto" w:val="clear"/>
        </w:rPr>
      </w:r>
    </w:p>
    <w:p>
      <w:pPr>
        <w:pStyle w:val="Normal"/>
        <w:rPr>
          <w:rStyle w:val="Style8"/>
          <w:b w:val="false"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b w:val="false"/>
          <w:i w:val="false"/>
          <w:color w:val="000000"/>
          <w:sz w:val="24"/>
          <w:szCs w:val="24"/>
          <w:shd w:fill="auto" w:val="clear"/>
        </w:rPr>
      </w:r>
    </w:p>
    <w:p>
      <w:pPr>
        <w:pStyle w:val="Normal"/>
        <w:snapToGrid w:val="false"/>
        <w:ind w:start="708" w:hanging="0"/>
        <w:rPr/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Выполнение кадастровых работ по подготовке документов необходимых для раздела земельного участка с кадастровым № 50:05:0110104:26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</w:t>
      </w:r>
      <w:r>
        <w:rPr>
          <w:color w:val="000000"/>
          <w:sz w:val="24"/>
          <w:szCs w:val="24"/>
        </w:rPr>
        <w:t>(позиция №5</w:t>
      </w:r>
      <w:r>
        <w:rPr>
          <w:rStyle w:val="Style8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color w:val="000000"/>
          <w:sz w:val="24"/>
          <w:szCs w:val="24"/>
        </w:rPr>
        <w:t>Таблицы 2)</w:t>
      </w:r>
      <w:r>
        <w:rPr>
          <w:b/>
          <w:bCs/>
          <w:color w:val="000000"/>
          <w:sz w:val="24"/>
          <w:szCs w:val="24"/>
        </w:rPr>
        <w:t>:</w:t>
      </w:r>
    </w:p>
    <w:tbl>
      <w:tblPr>
        <w:tblStyle w:val="affff8"/>
        <w:tblW w:w="1502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68"/>
        <w:gridCol w:w="1851"/>
        <w:gridCol w:w="6469"/>
        <w:gridCol w:w="1932"/>
        <w:gridCol w:w="2876"/>
      </w:tblGrid>
      <w:tr>
        <w:trPr/>
        <w:tc>
          <w:tcPr>
            <w:tcW w:w="8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8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19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74" w:name="__DdeLink__11854_1381289162_Копия_1_Копи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 бумажном носителе 1 экз., в электронном виде (формат xml) 1 экз.</w:t>
            </w:r>
            <w:bookmarkEnd w:id="74"/>
          </w:p>
        </w:tc>
        <w:tc>
          <w:tcPr>
            <w:tcW w:w="19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87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Соблюдение требований действующего законодательства Российской Федерации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выполнении работ Подрядчик обязан руководствоваться требованиями действующего законодательства Российской Федерации, в том числе, но не ограничиваясь: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Федеральным законом от 24.07.2007 № 221-ФЗ «О кадастровой деятельности»;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75" w:name="__DdeLink__1284_307092336_Копия_1_Копия_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30.11.1994 № 51-ФЗ</w:t>
            </w:r>
            <w:bookmarkEnd w:id="75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«Гражданский кодекс Российской Федерации (часть первая)»;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Приказ Росреестра от 14.12.2021 № П/0592 «Об утверждении формы и состава сведений межевого плана, требований к его подготовке» и приказа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 иных подзаконных актов, инструкций.</w:t>
            </w:r>
          </w:p>
        </w:tc>
        <w:tc>
          <w:tcPr>
            <w:tcW w:w="19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19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информационной безопасности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Любая информация, полученная Подрядчиком в ходе ознакомления с объемом работ, к которым относится вся информация Заказчика, является его собственностью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</w:tc>
        <w:tc>
          <w:tcPr>
            <w:tcW w:w="1932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87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171" w:hRule="atLeast"/>
        </w:trPr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и оплаты работ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Оплата в размере 30 (тридцати) процентов от стоимости выполненных Работ по Договору производится Заказчиком в течение 7 (семи) рабочих дней с даты подписания Сторонами Акта выполненных работ, на основании счета, выставленного Подрядчиком.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Окончательный расчет производится Заказчиком в течение 7 (семи) рабочих дней с даты постановки на кадастровый учет, на основании счета, выставленного Подрядчиком</w:t>
            </w:r>
          </w:p>
        </w:tc>
        <w:tc>
          <w:tcPr>
            <w:tcW w:w="1932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87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napToGrid w:val="false"/>
        <w:ind w:start="708" w:hanging="0"/>
        <w:rPr>
          <w:rStyle w:val="Style8"/>
          <w:b w:val="false"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b w:val="false"/>
          <w:i w:val="false"/>
          <w:color w:val="000000"/>
          <w:sz w:val="24"/>
          <w:szCs w:val="24"/>
          <w:shd w:fill="auto" w:val="clear"/>
        </w:rPr>
      </w:r>
    </w:p>
    <w:p>
      <w:pPr>
        <w:pStyle w:val="Normal"/>
        <w:rPr/>
      </w:pPr>
      <w:r>
        <w:rPr>
          <w:rStyle w:val="Style8"/>
          <w:b w:val="false"/>
          <w:i w:val="false"/>
          <w:color w:val="000000"/>
          <w:sz w:val="24"/>
          <w:szCs w:val="24"/>
          <w:shd w:fill="auto" w:val="clear"/>
        </w:rPr>
        <w:t>Выполнение кадастровых работ по подготовке документов необходимых для снятия с кадастрового учет сооружения «Плотина бетонная водосбросная верховая» с кадастровым номером 50:05:0000000:75585: (позиция №6 Таблицы 2)</w:t>
      </w:r>
      <w:r>
        <w:rPr>
          <w:rStyle w:val="Style8"/>
          <w:bCs/>
          <w:i w:val="false"/>
          <w:color w:val="000000"/>
          <w:sz w:val="24"/>
          <w:szCs w:val="24"/>
          <w:shd w:fill="auto" w:val="clear"/>
        </w:rPr>
        <w:t>:</w:t>
      </w:r>
    </w:p>
    <w:tbl>
      <w:tblPr>
        <w:tblStyle w:val="affff8"/>
        <w:tblW w:w="1502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68"/>
        <w:gridCol w:w="1851"/>
        <w:gridCol w:w="6469"/>
        <w:gridCol w:w="3370"/>
      </w:tblGrid>
      <w:tr>
        <w:trPr/>
        <w:tc>
          <w:tcPr>
            <w:tcW w:w="8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4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3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3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Результат работ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Акт обследования сооружения «Плотина бетонная водосбросная верховая» с кадастровым номером 50:05:0000000:75585 в виде документа на бумажном носителе в 1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Акт обследования сооружения «Плотина бетонная водосбросная верховая» с кадастровым номером 50:05:0000000:75585 в виде XML-файла на диске, необходимых для предоставления в орган кадастрового учета;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Снятие с кадастрового учет сооружения «Плотина бетонная водосбросная верховая» с кадастровым номером 50:05:0000000:75585: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3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76" w:name="__DdeLink__11854_1381289162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 бумажном носителе 1 экз., в электронном виде (формат xml) 1 экз.</w:t>
            </w:r>
            <w:bookmarkEnd w:id="76"/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3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Соблюдение требований действующего законодательства Российской Федерации</w:t>
            </w:r>
          </w:p>
        </w:tc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выполнении работ Подрядчик обязан руководствоваться требованиями действующего законодательства Российской Федерации, в том числе, но не ограничиваясь: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Федеральным законом от 24.07.2007 № 221-ФЗ «О кадастровой деятельности»;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77" w:name="__DdeLink__1284_307092336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30.11.1994 № 51-ФЗ</w:t>
            </w:r>
            <w:bookmarkEnd w:id="77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«Гражданский кодекс Российской Федерации (часть первая)»;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Федеральным законом от </w:t>
            </w:r>
            <w:bookmarkStart w:id="78" w:name="__DdeLink__1286_307092336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29.12.2004 № 190-ФЗ</w:t>
            </w:r>
            <w:bookmarkEnd w:id="78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«Градостроительный кодекс Российской Федерации»;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 иных подзаконных актов, инструкций.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33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0" w:after="0"/>
              <w:ind w:start="-117" w:firstLine="142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информационной безопасности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Любая информация, полученная Подрядчиком в ходе ознакомления с объемом работ, к которым относится вся информация Заказчика, является его собственностью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072" w:hRule="atLeast"/>
        </w:trPr>
        <w:tc>
          <w:tcPr>
            <w:tcW w:w="8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3"/>
              </w:numPr>
              <w:suppressAutoHyphens w:val="true"/>
              <w:spacing w:before="0" w:after="0"/>
              <w:ind w:start="1224" w:hanging="1199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и оплаты работ</w:t>
            </w:r>
          </w:p>
        </w:tc>
        <w:tc>
          <w:tcPr>
            <w:tcW w:w="6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Оплата в размере 30 (тридцати) процентов от стоимости выполненных Работ по Договору производится Заказчиком в течение 7 (семи) рабочих дней с даты подписания Сторонами Акта выполненных работ, на основании счета, выставленного Подрядчиком.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Окончательный расчет производится Заказчиком в течение 7 (семи) рабочих дней с даты снятия с кадастрового учета, на основании счета, выставленного Подрядчиком</w:t>
            </w:r>
          </w:p>
        </w:tc>
        <w:tc>
          <w:tcPr>
            <w:tcW w:w="3370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start="0" w:hanging="0"/>
              <w:jc w:val="star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spacing w:before="0" w:after="0"/>
        <w:ind w:start="0" w:hanging="0"/>
        <w:jc w:val="center"/>
        <w:rPr/>
      </w:pPr>
      <w:bookmarkStart w:id="79" w:name="__RefHeading___Toc4270_1901684530"/>
      <w:bookmarkStart w:id="80" w:name="_Toc54646411"/>
      <w:bookmarkStart w:id="81" w:name="_Toc53393312"/>
      <w:bookmarkStart w:id="82" w:name="_Toc192837435"/>
      <w:bookmarkEnd w:id="79"/>
      <w:r>
        <w:rPr>
          <w:color w:val="000000"/>
        </w:rPr>
        <w:t>Требования к документации по ценообразованию</w:t>
      </w:r>
      <w:bookmarkEnd w:id="80"/>
      <w:bookmarkEnd w:id="81"/>
      <w:bookmarkEnd w:id="82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b w:val="false"/>
          <w:bCs/>
          <w:i w:val="false"/>
          <w:color w:val="000000"/>
          <w:sz w:val="24"/>
          <w:szCs w:val="24"/>
          <w:shd w:fill="auto" w:val="clear"/>
        </w:rPr>
        <w:t xml:space="preserve">Стоимость Работ определяется на основании ценового коммерческого предложения </w:t>
      </w:r>
      <w:r>
        <w:rPr>
          <w:rStyle w:val="Style8"/>
          <w:b w:val="false"/>
          <w:bCs/>
          <w:i w:val="false"/>
          <w:color w:val="000000"/>
          <w:sz w:val="24"/>
          <w:szCs w:val="24"/>
          <w:shd w:fill="auto" w:val="clear"/>
        </w:rPr>
        <w:t>Исполнителя.</w:t>
      </w:r>
    </w:p>
    <w:p>
      <w:pPr>
        <w:pStyle w:val="Heading1"/>
        <w:numPr>
          <w:ilvl w:val="0"/>
          <w:numId w:val="3"/>
        </w:numPr>
        <w:spacing w:before="0" w:after="0"/>
        <w:ind w:start="0" w:hanging="0"/>
        <w:jc w:val="center"/>
        <w:rPr/>
      </w:pPr>
      <w:bookmarkStart w:id="83" w:name="__RefHeading___Toc4272_1901684530"/>
      <w:bookmarkStart w:id="84" w:name="_Toc192837436"/>
      <w:bookmarkStart w:id="85" w:name="_Toc51339699"/>
      <w:bookmarkStart w:id="86" w:name="_Toc46743519"/>
      <w:bookmarkStart w:id="87" w:name="_Toc54646413"/>
      <w:bookmarkEnd w:id="83"/>
      <w:r>
        <w:rPr>
          <w:color w:val="000000"/>
        </w:rPr>
        <w:t>Приложения</w:t>
      </w:r>
      <w:bookmarkEnd w:id="84"/>
      <w:bookmarkEnd w:id="85"/>
      <w:bookmarkEnd w:id="86"/>
      <w:bookmarkEnd w:id="87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b w:val="false"/>
          <w:bCs/>
          <w:iCs/>
          <w:color w:val="000000"/>
          <w:sz w:val="24"/>
          <w:szCs w:val="24"/>
          <w:shd w:fill="auto" w:val="clear"/>
        </w:rPr>
        <w:t>Приложение №1: Схемы и перечни координат земельных участков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b w:val="false"/>
          <w:bCs/>
          <w:iCs/>
          <w:color w:val="000000"/>
          <w:sz w:val="24"/>
          <w:szCs w:val="24"/>
          <w:shd w:fill="auto" w:val="clear"/>
        </w:rPr>
        <w:t>Приложение №2: Основные характеристики автодороги от нижнего бассейна Загорской ГАЭС-2 до ул. 40 лет Победы г. Краснозаводск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Style w:val="Style8"/>
          <w:b w:val="false"/>
          <w:bCs/>
          <w:iCs/>
          <w:color w:val="000000"/>
          <w:sz w:val="24"/>
          <w:szCs w:val="24"/>
          <w:shd w:fill="auto" w:val="clear"/>
        </w:rPr>
        <w:t>Приложение №3: Основные характеристики технологического проезда №23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</w:rPr>
      </w:pPr>
      <w:r>
        <w:rPr>
          <w:sz w:val="24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end="-427" w:hanging="0"/>
        <w:jc w:val="end"/>
        <w:rPr/>
      </w:pPr>
      <w:r>
        <w:rPr>
          <w:color w:val="000000"/>
          <w:sz w:val="24"/>
        </w:rPr>
        <w:t>Приложение № 1</w:t>
      </w:r>
    </w:p>
    <w:p>
      <w:pPr>
        <w:pStyle w:val="Normal"/>
        <w:ind w:end="-427" w:hanging="0"/>
        <w:jc w:val="end"/>
        <w:rPr/>
      </w:pPr>
      <w:r>
        <w:rPr>
          <w:color w:val="000000"/>
          <w:sz w:val="24"/>
        </w:rPr>
        <w:t>к Техническим требованиям</w:t>
      </w:r>
    </w:p>
    <w:p>
      <w:pPr>
        <w:pStyle w:val="Normal"/>
        <w:ind w:end="-427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end="-427" w:hanging="0"/>
        <w:jc w:val="center"/>
        <w:rPr/>
      </w:pPr>
      <w:r>
        <w:rPr>
          <w:b/>
          <w:bCs/>
          <w:i/>
          <w:iCs/>
          <w:color w:val="000000"/>
        </w:rPr>
        <w:t>Схемы и перечни координат земельных участков</w:t>
      </w:r>
    </w:p>
    <w:p>
      <w:pPr>
        <w:pStyle w:val="Normal"/>
        <w:ind w:end="-427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jc w:val="center"/>
        <w:rPr/>
      </w:pPr>
      <w:r>
        <w:rPr/>
        <w:t xml:space="preserve">Участок № 1 (по старой ад №3)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Геодезические данные участка: Система координат МСК-50, зона 2</w:t>
      </w:r>
    </w:p>
    <w:tbl>
      <w:tblPr>
        <w:tblW w:w="99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570"/>
        <w:gridCol w:w="1661"/>
        <w:gridCol w:w="1527"/>
        <w:gridCol w:w="1527"/>
        <w:gridCol w:w="1707"/>
        <w:gridCol w:w="1975"/>
      </w:tblGrid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 xml:space="preserve">№№ </w:t>
            </w:r>
            <w:r>
              <w:rPr>
                <w:sz w:val="26"/>
                <w:szCs w:val="26"/>
              </w:rPr>
              <w:t>точек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У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 xml:space="preserve">№№ </w:t>
            </w:r>
            <w:r>
              <w:rPr>
                <w:sz w:val="26"/>
                <w:szCs w:val="26"/>
              </w:rPr>
              <w:t>точек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У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547995,07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2228982,93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548503,67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2229696,50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548017,70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2229025,03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548650,33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2229848,05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548025,94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2229043,88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548501,90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2229698,69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548042,12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2229075,29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547961,73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2230474,74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548063,47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2229111,84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547943,66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2230462,16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548087,28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2229158,47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547954,14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2230446,90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548103,32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2229186,42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548084,43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2230258,79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548131,42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2229237,74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548297,51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2229939,90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548173,55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2229306,26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548413,59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2229775,86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548212,65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2229360,60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548476,80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2229685,98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548256,80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2229422,15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548379,26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2229596,84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548336,94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2229506,47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548314,03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2229529,64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548359,82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2229540,25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548219,64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2229422,37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548398,71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2229575,94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548156,96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2229339,67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548471,42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2229638,95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548131,44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2229284,83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548500,85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2229662,28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548025,58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2229101,22</w:t>
            </w:r>
          </w:p>
        </w:tc>
      </w:tr>
      <w:tr>
        <w:trPr/>
        <w:tc>
          <w:tcPr>
            <w:tcW w:w="1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548505,63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2229675,77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547974,42</w:t>
            </w:r>
          </w:p>
        </w:tc>
        <w:tc>
          <w:tcPr>
            <w:tcW w:w="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2228994,03</w:t>
            </w:r>
          </w:p>
        </w:tc>
      </w:tr>
    </w:tbl>
    <w:p>
      <w:pPr>
        <w:pStyle w:val="Normal"/>
        <w:rPr/>
      </w:pPr>
      <w:r>
        <w:rPr/>
        <w:t>Площадь: 49619,7м</w:t>
      </w:r>
      <w:r>
        <w:rPr>
          <w:sz w:val="32"/>
          <w:szCs w:val="32"/>
        </w:rPr>
        <w:t>²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6333490" cy="3230245"/>
            <wp:effectExtent l="0" t="0" r="0" b="0"/>
            <wp:docPr id="3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0" t="-40" r="-20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Участок № 2 (по ад№6) от 30.05.2025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Геодезические данные участка: Система координат МСК-50, зона 2</w:t>
      </w:r>
    </w:p>
    <w:p>
      <w:pPr>
        <w:pStyle w:val="Normal"/>
        <w:rPr/>
      </w:pPr>
      <w:r>
        <w:rPr/>
      </w:r>
    </w:p>
    <w:tbl>
      <w:tblPr>
        <w:tblW w:w="99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13"/>
        <w:gridCol w:w="1650"/>
        <w:gridCol w:w="1581"/>
        <w:gridCol w:w="1483"/>
        <w:gridCol w:w="1640"/>
        <w:gridCol w:w="1759"/>
      </w:tblGrid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 xml:space="preserve">№№ </w:t>
            </w:r>
            <w:r>
              <w:rPr>
                <w:sz w:val="26"/>
                <w:szCs w:val="26"/>
              </w:rPr>
              <w:t>точек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У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 xml:space="preserve">№№ </w:t>
            </w:r>
            <w:r>
              <w:rPr>
                <w:sz w:val="26"/>
                <w:szCs w:val="26"/>
              </w:rPr>
              <w:t>точек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У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548224,40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2231518,36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548781,60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2231759,73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548410,54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2231551,90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548761,41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2231732,55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548508,90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2231576,16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548696,85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2231691,78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548653,45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2231638,48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548576,77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2231648,94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548648,25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2231650,79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548573,90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2231656,82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548662,41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2231655,67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548494,88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2231626,48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548722,25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2231681,60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548401,47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2231602,99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548778,92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2231719,78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548220,73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2231582,48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548815,13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2231773,35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548221,61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2231567,04</w:t>
            </w:r>
          </w:p>
        </w:tc>
      </w:tr>
      <w:tr>
        <w:trPr/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548794,54</w:t>
            </w:r>
          </w:p>
        </w:tc>
        <w:tc>
          <w:tcPr>
            <w:tcW w:w="1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>2231781,86</w:t>
            </w:r>
          </w:p>
        </w:tc>
        <w:tc>
          <w:tcPr>
            <w:tcW w:w="1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</w:p>
        </w:tc>
      </w:tr>
    </w:tbl>
    <w:p>
      <w:pPr>
        <w:pStyle w:val="Normal"/>
        <w:rPr/>
      </w:pPr>
      <w:r>
        <w:rPr/>
        <w:t>Площадь: 27108,9м</w:t>
      </w:r>
      <w:r>
        <w:rPr>
          <w:sz w:val="32"/>
          <w:szCs w:val="32"/>
        </w:rPr>
        <w:t>²</w:t>
      </w:r>
      <w:r>
        <w:rPr/>
        <w:t>.</w:t>
      </w:r>
    </w:p>
    <w:p>
      <w:pPr>
        <w:pStyle w:val="Normal"/>
        <w:rPr/>
      </w:pPr>
      <w:r>
        <w:rPr/>
        <w:drawing>
          <wp:inline distT="0" distB="0" distL="0" distR="0">
            <wp:extent cx="5295900" cy="5562600"/>
            <wp:effectExtent l="0" t="0" r="0" b="0"/>
            <wp:docPr id="4" name="Изображение1 Копия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 Копия 1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7" t="-26" r="-27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end="-427" w:hanging="0"/>
        <w:jc w:val="end"/>
        <w:rPr/>
      </w:pPr>
      <w:r>
        <w:rPr>
          <w:color w:val="000000"/>
          <w:sz w:val="24"/>
        </w:rPr>
        <w:t>Приложение № 2</w:t>
      </w:r>
    </w:p>
    <w:p>
      <w:pPr>
        <w:pStyle w:val="Normal"/>
        <w:ind w:end="-427" w:hanging="0"/>
        <w:jc w:val="end"/>
        <w:rPr/>
      </w:pPr>
      <w:r>
        <w:rPr>
          <w:color w:val="000000"/>
          <w:sz w:val="24"/>
        </w:rPr>
        <w:t>к Техническим требованиям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bCs/>
          <w:color w:val="000000"/>
          <w:sz w:val="24"/>
        </w:rPr>
        <w:t>Основные характеристики автодороги от нижнего бассейна Загорской ГАЭС-2 до ул. 40 лет Победы г. Краснозаводск</w:t>
      </w:r>
    </w:p>
    <w:p>
      <w:pPr>
        <w:pStyle w:val="Normal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</w:p>
    <w:p>
      <w:pPr>
        <w:pStyle w:val="Normal"/>
        <w:spacing w:lineRule="auto" w:line="259"/>
        <w:ind w:firstLine="397"/>
        <w:jc w:val="both"/>
        <w:rPr/>
      </w:pPr>
      <w:r>
        <w:rPr>
          <w:sz w:val="24"/>
          <w:szCs w:val="24"/>
        </w:rPr>
        <w:t xml:space="preserve">. Начало трассы — ПКО100/ПК  29+64,18 технологического проезда №23, конец трассы — улица 40 лет Победы г. Краснозаводск. </w:t>
      </w:r>
      <w:r>
        <w:rPr>
          <w:b/>
          <w:bCs/>
          <w:sz w:val="24"/>
          <w:szCs w:val="24"/>
        </w:rPr>
        <w:t>Предусмотрены два съезда в г. Краснозаводск</w:t>
      </w:r>
      <w:r>
        <w:rPr>
          <w:sz w:val="24"/>
          <w:szCs w:val="24"/>
        </w:rPr>
        <w:t xml:space="preserve"> — на ул. Горького </w:t>
      </w:r>
      <w:r>
        <w:rPr>
          <w:sz w:val="24"/>
          <w:szCs w:val="24"/>
          <w:shd w:fill="auto" w:val="clear"/>
        </w:rPr>
        <w:t xml:space="preserve">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ru-RU" w:bidi="ar-SA"/>
        </w:rPr>
        <w:t>ул. Строителей,</w:t>
      </w:r>
      <w:r>
        <w:rPr>
          <w:sz w:val="24"/>
          <w:szCs w:val="24"/>
          <w:shd w:fill="auto" w:val="clear"/>
        </w:rPr>
        <w:t xml:space="preserve"> а</w:t>
      </w:r>
      <w:r>
        <w:rPr>
          <w:sz w:val="24"/>
          <w:szCs w:val="24"/>
        </w:rPr>
        <w:t xml:space="preserve"> также </w:t>
      </w:r>
      <w:r>
        <w:rPr>
          <w:b/>
          <w:bCs/>
          <w:sz w:val="24"/>
          <w:szCs w:val="24"/>
        </w:rPr>
        <w:t xml:space="preserve">съезд на плотину «Возрождение» </w:t>
      </w:r>
      <w:r>
        <w:rPr>
          <w:sz w:val="24"/>
          <w:szCs w:val="24"/>
        </w:rPr>
        <w:t xml:space="preserve">и временный проезд на кладбище. Насыпь земляного полотна и дорожной одежды выполняется из песка. </w:t>
      </w:r>
      <w:r>
        <w:rPr>
          <w:b/>
          <w:bCs/>
          <w:sz w:val="24"/>
          <w:szCs w:val="24"/>
        </w:rPr>
        <w:t>Длина основного хода трассы — 2111,52 метров</w:t>
      </w:r>
      <w:r>
        <w:rPr>
          <w:sz w:val="24"/>
          <w:szCs w:val="24"/>
        </w:rPr>
        <w:t xml:space="preserve">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b/>
          <w:bCs/>
          <w:sz w:val="24"/>
          <w:szCs w:val="24"/>
        </w:rPr>
        <w:t>Категория автодороги</w:t>
      </w:r>
      <w:r>
        <w:rPr>
          <w:sz w:val="24"/>
          <w:szCs w:val="24"/>
        </w:rPr>
        <w:t xml:space="preserve"> — магистральная улица районного значения, транспортно-пешеходная. Расчетная скорость движения — 40 км/час.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b/>
          <w:bCs/>
          <w:sz w:val="24"/>
          <w:szCs w:val="24"/>
        </w:rPr>
        <w:t>Ширина проезжей части — 8 метров</w:t>
      </w:r>
      <w:r>
        <w:rPr>
          <w:sz w:val="24"/>
          <w:szCs w:val="24"/>
        </w:rPr>
        <w:t xml:space="preserve">, две полосы движения.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b/>
          <w:bCs/>
          <w:sz w:val="24"/>
          <w:szCs w:val="24"/>
        </w:rPr>
        <w:t>Покрытие - асфальтобетонное</w:t>
      </w:r>
      <w:r>
        <w:rPr>
          <w:sz w:val="24"/>
          <w:szCs w:val="24"/>
        </w:rPr>
        <w:t xml:space="preserve"> в два слоя общей толщиной 11 см.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sz w:val="24"/>
          <w:szCs w:val="24"/>
        </w:rPr>
        <w:t>Ширина обочины — 1,5 м, в местах пешеходных тротуаров — 5,75 м. Пешеходные тротуары выполняются в асфальтобетонном покрытии 5 см, предусмотрено барьерное ограждение тротуара от проезжей части. Так же предусмотрена установка барьерного ограждения на участках трассы с большой высотой насыпи и на виражах. Общая длина ограждения — 4319 м.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sz w:val="24"/>
          <w:szCs w:val="24"/>
        </w:rPr>
        <w:t xml:space="preserve">Предусмотрено </w:t>
      </w:r>
      <w:r>
        <w:rPr>
          <w:b/>
          <w:bCs/>
          <w:sz w:val="24"/>
          <w:szCs w:val="24"/>
        </w:rPr>
        <w:t>обустройство остановочных пунктов</w:t>
      </w:r>
      <w:r>
        <w:rPr>
          <w:sz w:val="24"/>
          <w:szCs w:val="24"/>
        </w:rPr>
        <w:t xml:space="preserve"> общественного транспорта карманного типа с шириной остановочной полосы 3,5 м и длиной посадочной площадки 20 м в </w:t>
      </w:r>
      <w:r>
        <w:rPr>
          <w:b/>
          <w:bCs/>
          <w:sz w:val="24"/>
          <w:szCs w:val="24"/>
        </w:rPr>
        <w:t xml:space="preserve">количестве 4 шт.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b/>
          <w:bCs/>
          <w:sz w:val="24"/>
          <w:szCs w:val="24"/>
        </w:rPr>
        <w:t xml:space="preserve">Система дождевой канализации </w:t>
      </w:r>
      <w:r>
        <w:rPr>
          <w:sz w:val="24"/>
          <w:szCs w:val="24"/>
        </w:rPr>
        <w:t xml:space="preserve">для приема сточных вод с полотна автодороги организована через дождеприемные колодцы с отведением на </w:t>
      </w:r>
      <w:r>
        <w:rPr>
          <w:b/>
          <w:bCs/>
          <w:sz w:val="24"/>
          <w:szCs w:val="24"/>
        </w:rPr>
        <w:t>локальные очистные сооружения (ЛОС) — 2 шт.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Общая длина сети ливневой канализации составляет 2843 м, </w:t>
      </w:r>
      <w:r>
        <w:rPr>
          <w:sz w:val="24"/>
          <w:szCs w:val="24"/>
        </w:rPr>
        <w:t>коллектор трассы выполняется из полипропиленовых труб «Корсис» диаметром 300 и 400 мм. Количество дождеприемных колодцев — 60 шт., количество магистральных колодцев -95 шт.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b/>
          <w:bCs/>
          <w:sz w:val="24"/>
          <w:szCs w:val="24"/>
        </w:rPr>
        <w:t>Укрепление кюветов</w:t>
      </w:r>
      <w:r>
        <w:rPr>
          <w:sz w:val="24"/>
          <w:szCs w:val="24"/>
        </w:rPr>
        <w:t xml:space="preserve"> автодороги выполняются из монолитного бетона, щебня, растительного грунта с посевом трав, габионов матрасно-тюфячного типа.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Для пропуска воды</w:t>
      </w:r>
      <w:r>
        <w:rPr>
          <w:sz w:val="24"/>
          <w:szCs w:val="24"/>
        </w:rPr>
        <w:t xml:space="preserve"> под насыпью автодороги предусмотрено устройство </w:t>
      </w:r>
      <w:r>
        <w:rPr>
          <w:b/>
          <w:bCs/>
          <w:sz w:val="24"/>
          <w:szCs w:val="24"/>
        </w:rPr>
        <w:t>11 водопропускных труб</w:t>
      </w:r>
      <w:r>
        <w:rPr>
          <w:sz w:val="24"/>
          <w:szCs w:val="24"/>
        </w:rPr>
        <w:t xml:space="preserve"> диаметром 1м и1,5 м из сборного железобетона.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/>
      </w:pPr>
      <w:r>
        <w:rPr>
          <w:sz w:val="24"/>
          <w:szCs w:val="24"/>
        </w:rPr>
        <w:t>В местах остановок общественного транспорта и пешеходных переходов предусмотрено устройство наружного освещения автономного типа с применением светодиодных светильников, устанавливаемых на металлических опорах, оборудованных солнечными станциями.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5812" w:hanging="0"/>
        <w:jc w:val="end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5812" w:hanging="0"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5812" w:hanging="0"/>
        <w:jc w:val="end"/>
        <w:rPr>
          <w:sz w:val="24"/>
        </w:rPr>
      </w:pPr>
      <w:r>
        <w:rPr>
          <w:sz w:val="24"/>
        </w:rPr>
      </w:r>
      <w:r>
        <w:br w:type="page"/>
      </w:r>
    </w:p>
    <w:p>
      <w:pPr>
        <w:pStyle w:val="Normal"/>
        <w:spacing w:before="0" w:after="0"/>
        <w:ind w:end="-427" w:hanging="0"/>
        <w:jc w:val="end"/>
        <w:rPr/>
      </w:pPr>
      <w:r>
        <w:rPr>
          <w:color w:val="000000"/>
          <w:sz w:val="24"/>
        </w:rPr>
        <w:t>Приложение № 3</w:t>
      </w:r>
    </w:p>
    <w:p>
      <w:pPr>
        <w:pStyle w:val="Normal"/>
        <w:ind w:end="-427" w:hanging="0"/>
        <w:jc w:val="end"/>
        <w:rPr/>
      </w:pPr>
      <w:r>
        <w:rPr/>
        <w:t>к Техническим требованиям</w:t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</w:p>
    <w:p>
      <w:pPr>
        <w:pStyle w:val="Normal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Основные характеристики Технологический проезд №23</w:t>
      </w:r>
    </w:p>
    <w:p>
      <w:pPr>
        <w:pStyle w:val="Normal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</w:p>
    <w:p>
      <w:pPr>
        <w:pStyle w:val="BodyText"/>
        <w:widowControl/>
        <w:suppressAutoHyphens w:val="true"/>
        <w:bidi w:val="0"/>
        <w:spacing w:lineRule="auto" w:line="259" w:before="0" w:after="0"/>
        <w:ind w:start="0" w:end="0" w:hanging="0"/>
        <w:jc w:val="both"/>
        <w:rPr>
          <w:rFonts w:ascii="Times New Roman;serif" w:hAnsi="Times New Roman;serif"/>
          <w:color w:val="000000"/>
          <w:sz w:val="28"/>
          <w:szCs w:val="24"/>
        </w:rPr>
      </w:pPr>
      <w:r>
        <w:rPr>
          <w:rFonts w:ascii="Times New Roman;serif;serif;EmojiFont" w:hAnsi="Times New Roman;serif;serif;EmojiFont"/>
          <w:color w:val="000000"/>
          <w:sz w:val="24"/>
          <w:szCs w:val="24"/>
        </w:rPr>
        <w:t>Начало трасс</w:t>
      </w:r>
      <w:r>
        <w:rPr>
          <w:rFonts w:ascii="Times New Roman;serif;serif;EmojiFont" w:hAnsi="Times New Roman;serif;serif;EmojiFont"/>
          <w:color w:val="000000"/>
          <w:sz w:val="24"/>
          <w:szCs w:val="24"/>
          <w:shd w:fill="auto" w:val="clear"/>
        </w:rPr>
        <w:t xml:space="preserve">ы — ПК0 + 00 (примыкание к ад № 3), </w:t>
      </w:r>
      <w:r>
        <w:rPr>
          <w:rFonts w:ascii="Times New Roman;serif;serif;EmojiFont" w:hAnsi="Times New Roman;serif;serif;EmojiFont"/>
          <w:color w:val="000000"/>
          <w:sz w:val="24"/>
          <w:szCs w:val="24"/>
        </w:rPr>
        <w:t>конец трассы — ПК 29+64,18. Насыпь земляного полотна выполняется из песка, дорожной одежды - из песка слоев ЩПС и щебня фр. 40-</w:t>
      </w:r>
      <w:r>
        <w:rPr>
          <w:rFonts w:ascii="Times New Roman;serif;serif;EmojiFont" w:hAnsi="Times New Roman;serif;serif;EmojiFont"/>
          <w:color w:val="000000"/>
          <w:sz w:val="24"/>
          <w:szCs w:val="24"/>
          <w:shd w:fill="auto" w:val="clear"/>
        </w:rPr>
        <w:t>70 мм. </w:t>
      </w:r>
    </w:p>
    <w:p>
      <w:pPr>
        <w:pStyle w:val="BodyText"/>
        <w:widowControl/>
        <w:suppressAutoHyphens w:val="true"/>
        <w:bidi w:val="0"/>
        <w:spacing w:lineRule="auto" w:line="259" w:before="0" w:after="0"/>
        <w:ind w:start="0" w:end="0" w:hanging="0"/>
        <w:jc w:val="both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color w:val="000000"/>
          <w:sz w:val="24"/>
          <w:szCs w:val="24"/>
          <w:shd w:fill="auto" w:val="clear"/>
        </w:rPr>
        <w:t>Длина основного хода трассы — 2874</w:t>
      </w:r>
      <w:r>
        <w:rPr>
          <w:rFonts w:ascii="Times New Roman;serif" w:hAnsi="Times New Roman;serif"/>
          <w:color w:val="00000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/>
          <w:color w:val="000000"/>
          <w:sz w:val="24"/>
          <w:szCs w:val="24"/>
          <w:shd w:fill="auto" w:val="clear"/>
        </w:rPr>
        <w:t>метра</w:t>
      </w:r>
      <w:r>
        <w:rPr>
          <w:rFonts w:ascii="Times New Roman;serif;serif;EmojiFont" w:hAnsi="Times New Roman;serif;serif;EmojiFont"/>
          <w:color w:val="000000"/>
          <w:sz w:val="24"/>
          <w:szCs w:val="24"/>
          <w:shd w:fill="auto" w:val="clear"/>
        </w:rPr>
        <w:t>.</w:t>
      </w:r>
    </w:p>
    <w:p>
      <w:pPr>
        <w:sectPr>
          <w:headerReference w:type="even" r:id="rId10"/>
          <w:headerReference w:type="default" r:id="rId11"/>
          <w:headerReference w:type="first" r:id="rId1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eastAsia="Times New Roman" w:cs="Times New Roman"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ru-RU" w:bidi="ar-SA"/>
        </w:rPr>
        <w:t>Категория автодороги</w:t>
      </w:r>
      <w:r>
        <w:rPr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  <w:lang w:val="ru-RU" w:eastAsia="ru-RU" w:bidi="ar-SA"/>
        </w:rPr>
        <w:t xml:space="preserve"> — </w:t>
      </w:r>
      <w:r>
        <w:rPr>
          <w:rFonts w:eastAsia="Times New Roman" w:cs="Times New Roman"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ru-RU" w:bidi="ar-SA"/>
        </w:rPr>
        <w:t>автомобильная дорога IVкатегории.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Расчетная скорость движения — 40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км/час.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Ширина проезжей части — 7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метров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, две полосы движения. На участке ПК4+0,62 - ПК13+41,23 автодорога разделяется на две части с однополосным движением шириной проезжей части 4,5 м.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Покрытие - асфальтобетонное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в два слоя общей </w:t>
      </w:r>
      <w:r>
        <w:rPr>
          <w:rFonts w:eastAsia="Times New Roman" w:cs="Times New Roman"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ru-RU" w:bidi="ar-SA"/>
        </w:rPr>
        <w:t>толщиной </w:t>
      </w:r>
      <w:r>
        <w:rPr>
          <w:rFonts w:eastAsia="Times New Roman" w:cs="Times New Roman"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shd w:fill="auto" w:val="clear"/>
          <w:lang w:val="ru-RU" w:eastAsia="ru-RU" w:bidi="ar-SA"/>
        </w:rPr>
        <w:t>12</w:t>
      </w:r>
      <w:r>
        <w:rPr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  <w:lang w:val="ru-RU" w:eastAsia="ru-RU" w:bidi="ar-SA"/>
        </w:rPr>
        <w:t> </w:t>
      </w:r>
      <w:r>
        <w:rPr>
          <w:rFonts w:eastAsia="Times New Roman" w:cs="Times New Roman"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ru-RU" w:bidi="ar-SA"/>
        </w:rPr>
        <w:t>см.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Ширина обочины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 xml:space="preserve"> — 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1,5 м.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Система отвода поверхностных вод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с полотна автодороги организована  со стоком в продольные лотки и отводом на </w:t>
      </w: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локальные очистные сооружения (ЛОС) с системой приемных колодцев —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17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шт.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Укрепление обочин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выполняется присыпкой щебня фр. 20-40 мм, </w:t>
      </w: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укрепление откосов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 насыпи выполняется растительным грунтом с посевом трав по обрешетке.</w:t>
      </w:r>
    </w:p>
    <w:p>
      <w:pPr>
        <w:pStyle w:val="BodyText"/>
        <w:widowControl/>
        <w:suppressAutoHyphens w:val="true"/>
        <w:bidi w:val="0"/>
        <w:spacing w:lineRule="atLeast" w:line="300" w:before="0" w:after="0"/>
        <w:ind w:start="0" w:end="0" w:hanging="0"/>
        <w:jc w:val="start"/>
        <w:rPr>
          <w:highlight w:val="none"/>
          <w:shd w:fill="auto" w:val="clear"/>
        </w:rPr>
      </w:pP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Для пропуска воды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в теле основания автодороги предусмотрено устройство </w:t>
      </w: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15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водосбросных труб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8"/>
          <w:szCs w:val="24"/>
          <w:shd w:fill="auto" w:val="clear"/>
        </w:rPr>
        <w:t> </w:t>
      </w:r>
      <w:r>
        <w:rPr>
          <w:rFonts w:ascii="Times New Roman;serif;serif;EmojiFont" w:hAnsi="Times New Roman;serif;serif;EmojiFont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диаметром 0,8 м из сборного железобетона.</w:t>
      </w:r>
    </w:p>
    <w:p>
      <w:pPr>
        <w:sectPr>
          <w:type w:val="continuous"/>
          <w:pgSz w:w="11906" w:h="16838"/>
          <w:pgMar w:left="1134" w:right="851" w:gutter="0" w:header="680" w:top="1134" w:footer="0" w:bottom="992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/>
        <w:suppressAutoHyphens w:val="true"/>
        <w:bidi w:val="0"/>
        <w:spacing w:lineRule="auto" w:line="259"/>
        <w:ind w:start="0" w:end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9"/>
        <w:ind w:firstLine="454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ind w:start="5812" w:hanging="0"/>
        <w:jc w:val="end"/>
        <w:rPr>
          <w:color w:val="000000"/>
          <w:sz w:val="24"/>
        </w:rPr>
      </w:pPr>
      <w:r>
        <w:rPr>
          <w:sz w:val="24"/>
        </w:rPr>
      </w:r>
    </w:p>
    <w:p>
      <w:pPr>
        <w:pStyle w:val="Normal"/>
        <w:jc w:val="end"/>
        <w:rPr>
          <w:sz w:val="24"/>
        </w:rPr>
      </w:pPr>
      <w:r>
        <w:rPr>
          <w:sz w:val="24"/>
        </w:rPr>
      </w:r>
    </w:p>
    <w:p>
      <w:pPr>
        <w:pStyle w:val="Normal"/>
        <w:jc w:val="end"/>
        <w:rPr>
          <w:sz w:val="24"/>
        </w:rPr>
      </w:pPr>
      <w:r>
        <w:rPr>
          <w:sz w:val="24"/>
        </w:rPr>
      </w:r>
    </w:p>
    <w:p>
      <w:pPr>
        <w:pStyle w:val="Normal"/>
        <w:jc w:val="end"/>
        <w:rPr>
          <w:sz w:val="24"/>
        </w:rPr>
      </w:pPr>
      <w:r>
        <w:rPr/>
      </w:r>
    </w:p>
    <w:sectPr>
      <w:type w:val="continuous"/>
      <w:pgSz w:w="11906" w:h="16838"/>
      <w:pgMar w:left="1134" w:right="851" w:gutter="0" w:header="680" w:top="1134" w:footer="0" w:bottom="992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 Unicode MS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Times New Roman">
    <w:altName w:val="serif"/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357"/>
        </w:tabs>
        <w:ind w:start="0" w:hanging="0"/>
      </w:pPr>
      <w:rPr/>
    </w:lvl>
    <w:lvl w:ilvl="2">
      <w:start w:val="1"/>
      <w:numFmt w:val="decimal"/>
      <w:lvlText w:val="%1.%2.%3."/>
      <w:lvlJc w:val="start"/>
      <w:pPr>
        <w:tabs>
          <w:tab w:val="num" w:pos="357"/>
        </w:tabs>
        <w:ind w:start="0" w:hanging="0"/>
      </w:pPr>
      <w:rPr/>
    </w:lvl>
    <w:lvl w:ilvl="3">
      <w:start w:val="1"/>
      <w:numFmt w:val="decimal"/>
      <w:lvlText w:val="%1.%2.%3.%4."/>
      <w:lvlJc w:val="start"/>
      <w:pPr>
        <w:tabs>
          <w:tab w:val="num" w:pos="357"/>
        </w:tabs>
        <w:ind w:start="0" w:hanging="0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0" w:hanging="0"/>
      </w:pPr>
      <w:rPr/>
    </w:lvl>
    <w:lvl w:ilvl="5">
      <w:start w:val="1"/>
      <w:numFmt w:val="decimal"/>
      <w:lvlText w:val="%1.%2.%3.%4.%5.%6."/>
      <w:lvlJc w:val="start"/>
      <w:pPr>
        <w:tabs>
          <w:tab w:val="num" w:pos="357"/>
        </w:tabs>
        <w:ind w:start="0" w:hanging="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57"/>
        </w:tabs>
        <w:ind w:start="0" w:hanging="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57"/>
        </w:tabs>
        <w:ind w:start="0" w:hanging="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57"/>
        </w:tabs>
        <w:ind w:start="0" w:hanging="0"/>
      </w:pPr>
      <w:rPr/>
    </w:lvl>
  </w:abstractNum>
  <w:abstractNum w:abstractNumId="2">
    <w:lvl w:ilvl="0">
      <w:start w:val="4"/>
      <w:numFmt w:val="bullet"/>
      <w:lvlText w:val="-"/>
      <w:lvlJc w:val="start"/>
      <w:pPr>
        <w:tabs>
          <w:tab w:val="num" w:pos="0"/>
        </w:tabs>
        <w:ind w:star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513"/>
        </w:tabs>
        <w:ind w:star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233"/>
        </w:tabs>
        <w:ind w:star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1953"/>
        </w:tabs>
        <w:ind w:star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2673"/>
        </w:tabs>
        <w:ind w:star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3393"/>
        </w:tabs>
        <w:ind w:star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4113"/>
        </w:tabs>
        <w:ind w:star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4833"/>
        </w:tabs>
        <w:ind w:star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5553"/>
        </w:tabs>
        <w:ind w:star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134" w:hanging="1134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134" w:hanging="1134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134" w:hanging="1134"/>
      </w:pPr>
      <w:rPr/>
    </w:lvl>
    <w:lvl w:ilvl="3">
      <w:start w:val="1"/>
      <w:numFmt w:val="russianLower"/>
      <w:lvlText w:val="(%4)"/>
      <w:lvlJc w:val="start"/>
      <w:pPr>
        <w:tabs>
          <w:tab w:val="num" w:pos="0"/>
        </w:tabs>
        <w:ind w:start="1985" w:hanging="567"/>
      </w:pPr>
      <w:rPr/>
    </w:lvl>
    <w:lvl w:ilvl="4">
      <w:start w:val="1"/>
      <w:numFmt w:val="bullet"/>
      <w:lvlText w:val="–"/>
      <w:lvlJc w:val="start"/>
      <w:pPr>
        <w:tabs>
          <w:tab w:val="num" w:pos="0"/>
        </w:tabs>
        <w:ind w:star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34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701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134" w:hanging="0"/>
      </w:pPr>
      <w:rPr/>
    </w:lvl>
  </w:abstractNum>
  <w:abstractNum w:abstractNumId="5">
    <w:lvl w:ilvl="0">
      <w:start w:val="1"/>
      <w:numFmt w:val="decimal"/>
      <w:lvlText w:val="1.%1"/>
      <w:lvlJc w:val="start"/>
      <w:pPr>
        <w:tabs>
          <w:tab w:val="num" w:pos="0"/>
        </w:tabs>
        <w:ind w:start="142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99"/>
  <w:revisionView w:insDel="0" w:formatting="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b476b3"/>
    <w:pPr>
      <w:keepNext w:val="true"/>
      <w:tabs>
        <w:tab w:val="clear" w:pos="708"/>
        <w:tab w:val="left" w:pos="0" w:leader="none"/>
      </w:tabs>
      <w:spacing w:before="240" w:after="60"/>
      <w:ind w:start="1276" w:hanging="55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476b3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LineNumber">
    <w:name w:val="Line Number"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>
      <w:rFonts w:cs="Noto Sans Devanagari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star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star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star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start="-567" w:end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star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star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472c1"/>
    <w:pPr>
      <w:tabs>
        <w:tab w:val="clear" w:pos="708"/>
        <w:tab w:val="left" w:pos="567" w:leader="none"/>
        <w:tab w:val="right" w:pos="9911" w:leader="dot"/>
      </w:tabs>
      <w:ind w:start="280" w:hanging="28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end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star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star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472c1"/>
    <w:pPr>
      <w:tabs>
        <w:tab w:val="clear" w:pos="708"/>
        <w:tab w:val="left" w:pos="567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star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star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start="936" w:end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start="1134" w:end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star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start="57" w:end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star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end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star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start="57" w:end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star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star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star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star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Верхний колонтитул слева"/>
    <w:basedOn w:val="Header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Блочная цитата"/>
    <w:basedOn w:val="Normal"/>
    <w:qFormat/>
    <w:pPr>
      <w:spacing w:before="0" w:after="283"/>
      <w:ind w:start="567" w:end="567" w:hanging="0"/>
    </w:pPr>
    <w:rPr/>
  </w:style>
  <w:style w:type="numbering" w:styleId="Style39" w:customStyle="1">
    <w:name w:val="Без списка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C3C7-3096-49F0-8B3D-E31D3FDD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Application>AlterOffice/3.4.0.9$Linux_X86_64 LibreOffice_project/b8daf9e823b1a5463a2f48435ddc2e8696e7d4fc</Application>
  <AppVersion>15.0000</AppVersion>
  <Pages>19</Pages>
  <Words>3954</Words>
  <Characters>26492</Characters>
  <CharactersWithSpaces>29815</CharactersWithSpaces>
  <Paragraphs>628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2021-04-04T09:36:00Z</dcterms:created>
  <dc:creator>Быстров Олег Геннадьевич</dc:creator>
  <dc:description/>
  <dc:language>ru-RU</dc:language>
  <cp:lastModifiedBy/>
  <cp:lastPrinted>2026-07-23T09:55:02Z</cp:lastPrinted>
  <dcterms:modified xsi:type="dcterms:W3CDTF">2026-08-07T14:22:36Z</dcterms:modified>
  <cp:revision>65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