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8.xml" ContentType="application/vnd.openxmlformats-officedocument.wordprocessingml.head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suppressAutoHyphens w:val="true"/>
        <w:jc w:val="center"/>
        <w:rPr>
          <w:sz w:val="24"/>
          <w:szCs w:val="24"/>
        </w:rPr>
      </w:pPr>
      <w:r>
        <w:rPr>
          <w:rFonts w:eastAsia="Calibri"/>
          <w:b/>
          <w:caps/>
          <w:sz w:val="24"/>
          <w:szCs w:val="24"/>
        </w:rPr>
        <w:t>Запрос технико-коммерческих предложений</w:t>
      </w:r>
    </w:p>
    <w:p>
      <w:pPr>
        <w:pStyle w:val="Normal"/>
        <w:keepNext w:val="true"/>
        <w:keepLines/>
        <w:suppressAutoHyphens w:val="true"/>
        <w:jc w:val="center"/>
        <w:rPr>
          <w:sz w:val="24"/>
          <w:szCs w:val="24"/>
        </w:rPr>
      </w:pPr>
      <w:r>
        <w:rPr>
          <w:rFonts w:eastAsia="Calibri"/>
          <w:b/>
          <w:caps/>
          <w:sz w:val="24"/>
          <w:szCs w:val="24"/>
        </w:rPr>
        <w:t xml:space="preserve">для проведения мониторинга цен </w:t>
      </w:r>
    </w:p>
    <w:p>
      <w:pPr>
        <w:pStyle w:val="Normal"/>
        <w:keepNext w:val="true"/>
        <w:keepLines/>
        <w:suppressAutoHyphens w:val="true"/>
        <w:spacing w:before="0" w:after="0"/>
        <w:jc w:val="center"/>
        <w:rPr>
          <w:sz w:val="24"/>
          <w:szCs w:val="24"/>
        </w:rPr>
      </w:pPr>
      <w:r>
        <w:rPr>
          <w:rFonts w:eastAsia="Calibri"/>
          <w:b w:val="false"/>
          <w:bCs w:val="false"/>
          <w:i w:val="false"/>
          <w:iCs w:val="false"/>
          <w:sz w:val="24"/>
          <w:szCs w:val="24"/>
        </w:rPr>
        <w:t>по лоту: «</w:t>
      </w:r>
      <w:r>
        <w:rPr>
          <w:rFonts w:eastAsia="Times New Roman" w:cs="Times New Roman"/>
          <w:b w:val="false"/>
          <w:bCs w:val="false"/>
          <w:i w:val="false"/>
          <w:iCs w:val="false"/>
          <w:sz w:val="24"/>
          <w:szCs w:val="24"/>
          <w:lang w:eastAsia="ru-RU"/>
        </w:rPr>
        <w:t>ОКПД2 72.19.15.000 Выполнение научно-исследовательских работ для разработки проекта защиты Мутновской ГеоЭС-2 от схода лавин и селей»</w:t>
      </w:r>
    </w:p>
    <w:p>
      <w:pPr>
        <w:pStyle w:val="Normal"/>
        <w:suppressAutoHyphens w:val="true"/>
        <w:spacing w:before="0" w:after="0"/>
        <w:jc w:val="center"/>
        <w:rPr>
          <w:rFonts w:ascii="Times New Roman" w:hAnsi="Times New Roman" w:eastAsia="Calibri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Calibri" w:cs="Times New Roman"/>
          <w:color w:val="auto"/>
          <w:kern w:val="0"/>
          <w:sz w:val="24"/>
          <w:szCs w:val="24"/>
          <w:lang w:val="ru-RU" w:eastAsia="ru-RU" w:bidi="ar-SA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76" w:before="0"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АО «Ленгидропроект» (далее – Заказчик) сообщает о проведении анализа технико-коммерческих предложений потенциальных поставщиков по лоту:</w:t>
      </w:r>
      <w:r>
        <w:rPr>
          <w:rFonts w:eastAsia="Calibri"/>
          <w:b w:val="false"/>
          <w:bCs w:val="false"/>
          <w:i w:val="false"/>
          <w:iCs w:val="false"/>
          <w:sz w:val="24"/>
          <w:szCs w:val="24"/>
        </w:rPr>
        <w:t xml:space="preserve"> «</w:t>
      </w:r>
      <w:r>
        <w:rPr>
          <w:rFonts w:eastAsia="Times New Roman" w:cs="Times New Roman"/>
          <w:b w:val="false"/>
          <w:bCs w:val="false"/>
          <w:i w:val="false"/>
          <w:iCs w:val="false"/>
          <w:sz w:val="24"/>
          <w:szCs w:val="24"/>
          <w:lang w:eastAsia="ru-RU"/>
        </w:rPr>
        <w:t>ОКПД2 72.19.15.000 Выполнение научно-исследовательских работ для разработки проекта защиты Мутновской ГеоЭС-2 от схода лавин и селей»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0"/>
          <w:sz w:val="24"/>
          <w:szCs w:val="24"/>
          <w:lang w:val="ru-RU" w:eastAsia="ru-RU" w:bidi="ar-SA"/>
        </w:rPr>
        <w:t>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76" w:before="0"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Подробные требования к продукции (в том числе, сведения об объеме, месте, сроках выполняемых работ) приведены в Технических требованиях настоящего мониторинга (запроса).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851" w:leader="none"/>
        </w:tabs>
        <w:spacing w:lineRule="auto" w:line="276" w:before="60" w:after="60"/>
        <w:ind w:left="0" w:righ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Настоящий запрос </w:t>
      </w:r>
      <w:r>
        <w:rPr>
          <w:b/>
          <w:sz w:val="24"/>
          <w:szCs w:val="24"/>
        </w:rPr>
        <w:t>не является публичной офертой и не влечет за собой возникновения каких-либо обязательств для Заказчика</w:t>
      </w:r>
      <w:r>
        <w:rPr>
          <w:sz w:val="24"/>
          <w:szCs w:val="24"/>
        </w:rPr>
        <w:t>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851" w:leader="none"/>
        </w:tabs>
        <w:spacing w:lineRule="auto" w:line="276" w:before="60" w:after="60"/>
        <w:ind w:left="0" w:right="0" w:firstLine="567"/>
        <w:contextualSpacing/>
        <w:jc w:val="both"/>
        <w:rPr/>
      </w:pPr>
      <w:r>
        <w:rPr/>
        <w:t>Ответ с технико-коммерческим предложением должен быть оформлен на официальном бланке по форме приложения №1 к Техническим требованиям и</w:t>
      </w:r>
      <w:r>
        <w:rPr>
          <w:lang w:val="en-US"/>
        </w:rPr>
        <w:t> </w:t>
      </w:r>
      <w:r>
        <w:rPr/>
        <w:t>заверен подписью уполномоченного лица, а также печатью организации (при</w:t>
      </w:r>
      <w:r>
        <w:rPr>
          <w:lang w:val="en-US"/>
        </w:rPr>
        <w:t> </w:t>
      </w:r>
      <w:r>
        <w:rPr/>
        <w:t>наличии), и в обязательном порядке содержать следующую информацию: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76" w:before="60" w:after="60"/>
        <w:ind w:left="850" w:right="0" w:hanging="0"/>
        <w:contextualSpacing/>
        <w:jc w:val="both"/>
        <w:rPr/>
      </w:pPr>
      <w:r>
        <w:rPr/>
        <w:t>- дату направления предложения;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76" w:before="60" w:after="60"/>
        <w:ind w:left="850" w:right="0" w:hanging="0"/>
        <w:contextualSpacing/>
        <w:jc w:val="both"/>
        <w:rPr/>
      </w:pPr>
      <w:r>
        <w:rPr/>
        <w:t>- полное наименование организации, с указанием организационно-правовой формы (для юридических лиц);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76" w:before="60" w:after="60"/>
        <w:ind w:left="850" w:right="0" w:hanging="0"/>
        <w:contextualSpacing/>
        <w:jc w:val="both"/>
        <w:rPr/>
      </w:pPr>
      <w:r>
        <w:rPr/>
        <w:t xml:space="preserve">- юридический адрес, почтовый адрес, ИНН </w:t>
      </w:r>
      <w:r>
        <w:rPr>
          <w:i/>
          <w:shd w:fill="FFFF99" w:val="clear"/>
        </w:rPr>
        <w:t>[для юридических лиц]</w:t>
      </w:r>
      <w:r>
        <w:rPr>
          <w:i/>
        </w:rPr>
        <w:t xml:space="preserve"> / </w:t>
      </w:r>
      <w:r>
        <w:rPr/>
        <w:t xml:space="preserve">паспортные данные, адрес регистрации, ИНН (при наличии) </w:t>
      </w:r>
      <w:r>
        <w:rPr>
          <w:i/>
          <w:shd w:fill="FFFF99" w:val="clear"/>
        </w:rPr>
        <w:t>[для физических лиц]</w:t>
      </w:r>
      <w:r>
        <w:rPr>
          <w:i/>
        </w:rPr>
        <w:t>;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76" w:before="60" w:after="60"/>
        <w:ind w:left="850" w:right="0" w:hanging="0"/>
        <w:contextualSpacing/>
        <w:jc w:val="both"/>
        <w:rPr/>
      </w:pPr>
      <w:r>
        <w:rPr/>
        <w:t xml:space="preserve">- контактные данные: номер телефона, </w:t>
      </w:r>
      <w:r>
        <w:rPr>
          <w:lang w:val="en-US"/>
        </w:rPr>
        <w:t>e</w:t>
      </w:r>
      <w:r>
        <w:rPr/>
        <w:t>-</w:t>
      </w:r>
      <w:r>
        <w:rPr>
          <w:lang w:val="en-US"/>
        </w:rPr>
        <w:t>mail</w:t>
      </w:r>
      <w:r>
        <w:rPr/>
        <w:t>, ФИО контактного лица;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76" w:before="60" w:after="60"/>
        <w:ind w:left="850" w:right="0" w:hanging="0"/>
        <w:contextualSpacing/>
        <w:jc w:val="both"/>
        <w:rPr/>
      </w:pPr>
      <w:r>
        <w:rPr/>
        <w:t>- цену предложения в рублях (без учета НДС).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851" w:leader="none"/>
        </w:tabs>
        <w:spacing w:lineRule="auto" w:line="276" w:before="60" w:after="60"/>
        <w:ind w:left="0" w:right="0" w:firstLine="567"/>
        <w:contextualSpacing/>
        <w:jc w:val="both"/>
        <w:rPr/>
      </w:pPr>
      <w:r>
        <w:rPr/>
        <w:t>Срок подачи технико-коммерческих предложени</w:t>
      </w:r>
      <w:r>
        <w:rPr>
          <w:shd w:fill="auto" w:val="clear"/>
        </w:rPr>
        <w:t xml:space="preserve">й: </w:t>
      </w:r>
      <w:r>
        <w:rPr>
          <w:u w:val="single"/>
          <w:shd w:fill="auto" w:val="clear"/>
        </w:rPr>
        <w:t>до 08:00 13.08.2026 г.</w:t>
      </w:r>
      <w:r>
        <w:rPr>
          <w:shd w:fill="auto" w:val="clear"/>
        </w:rPr>
        <w:t xml:space="preserve"> 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851" w:leader="none"/>
        </w:tabs>
        <w:spacing w:lineRule="auto" w:line="276" w:before="60" w:after="60"/>
        <w:ind w:left="0" w:right="0" w:firstLine="567"/>
        <w:contextualSpacing/>
        <w:jc w:val="both"/>
        <w:rPr/>
      </w:pPr>
      <w:r>
        <w:rPr/>
        <w:t xml:space="preserve">Предложения должны быть направлены путем загрузки на ЭТП и в виде сканированной электронной копии в адрес ответственного лица: </w:t>
      </w:r>
      <w:hyperlink r:id="rId2">
        <w:r>
          <w:rPr>
            <w:rStyle w:val="Hyperlink"/>
          </w:rPr>
          <w:t>KozlovaES@lhp.ru</w:t>
        </w:r>
      </w:hyperlink>
      <w:r>
        <w:rPr/>
        <w:t>, рабочий телефон: +7 (812) 346-92-12.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851" w:leader="none"/>
        </w:tabs>
        <w:spacing w:lineRule="auto" w:line="276" w:before="60" w:after="60"/>
        <w:ind w:left="0" w:right="0" w:firstLine="567"/>
        <w:contextualSpacing/>
        <w:jc w:val="both"/>
        <w:rPr/>
      </w:pPr>
      <w:r>
        <w:rPr/>
        <w:t>Технико-коммерческие предложения участниками мониторинга должны быть поданы в соответствии с установленными Заказчиком требованиями проведения мониторинга.</w:t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ind w:left="0" w:right="0" w:hanging="0"/>
        <w:contextualSpacing/>
        <w:jc w:val="center"/>
        <w:rPr>
          <w:b/>
          <w:bCs/>
        </w:rPr>
      </w:pPr>
      <w:r>
        <w:rPr>
          <w:b/>
          <w:bCs/>
          <w:color w:val="0D0D0D" w:themeColor="text1" w:themeTint="f2"/>
          <w:sz w:val="26"/>
          <w:szCs w:val="26"/>
          <w:shd w:fill="auto" w:val="clear"/>
        </w:rPr>
        <w:t xml:space="preserve">ТЕХНИЧЕСКИЕ ТРЕБОВАНИЯ </w:t>
      </w:r>
    </w:p>
    <w:p>
      <w:pPr>
        <w:pStyle w:val="Normal"/>
        <w:spacing w:lineRule="auto" w:line="240"/>
        <w:ind w:hanging="0"/>
        <w:jc w:val="center"/>
        <w:rPr>
          <w:b/>
          <w:bCs/>
        </w:rPr>
      </w:pPr>
      <w:r>
        <w:rPr>
          <w:rFonts w:eastAsia="Calibri" w:eastAsiaTheme="minorHAnsi"/>
          <w:b/>
          <w:bCs/>
          <w:shd w:fill="auto" w:val="clear"/>
        </w:rPr>
        <w:t>для проведения мониторинга рынка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ОКПД2 72.19.15.000 Выполнение научно-исследовательских работ для разработки проекта защиты Мутновской ГеоЭС-2 от схода лавин и селей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rFonts w:eastAsia="Calibri"/>
          <w:i/>
          <w:i/>
        </w:rPr>
      </w:pPr>
      <w:r>
        <w:rPr>
          <w:rFonts w:eastAsia="Calibri"/>
          <w:i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_RefHeading___Toc8007_339154082">
            <w:r>
              <w:rPr>
                <w:webHidden/>
                <w:rStyle w:val="Style14"/>
                <w:vanish w:val="false"/>
              </w:rPr>
              <w:t>1. Общие сведения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8009_339154082">
            <w:r>
              <w:rPr>
                <w:webHidden/>
                <w:rStyle w:val="Style14"/>
                <w:vanish w:val="false"/>
              </w:rPr>
              <w:t>1.1. Обозначения и сокращения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8011_339154082">
            <w:r>
              <w:rPr>
                <w:webHidden/>
                <w:rStyle w:val="Style14"/>
                <w:vanish w:val="false"/>
              </w:rPr>
              <w:t>1.2. Наименование закупаемой продукции</w:t>
              <w:tab/>
              <w:t>5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9945_3178400391">
            <w:r>
              <w:rPr>
                <w:webHidden/>
                <w:rStyle w:val="Style14"/>
                <w:vanish w:val="false"/>
              </w:rPr>
              <w:t xml:space="preserve">1.3. </w:t>
            </w:r>
            <w:r>
              <w:rPr>
                <w:rStyle w:val="Style14"/>
                <w:i w:val="false"/>
                <w:iCs w:val="false"/>
              </w:rPr>
              <w:t>Цель выполнения работ</w:t>
            </w:r>
            <w:r>
              <w:rPr>
                <w:rStyle w:val="Style14"/>
              </w:rPr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9947_3178400391"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8019_339154082">
            <w:r>
              <w:rPr>
                <w:webHidden/>
                <w:rStyle w:val="Style14"/>
                <w:vanish w:val="false"/>
              </w:rPr>
              <w:t>2. Требования к продукции</w:t>
              <w:tab/>
              <w:t>5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9949_3178400391">
            <w:r>
              <w:rPr>
                <w:webHidden/>
                <w:rStyle w:val="Style14"/>
                <w:vanish w:val="false"/>
              </w:rPr>
              <w:t xml:space="preserve">2.1. </w:t>
            </w:r>
            <w:r>
              <w:rPr>
                <w:rStyle w:val="Style14"/>
                <w:i w:val="false"/>
                <w:iCs w:val="false"/>
              </w:rPr>
              <w:t>Требования к объемам и срокам выполнения работ</w:t>
            </w:r>
            <w:r>
              <w:rPr>
                <w:rStyle w:val="Style14"/>
              </w:rPr>
              <w:tab/>
              <w:t>5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9951_3178400391">
            <w:r>
              <w:rPr>
                <w:webHidden/>
                <w:rStyle w:val="Style14"/>
                <w:i w:val="false"/>
                <w:iCs w:val="false"/>
                <w:vanish w:val="false"/>
              </w:rPr>
              <w:t>2.1.1. Требования к видам и объемам работ</w:t>
            </w:r>
            <w:r>
              <w:rPr>
                <w:rStyle w:val="Style14"/>
              </w:rPr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9963_2187112983_%D0%9A%D0%BE%D0%BF%D0%B8%D1%8F_">
            <w:r>
              <w:rPr>
                <w:webHidden/>
                <w:rStyle w:val="Style14"/>
                <w:vanish w:val="false"/>
              </w:rPr>
              <w:t>Таблица 2. Перечень и объем выполняемых работ</w:t>
              <w:tab/>
              <w:t>5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9965_2187112983">
            <w:r>
              <w:rPr>
                <w:webHidden/>
                <w:rStyle w:val="Style14"/>
                <w:i w:val="false"/>
                <w:iCs w:val="false"/>
                <w:vanish w:val="false"/>
              </w:rPr>
              <w:t>2.1.2. Требования к срокам выполнения работ</w:t>
            </w:r>
            <w:r>
              <w:rPr>
                <w:rStyle w:val="Style14"/>
              </w:rPr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9963_2187112983">
            <w:r>
              <w:rPr>
                <w:webHidden/>
                <w:rStyle w:val="Style14"/>
                <w:vanish w:val="false"/>
              </w:rPr>
              <w:t>Таблица 3. Требования по срокам выполнения работ</w:t>
              <w:tab/>
              <w:t>5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8025_339154082">
            <w:r>
              <w:rPr>
                <w:webHidden/>
                <w:rStyle w:val="Style14"/>
                <w:vanish w:val="false"/>
              </w:rPr>
              <w:t>2.2. Требования к качеству продукции</w:t>
              <w:tab/>
              <w:t>6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8027_339154082">
            <w:r>
              <w:rPr>
                <w:webHidden/>
                <w:rStyle w:val="Style14"/>
                <w:vanish w:val="false"/>
              </w:rPr>
              <w:t>Таблица 4. Требования к качеству продукции</w:t>
              <w:tab/>
              <w:t>6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8067_339154082">
            <w:r>
              <w:rPr>
                <w:webHidden/>
                <w:rStyle w:val="Style14"/>
                <w:vanish w:val="false"/>
              </w:rPr>
              <w:t>3. Требования к документации по ценообразованию на этапе закупки</w:t>
              <w:tab/>
              <w:t>10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8071_339154082">
            <w:r>
              <w:rPr>
                <w:webHidden/>
                <w:rStyle w:val="Style14"/>
                <w:vanish w:val="false"/>
              </w:rPr>
              <w:t>4. Требования к документации по ценообразованию на этапе заключения (исполнения) договора</w:t>
              <w:tab/>
              <w:t>10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7006_958015815">
            <w:r>
              <w:rPr>
                <w:webHidden/>
                <w:rStyle w:val="Style14"/>
                <w:vanish w:val="false"/>
              </w:rPr>
              <w:t>5. Приложения</w:t>
              <w:tab/>
              <w:t>10</w:t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Heading2"/>
        <w:numPr>
          <w:ilvl w:val="0"/>
          <w:numId w:val="0"/>
        </w:numPr>
        <w:ind w:left="0" w:hanging="0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</w:rPr>
      </w:pPr>
      <w:bookmarkStart w:id="0" w:name="__RefHeading___Toc8007_339154082"/>
      <w:bookmarkStart w:id="1" w:name="_Toc54647807"/>
      <w:bookmarkStart w:id="2" w:name="_Toc51339692"/>
      <w:bookmarkEnd w:id="0"/>
      <w:r>
        <w:rPr/>
        <w:t>Общие сведения</w:t>
      </w:r>
      <w:bookmarkEnd w:id="1"/>
      <w:bookmarkEnd w:id="2"/>
    </w:p>
    <w:p>
      <w:pPr>
        <w:pStyle w:val="Heading4"/>
        <w:numPr>
          <w:ilvl w:val="1"/>
          <w:numId w:val="3"/>
        </w:numPr>
        <w:rPr>
          <w:highlight w:val="none"/>
          <w:shd w:fill="auto" w:val="clear"/>
        </w:rPr>
      </w:pPr>
      <w:bookmarkStart w:id="3" w:name="__RefHeading___Toc8009_339154082"/>
      <w:bookmarkStart w:id="4" w:name="_Toc46743505"/>
      <w:bookmarkStart w:id="5" w:name="_Toc54647808"/>
      <w:bookmarkEnd w:id="3"/>
      <w:r>
        <w:rPr>
          <w:shd w:fill="auto" w:val="clear"/>
        </w:rPr>
        <w:t>Обозначения и сокращения</w:t>
      </w:r>
      <w:bookmarkEnd w:id="4"/>
      <w:bookmarkEnd w:id="5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>Государственный стандарт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>Заказчик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>Акционерное общество «Ленгидропроект»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>МГе</w:t>
            </w:r>
            <w:bookmarkStart w:id="6" w:name="_GoBack_Копия_1_Копия_1"/>
            <w:bookmarkEnd w:id="6"/>
            <w:r>
              <w:rPr>
                <w:b w:val="false"/>
                <w:bCs w:val="false"/>
                <w:color w:val="000000"/>
                <w:sz w:val="20"/>
                <w:szCs w:val="20"/>
              </w:rPr>
              <w:t>оЭС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>Мутновская г</w:t>
            </w:r>
            <w:r>
              <w:rPr>
                <w:rStyle w:val="Strong"/>
                <w:b w:val="false"/>
                <w:bCs w:val="false"/>
                <w:color w:val="000000"/>
                <w:sz w:val="20"/>
                <w:szCs w:val="20"/>
              </w:rPr>
              <w:t>еотермальная электростанция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>Объект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>Мутновская ГеоЭС-2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>СНиП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>Строительные нормы и правила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>СП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>Свод правил</w:t>
            </w:r>
          </w:p>
        </w:tc>
      </w:tr>
      <w:tr>
        <w:trPr>
          <w:trHeight w:val="464" w:hRule="atLeast"/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>СТО ИСМ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>Стандарт организации Интегрированная система менеджмента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>Технические требования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spacing w:before="0" w:after="0"/>
        <w:rPr/>
      </w:pPr>
      <w:bookmarkStart w:id="7" w:name="__RefHeading___Toc8011_339154082"/>
      <w:bookmarkStart w:id="8" w:name="_Toc54647809"/>
      <w:bookmarkStart w:id="9" w:name="_Toc46743506"/>
      <w:bookmarkEnd w:id="7"/>
      <w:r>
        <w:rPr/>
        <w:t>Наименование закупаемой продукции</w:t>
      </w:r>
      <w:bookmarkEnd w:id="8"/>
      <w:bookmarkEnd w:id="9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0"/>
        <w:jc w:val="both"/>
        <w:rPr/>
      </w:pPr>
      <w:r>
        <w:rPr>
          <w:sz w:val="24"/>
          <w:szCs w:val="24"/>
        </w:rPr>
        <w:t>ОКПД2 72.19.15.000  Выполнение научно-исследовательских работ для разработки проекта защиты Мутновской ГеоЭС-2 от схода лавин и селей</w:t>
      </w:r>
      <w:r>
        <w:rPr>
          <w:rFonts w:eastAsia="Calibri"/>
          <w:i/>
          <w:sz w:val="24"/>
          <w:szCs w:val="24"/>
          <w:lang w:eastAsia="x-none"/>
        </w:rPr>
        <w:t xml:space="preserve"> </w:t>
      </w:r>
    </w:p>
    <w:p>
      <w:pPr>
        <w:pStyle w:val="Heading4"/>
        <w:numPr>
          <w:ilvl w:val="1"/>
          <w:numId w:val="3"/>
        </w:numPr>
        <w:rPr>
          <w:rFonts w:ascii="Times New Roman" w:hAnsi="Times New Roman"/>
          <w:b/>
          <w:bCs/>
          <w:i w:val="false"/>
          <w:i w:val="false"/>
          <w:iCs w:val="false"/>
          <w:color w:val="000000"/>
          <w:sz w:val="24"/>
          <w:szCs w:val="24"/>
        </w:rPr>
      </w:pPr>
      <w:bookmarkStart w:id="10" w:name="__RefHeading___Toc19945_3178400391"/>
      <w:bookmarkStart w:id="11" w:name="_Toc46743507"/>
      <w:bookmarkStart w:id="12" w:name="_Toc180578180"/>
      <w:bookmarkEnd w:id="10"/>
      <w:r>
        <w:rPr>
          <w:rFonts w:eastAsia="Calibri"/>
          <w:b/>
          <w:bCs/>
          <w:i w:val="false"/>
          <w:iCs w:val="false"/>
          <w:color w:val="000000" w:themeTint="f2"/>
          <w:sz w:val="24"/>
          <w:szCs w:val="24"/>
          <w:lang w:eastAsia="x-none"/>
        </w:rPr>
        <w:t>Цель выполнения работ</w:t>
      </w:r>
      <w:bookmarkStart w:id="13" w:name="_Toc54646218"/>
      <w:bookmarkStart w:id="14" w:name="_Toc54647810"/>
      <w:bookmarkEnd w:id="11"/>
      <w:bookmarkEnd w:id="12"/>
      <w:bookmarkEnd w:id="13"/>
      <w:bookmarkEnd w:id="14"/>
      <w:r>
        <w:rPr/>
        <w:t xml:space="preserve"> </w:t>
      </w:r>
    </w:p>
    <w:p>
      <w:pPr>
        <w:pStyle w:val="Normal"/>
        <w:spacing w:before="0" w:after="113"/>
        <w:contextualSpacing/>
        <w:jc w:val="both"/>
        <w:rPr>
          <w:sz w:val="24"/>
          <w:szCs w:val="24"/>
        </w:rPr>
      </w:pPr>
      <w:bookmarkStart w:id="15" w:name="_Toc46743509"/>
      <w:bookmarkStart w:id="16" w:name="_Toc54647811"/>
      <w:bookmarkStart w:id="17" w:name="_Hlk49857604"/>
      <w:r>
        <w:rPr>
          <w:sz w:val="24"/>
          <w:szCs w:val="24"/>
        </w:rPr>
        <w:t>Обеспечение исходными данными для разработки проектной документации по защите Мутновской ГеоЭС-2 от схода селей и лавин</w:t>
      </w:r>
      <w:bookmarkEnd w:id="15"/>
      <w:bookmarkEnd w:id="16"/>
      <w:bookmarkEnd w:id="17"/>
      <w:r>
        <w:rPr>
          <w:sz w:val="24"/>
          <w:szCs w:val="24"/>
          <w:lang w:val="ru-RU"/>
        </w:rPr>
        <w:t>.</w:t>
      </w:r>
    </w:p>
    <w:p>
      <w:pPr>
        <w:pStyle w:val="BodyText"/>
        <w:widowControl w:val="false"/>
        <w:suppressAutoHyphens w:val="true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  <w:shd w:fill="auto" w:val="clear"/>
        </w:rPr>
        <w:t>В результате выполнения работ будут определены:</w:t>
      </w:r>
    </w:p>
    <w:p>
      <w:pPr>
        <w:pStyle w:val="BodyText"/>
        <w:widowControl w:val="false"/>
        <w:numPr>
          <w:ilvl w:val="0"/>
          <w:numId w:val="8"/>
        </w:numPr>
        <w:suppressAutoHyphens w:val="true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  <w:shd w:fill="auto" w:val="clear"/>
        </w:rPr>
        <w:t>условия лавинной и селевой активности на участке проектируемой Мутновской ГеоЭС-2;</w:t>
      </w:r>
    </w:p>
    <w:p>
      <w:pPr>
        <w:pStyle w:val="BodyText"/>
        <w:widowControl w:val="false"/>
        <w:numPr>
          <w:ilvl w:val="0"/>
          <w:numId w:val="8"/>
        </w:numPr>
        <w:suppressAutoHyphens w:val="true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  <w:shd w:fill="auto" w:val="clear"/>
        </w:rPr>
        <w:t>выделены очаги лавинной и селевой активности угрожающей проектируемому объекту и его инфраструктуре;</w:t>
      </w:r>
    </w:p>
    <w:p>
      <w:pPr>
        <w:pStyle w:val="BodyText"/>
        <w:widowControl w:val="false"/>
        <w:numPr>
          <w:ilvl w:val="0"/>
          <w:numId w:val="8"/>
        </w:numPr>
        <w:suppressAutoHyphens w:val="true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  <w:shd w:fill="auto" w:val="clear"/>
        </w:rPr>
        <w:t>рассчитаны параметры лавин и селей, угрожающих сооружениям проектируемого Объекта и его инфраструктуре;</w:t>
      </w:r>
    </w:p>
    <w:p>
      <w:pPr>
        <w:pStyle w:val="BodyText"/>
        <w:widowControl w:val="false"/>
        <w:numPr>
          <w:ilvl w:val="0"/>
          <w:numId w:val="8"/>
        </w:numPr>
        <w:suppressAutoHyphens w:val="true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  <w:shd w:fill="auto" w:val="clear"/>
          <w:lang w:val="ru-RU"/>
        </w:rPr>
        <w:t>разработаны рекомендации по обеспечению лавинной и селевой безопасности, проектируемого Объекта.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0"/>
        </w:numPr>
        <w:ind w:left="0" w:hanging="0"/>
        <w:rPr/>
      </w:pPr>
      <w:bookmarkStart w:id="18" w:name="__RefHeading___Toc19947_3178400391"/>
      <w:bookmarkStart w:id="19" w:name="_Toc54646400"/>
      <w:bookmarkStart w:id="20" w:name="_Toc50125126"/>
      <w:bookmarkEnd w:id="18"/>
      <w:bookmarkEnd w:id="20"/>
      <w:r>
        <w:rPr>
          <w:sz w:val="28"/>
          <w:szCs w:val="28"/>
          <w:lang w:val="ru-RU"/>
        </w:rPr>
        <w:t>Таблица 1. Перечень объектов Заказчика</w:t>
      </w:r>
      <w:bookmarkEnd w:id="19"/>
    </w:p>
    <w:tbl>
      <w:tblPr>
        <w:tblW w:w="99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60"/>
        <w:gridCol w:w="4140"/>
        <w:gridCol w:w="2682"/>
        <w:gridCol w:w="2505"/>
      </w:tblGrid>
      <w:tr>
        <w:trPr>
          <w:trHeight w:val="495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Расположение объекта </w:t>
              <w:br/>
            </w:r>
            <w:r>
              <w:rPr>
                <w:iCs/>
                <w:sz w:val="22"/>
                <w:szCs w:val="22"/>
              </w:rPr>
              <w:t>(место производства работ)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основного средства </w:t>
              <w:br/>
              <w:t>(в отношении которого выполняются работы)</w:t>
            </w:r>
          </w:p>
        </w:tc>
      </w:tr>
      <w:tr>
        <w:trPr>
          <w:trHeight w:val="156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>
        <w:trPr>
          <w:trHeight w:val="140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ind w:left="72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ОКПД2 72.19.15.000  Выполнение научно-исследовательских работ для разработки проекта защиты Мутновской ГеоЭС-2 от схода лавин и селей</w:t>
            </w:r>
            <w:r>
              <w:rPr>
                <w:rFonts w:eastAsia="Calibri"/>
                <w:i/>
                <w:sz w:val="22"/>
                <w:szCs w:val="22"/>
                <w:lang w:eastAsia="x-none"/>
              </w:rPr>
              <w:t xml:space="preserve"> 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РФ,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Камчатский край, Елизовский район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color w:val="0D0D0D" w:themeColor="text1" w:themeTint="f2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Мутновская ГеоЭС-2</w:t>
            </w:r>
          </w:p>
        </w:tc>
      </w:tr>
    </w:tbl>
    <w:p>
      <w:pPr>
        <w:pStyle w:val="Heading4"/>
        <w:keepNext w:val="true"/>
        <w:widowControl w:val="false"/>
        <w:numPr>
          <w:ilvl w:val="0"/>
          <w:numId w:val="0"/>
        </w:numPr>
        <w:tabs>
          <w:tab w:val="clear" w:pos="708"/>
          <w:tab w:val="left" w:pos="426" w:leader="none"/>
        </w:tabs>
        <w:suppressAutoHyphens w:val="true"/>
        <w:bidi w:val="0"/>
        <w:spacing w:lineRule="auto" w:line="240" w:before="240" w:after="60"/>
        <w:ind w:left="0" w:right="0" w:hanging="0"/>
        <w:jc w:val="both"/>
        <w:rPr>
          <w:rFonts w:ascii="Times New Roman" w:hAnsi="Times New Roman" w:eastAsia="" w:cs=""/>
          <w:bCs/>
          <w:color w:val="000000"/>
          <w:sz w:val="24"/>
          <w:szCs w:val="24"/>
          <w:lang w:eastAsia="ru-RU"/>
        </w:rPr>
      </w:pPr>
      <w:bookmarkStart w:id="21" w:name="__RefHeading___Toc19223_463198939"/>
      <w:bookmarkEnd w:id="21"/>
      <w:r>
        <w:rPr>
          <w:rFonts w:eastAsia="" w:cs=""/>
          <w:b/>
          <w:bCs/>
          <w:i w:val="false"/>
          <w:iCs w:val="false"/>
          <w:color w:val="000000"/>
          <w:kern w:val="0"/>
          <w:sz w:val="24"/>
          <w:szCs w:val="24"/>
          <w:lang w:val="ru-RU" w:eastAsia="ru-RU" w:bidi="ar-SA"/>
        </w:rPr>
        <w:t xml:space="preserve">1.4. </w:t>
      </w:r>
      <w:bookmarkStart w:id="22" w:name="_Toc223009948"/>
      <w:bookmarkStart w:id="23" w:name="_Toc220520386"/>
      <w:r>
        <w:rPr>
          <w:rFonts w:eastAsia="" w:cs=""/>
          <w:b/>
          <w:bCs/>
          <w:i w:val="false"/>
          <w:iCs w:val="false"/>
          <w:color w:val="000000"/>
          <w:kern w:val="0"/>
          <w:sz w:val="24"/>
          <w:szCs w:val="24"/>
          <w:lang w:val="ru-RU" w:eastAsia="ru-RU" w:bidi="ar-SA"/>
        </w:rPr>
        <w:t>Общие требования при проведении мониторинга цен</w:t>
      </w:r>
      <w:bookmarkEnd w:id="22"/>
      <w:bookmarkEnd w:id="23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hanging="0"/>
        <w:jc w:val="both"/>
        <w:rPr>
          <w:rFonts w:ascii="Times New Roman" w:hAnsi="Times New Roman" w:eastAsia="Times New Roman" w:cs="Times New Roman"/>
          <w:bCs/>
          <w:color w:val="0D0D0D" w:themeColor="text1" w:themeTint="f2"/>
          <w:kern w:val="0"/>
          <w:sz w:val="24"/>
          <w:szCs w:val="24"/>
          <w:shd w:fill="auto" w:val="clear"/>
          <w:lang w:val="ru-RU" w:eastAsia="ru-RU" w:bidi="ar-SA"/>
        </w:rPr>
      </w:pPr>
      <w:r>
        <w:rPr>
          <w:rFonts w:eastAsia="Times New Roman" w:cs="Times New Roman"/>
          <w:bCs/>
          <w:color w:val="0D0D0D" w:themeColor="text1" w:themeTint="f2"/>
          <w:kern w:val="0"/>
          <w:sz w:val="24"/>
          <w:szCs w:val="24"/>
          <w:shd w:fill="auto" w:val="clear"/>
          <w:lang w:eastAsia="ru-RU" w:bidi="ar-SA"/>
        </w:rPr>
        <w:t xml:space="preserve">Мониторинг цен не является публичной офертой, по результатам мониторинга цен договор не заключается.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hanging="0"/>
        <w:jc w:val="both"/>
        <w:rPr>
          <w:rFonts w:ascii="Times New Roman" w:hAnsi="Times New Roman" w:eastAsia="Times New Roman" w:cs="Times New Roman"/>
          <w:bCs/>
          <w:color w:val="0D0D0D" w:themeColor="text1" w:themeTint="f2"/>
          <w:kern w:val="0"/>
          <w:sz w:val="24"/>
          <w:szCs w:val="24"/>
          <w:shd w:fill="auto" w:val="clear"/>
          <w:lang w:val="ru-RU" w:eastAsia="ru-RU" w:bidi="ar-SA"/>
        </w:rPr>
      </w:pPr>
      <w:r>
        <w:rPr>
          <w:rFonts w:eastAsia="Times New Roman" w:cs="Times New Roman"/>
          <w:bCs/>
          <w:color w:val="0D0D0D" w:themeColor="text1" w:themeTint="f2"/>
          <w:kern w:val="0"/>
          <w:sz w:val="24"/>
          <w:szCs w:val="24"/>
          <w:shd w:fill="auto" w:val="clear"/>
          <w:lang w:val="ru-RU" w:eastAsia="ru-RU" w:bidi="ar-SA"/>
        </w:rPr>
      </w:r>
    </w:p>
    <w:p>
      <w:pPr>
        <w:pStyle w:val="Heading1"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24" w:name="__RefHeading___Toc8019_339154082"/>
      <w:bookmarkStart w:id="25" w:name="_Toc51339693"/>
      <w:bookmarkStart w:id="26" w:name="_Toc54647813"/>
      <w:bookmarkEnd w:id="24"/>
      <w:r>
        <w:rPr/>
        <w:t>Требования к продукции</w:t>
      </w:r>
      <w:bookmarkEnd w:id="25"/>
      <w:bookmarkEnd w:id="26"/>
    </w:p>
    <w:p>
      <w:pPr>
        <w:pStyle w:val="Heading4"/>
        <w:numPr>
          <w:ilvl w:val="1"/>
          <w:numId w:val="3"/>
        </w:numPr>
        <w:rPr>
          <w:rFonts w:ascii="Times New Roman" w:hAnsi="Times New Roman"/>
          <w:b/>
          <w:bCs/>
          <w:i w:val="false"/>
          <w:i w:val="false"/>
          <w:iCs w:val="false"/>
          <w:color w:val="000000"/>
          <w:sz w:val="24"/>
          <w:szCs w:val="24"/>
        </w:rPr>
      </w:pPr>
      <w:bookmarkStart w:id="27" w:name="__RefHeading___Toc19949_3178400391"/>
      <w:bookmarkStart w:id="28" w:name="_Toc180578187"/>
      <w:bookmarkEnd w:id="27"/>
      <w:r>
        <w:rPr>
          <w:b/>
          <w:bCs/>
          <w:i w:val="false"/>
          <w:iCs w:val="false"/>
          <w:color w:val="000000"/>
          <w:sz w:val="24"/>
          <w:szCs w:val="24"/>
        </w:rPr>
        <w:t>Требования к объемам и срокам выполнения работ</w:t>
      </w:r>
      <w:bookmarkEnd w:id="28"/>
    </w:p>
    <w:p>
      <w:pPr>
        <w:pStyle w:val="Heading4"/>
        <w:keepNext w:val="true"/>
        <w:widowControl/>
        <w:numPr>
          <w:ilvl w:val="0"/>
          <w:numId w:val="0"/>
        </w:numPr>
        <w:bidi w:val="0"/>
        <w:spacing w:before="120" w:after="60"/>
        <w:ind w:left="0" w:right="0" w:hanging="0"/>
        <w:jc w:val="left"/>
        <w:rPr>
          <w:rFonts w:ascii="Times New Roman" w:hAnsi="Times New Roman"/>
          <w:b/>
          <w:bCs/>
          <w:i w:val="false"/>
          <w:i w:val="false"/>
          <w:iCs w:val="false"/>
          <w:color w:val="000000"/>
          <w:sz w:val="24"/>
          <w:szCs w:val="24"/>
        </w:rPr>
      </w:pPr>
      <w:bookmarkStart w:id="29" w:name="__RefHeading___Toc19951_3178400391"/>
      <w:bookmarkEnd w:id="29"/>
      <w:r>
        <w:rPr>
          <w:b/>
          <w:bCs/>
          <w:i w:val="false"/>
          <w:iCs w:val="false"/>
          <w:color w:val="000000"/>
          <w:sz w:val="24"/>
          <w:szCs w:val="24"/>
        </w:rPr>
        <w:t xml:space="preserve">2.1.1. </w:t>
      </w:r>
      <w:bookmarkStart w:id="30" w:name="_Toc180578188"/>
      <w:r>
        <w:rPr>
          <w:b/>
          <w:bCs/>
          <w:i w:val="false"/>
          <w:iCs w:val="false"/>
          <w:color w:val="000000"/>
          <w:sz w:val="24"/>
          <w:szCs w:val="24"/>
        </w:rPr>
        <w:t>Требования к видам и объемам работ</w:t>
      </w:r>
      <w:bookmarkEnd w:id="30"/>
    </w:p>
    <w:p>
      <w:pPr>
        <w:pStyle w:val="Heading1"/>
        <w:keepLines/>
        <w:numPr>
          <w:ilvl w:val="0"/>
          <w:numId w:val="0"/>
        </w:numPr>
        <w:spacing w:beforeAutospacing="0" w:before="0" w:afterAutospacing="0" w:after="0"/>
        <w:ind w:left="0" w:right="0" w:hanging="0"/>
        <w:rPr/>
      </w:pPr>
      <w:bookmarkStart w:id="31" w:name="__RefHeading___Toc9963_2187112983_Копия_"/>
      <w:bookmarkStart w:id="32" w:name="_Toc180578189"/>
      <w:bookmarkStart w:id="33" w:name="_Toc144906333"/>
      <w:bookmarkStart w:id="34" w:name="_Toc144906170"/>
      <w:bookmarkStart w:id="35" w:name="_Toc51339695_Копия_2"/>
      <w:bookmarkEnd w:id="31"/>
      <w:r>
        <w:rPr>
          <w:sz w:val="28"/>
          <w:szCs w:val="28"/>
        </w:rPr>
        <w:t xml:space="preserve">Таблица 2. Перечень </w:t>
      </w:r>
      <w:bookmarkEnd w:id="35"/>
      <w:r>
        <w:rPr>
          <w:sz w:val="28"/>
          <w:szCs w:val="28"/>
        </w:rPr>
        <w:t>и объем выполняемых работ</w:t>
      </w:r>
      <w:bookmarkEnd w:id="32"/>
      <w:bookmarkEnd w:id="33"/>
      <w:bookmarkEnd w:id="34"/>
    </w:p>
    <w:tbl>
      <w:tblPr>
        <w:tblW w:w="9940" w:type="dxa"/>
        <w:jc w:val="left"/>
        <w:tblInd w:w="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20"/>
        <w:gridCol w:w="6637"/>
        <w:gridCol w:w="1317"/>
        <w:gridCol w:w="1365"/>
      </w:tblGrid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0" w:hanging="0"/>
              <w:jc w:val="center"/>
              <w:rPr/>
            </w:pPr>
            <w:r>
              <w:rPr>
                <w:sz w:val="22"/>
                <w:szCs w:val="22"/>
              </w:rPr>
              <w:t>Наименование работ / этапа работ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0" w:hanging="0"/>
              <w:jc w:val="center"/>
              <w:rPr/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0" w:hanging="0"/>
              <w:jc w:val="center"/>
              <w:rPr/>
            </w:pPr>
            <w:r>
              <w:rPr>
                <w:sz w:val="22"/>
                <w:szCs w:val="22"/>
              </w:rPr>
              <w:t>Количество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0" w:hanging="0"/>
              <w:contextualSpacing w:val="false"/>
              <w:jc w:val="center"/>
              <w:rPr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>1.</w:t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426" w:leader="none"/>
              </w:tabs>
              <w:spacing w:before="0" w:after="0"/>
              <w:ind w:left="0" w:right="0" w:hanging="0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2"/>
                <w:szCs w:val="22"/>
                <w:lang w:eastAsia="ru-RU"/>
              </w:rPr>
              <w:t>ОКПД2 72.19.15.000  Выполнение научно-исследовательских работ для разработки проекта защиты Мутновской ГеоЭС-2 от схода лавин и селей</w:t>
            </w:r>
            <w:r>
              <w:rPr>
                <w:rFonts w:eastAsia="Calibri" w:cs="Times New Roman"/>
                <w:b w:val="false"/>
                <w:bCs w:val="false"/>
                <w:i w:val="false"/>
                <w:iCs w:val="false"/>
                <w:sz w:val="22"/>
                <w:szCs w:val="22"/>
                <w:lang w:eastAsia="x-none"/>
              </w:rPr>
              <w:t xml:space="preserve">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0" w:hanging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>Усл. ед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0" w:hanging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>1</w:t>
            </w:r>
          </w:p>
        </w:tc>
      </w:tr>
    </w:tbl>
    <w:p>
      <w:pPr>
        <w:pStyle w:val="Normal"/>
        <w:tabs>
          <w:tab w:val="clear" w:pos="708"/>
          <w:tab w:val="left" w:pos="1134" w:leader="none"/>
        </w:tabs>
        <w:spacing w:before="0" w:after="0"/>
        <w:ind w:firstLine="709"/>
        <w:contextualSpacing/>
        <w:jc w:val="both"/>
        <w:rPr>
          <w:b/>
          <w:bCs/>
          <w:i/>
          <w:i/>
          <w:color w:val="0D0D0D" w:themeColor="text1" w:themeTint="f2"/>
          <w:sz w:val="20"/>
          <w:szCs w:val="20"/>
        </w:rPr>
      </w:pPr>
      <w:r>
        <w:rPr>
          <w:b/>
          <w:bCs/>
          <w:i/>
          <w:color w:val="0D0D0D" w:themeColor="text1" w:themeTint="f2"/>
          <w:sz w:val="20"/>
          <w:szCs w:val="20"/>
        </w:rPr>
      </w:r>
    </w:p>
    <w:p>
      <w:pPr>
        <w:pStyle w:val="Heading4"/>
        <w:numPr>
          <w:ilvl w:val="0"/>
          <w:numId w:val="0"/>
        </w:numPr>
        <w:spacing w:before="0" w:after="0"/>
        <w:ind w:left="0" w:right="0" w:hanging="0"/>
        <w:rPr/>
      </w:pPr>
      <w:bookmarkStart w:id="36" w:name="__RefHeading___Toc9965_2187112983"/>
      <w:bookmarkStart w:id="37" w:name="_Toc180578190"/>
      <w:bookmarkEnd w:id="36"/>
      <w:r>
        <w:rPr>
          <w:b/>
          <w:bCs/>
          <w:i w:val="false"/>
          <w:iCs w:val="false"/>
          <w:color w:val="000000"/>
        </w:rPr>
        <w:t>2.1.2.</w:t>
        <w:tab/>
        <w:t>Требования к срокам выполнения работ</w:t>
      </w:r>
      <w:bookmarkEnd w:id="37"/>
    </w:p>
    <w:p>
      <w:pPr>
        <w:pStyle w:val="Heading1"/>
        <w:keepLines/>
        <w:numPr>
          <w:ilvl w:val="0"/>
          <w:numId w:val="0"/>
        </w:numPr>
        <w:spacing w:beforeAutospacing="0" w:before="0" w:afterAutospacing="0" w:after="0"/>
        <w:ind w:left="0" w:right="0" w:hanging="0"/>
        <w:rPr>
          <w:caps w:val="false"/>
          <w:smallCaps w:val="false"/>
          <w:sz w:val="28"/>
          <w:szCs w:val="28"/>
        </w:rPr>
      </w:pPr>
      <w:bookmarkStart w:id="38" w:name="__RefHeading___Toc9963_2187112983"/>
      <w:bookmarkStart w:id="39" w:name="_Toc180578191"/>
      <w:bookmarkEnd w:id="38"/>
      <w:r>
        <w:rPr>
          <w:caps w:val="false"/>
          <w:smallCaps w:val="false"/>
          <w:sz w:val="28"/>
          <w:szCs w:val="28"/>
          <w:lang w:val="ru-RU"/>
        </w:rPr>
        <w:t>Таблица 3. Требования по срокам выполнения работ</w:t>
      </w:r>
      <w:bookmarkEnd w:id="39"/>
    </w:p>
    <w:tbl>
      <w:tblPr>
        <w:tblW w:w="99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9"/>
        <w:gridCol w:w="3520"/>
        <w:gridCol w:w="2606"/>
        <w:gridCol w:w="3094"/>
      </w:tblGrid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работ/ этапа работ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выполнения работ/ этапа работ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выполнения работ / этапа работ</w:t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426" w:leader="none"/>
              </w:tabs>
              <w:spacing w:before="0" w:after="0"/>
              <w:ind w:left="0" w:right="0" w:hanging="0"/>
              <w:jc w:val="both"/>
              <w:rPr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2"/>
                <w:szCs w:val="22"/>
                <w:lang w:eastAsia="ru-RU"/>
              </w:rPr>
              <w:t>ОКПД2 72.19.15.000  Выполнение научно-исследовательских работ для разработки проекта защиты Мутновской ГеоЭС-2 от схода лавин и селей</w:t>
            </w:r>
            <w:r>
              <w:rPr>
                <w:rFonts w:eastAsia="Calibri" w:cs="Times New Roman"/>
                <w:b w:val="false"/>
                <w:bCs w:val="false"/>
                <w:i w:val="false"/>
                <w:iCs w:val="false"/>
                <w:sz w:val="22"/>
                <w:szCs w:val="22"/>
                <w:lang w:eastAsia="x-none"/>
              </w:rPr>
              <w:t xml:space="preserve"> 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Дата, следующая за датой заключения договора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75 дней (семидесяти пяти) календарных дней с даты, следующей за датой заключения договора</w:t>
            </w:r>
          </w:p>
        </w:tc>
      </w:tr>
    </w:tbl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spacing w:before="0" w:after="0"/>
        <w:ind w:left="0" w:right="0" w:hanging="0"/>
        <w:rPr/>
      </w:pPr>
      <w:bookmarkStart w:id="40" w:name="__RefHeading___Toc8025_339154082"/>
      <w:bookmarkStart w:id="41" w:name="_Toc54647817"/>
      <w:bookmarkStart w:id="42" w:name="_Toc51339698"/>
      <w:bookmarkStart w:id="43" w:name="_Toc54647816"/>
      <w:bookmarkStart w:id="44" w:name="_Toc46743511"/>
      <w:bookmarkEnd w:id="40"/>
      <w:r>
        <w:rPr/>
        <w:t xml:space="preserve">Требования к </w:t>
      </w:r>
      <w:bookmarkEnd w:id="44"/>
      <w:r>
        <w:rPr/>
        <w:t>качеству продукции</w:t>
      </w:r>
      <w:bookmarkEnd w:id="43"/>
    </w:p>
    <w:p>
      <w:pPr>
        <w:pStyle w:val="Heading1"/>
        <w:keepLines/>
        <w:numPr>
          <w:ilvl w:val="0"/>
          <w:numId w:val="0"/>
        </w:numPr>
        <w:spacing w:before="0" w:after="0"/>
        <w:ind w:left="0" w:right="0" w:hanging="0"/>
        <w:rPr/>
      </w:pPr>
      <w:bookmarkStart w:id="45" w:name="__RefHeading___Toc8027_339154082"/>
      <w:bookmarkEnd w:id="45"/>
      <w:r>
        <w:rPr/>
        <w:t>Таблица </w:t>
      </w:r>
      <w:r>
        <w:rPr>
          <w:lang w:val="ru-RU"/>
        </w:rPr>
        <w:t>4</w:t>
      </w:r>
      <w:r>
        <w:rPr/>
        <w:t xml:space="preserve">. Требования к </w:t>
      </w:r>
      <w:bookmarkEnd w:id="42"/>
      <w:r>
        <w:rPr>
          <w:lang w:val="ru-RU"/>
        </w:rPr>
        <w:t>качеству продукции</w:t>
      </w:r>
      <w:bookmarkEnd w:id="41"/>
      <w:r>
        <w:rPr/>
        <w:t xml:space="preserve"> </w:t>
      </w:r>
    </w:p>
    <w:p>
      <w:pPr>
        <w:pStyle w:val="Normal"/>
        <w:snapToGrid w:val="false"/>
        <w:spacing w:before="0" w:after="0"/>
        <w:ind w:left="0" w:right="0" w:hanging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работ/этапа работ (позиция №1 Таблицы 2): </w:t>
      </w:r>
      <w:r>
        <w:rPr>
          <w:b w:val="false"/>
          <w:bCs w:val="false"/>
          <w:sz w:val="24"/>
          <w:szCs w:val="24"/>
        </w:rPr>
        <w:t>ОКПД2 72.19.15.000  Выполнение научно-исследовательских работ для разработки проекта защиты Мутновской ГеоЭС-2 от схода лавин и селей</w:t>
      </w:r>
      <w:r>
        <w:rPr>
          <w:rFonts w:eastAsia="Calibri"/>
          <w:b w:val="false"/>
          <w:bCs w:val="false"/>
          <w:i/>
          <w:sz w:val="24"/>
          <w:szCs w:val="24"/>
          <w:lang w:eastAsia="x-none"/>
        </w:rPr>
        <w:t xml:space="preserve"> </w:t>
      </w:r>
    </w:p>
    <w:tbl>
      <w:tblPr>
        <w:tblStyle w:val="af"/>
        <w:tblW w:w="1536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58"/>
        <w:gridCol w:w="1802"/>
        <w:gridCol w:w="8899"/>
        <w:gridCol w:w="1761"/>
        <w:gridCol w:w="1940"/>
      </w:tblGrid>
      <w:tr>
        <w:trPr>
          <w:trHeight w:val="690" w:hRule="atLeast"/>
        </w:trPr>
        <w:tc>
          <w:tcPr>
            <w:tcW w:w="95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180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889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370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95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80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889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7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9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958" w:type="dxa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02" w:type="dxa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899" w:type="dxa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61" w:type="dxa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940" w:type="dxa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>
        <w:trPr/>
        <w:tc>
          <w:tcPr>
            <w:tcW w:w="958" w:type="dxa"/>
            <w:tcBorders/>
            <w:vAlign w:val="center"/>
          </w:tcPr>
          <w:p>
            <w:pPr>
              <w:pStyle w:val="BodyText"/>
              <w:widowControl w:val="false"/>
              <w:numPr>
                <w:ilvl w:val="0"/>
                <w:numId w:val="6"/>
              </w:numPr>
              <w:suppressAutoHyphens w:val="true"/>
              <w:spacing w:before="0" w:after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0701" w:type="dxa"/>
            <w:gridSpan w:val="2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Требования к выполнению работ </w:t>
            </w:r>
          </w:p>
        </w:tc>
        <w:tc>
          <w:tcPr>
            <w:tcW w:w="176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sz w:val="20"/>
                <w:szCs w:val="20"/>
                <w:shd w:fill="auto" w:val="clear"/>
                <w:lang w:eastAsia="ru-RU"/>
              </w:rPr>
              <w:t>Согласие с требованиями</w:t>
            </w:r>
          </w:p>
        </w:tc>
        <w:tc>
          <w:tcPr>
            <w:tcW w:w="194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Предоставление ответа на запрос ТКП по форме Приложения №1 к настоящим техническим требованиям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kern w:val="0"/>
                <w:sz w:val="20"/>
                <w:szCs w:val="20"/>
                <w:lang w:val="ru-RU" w:bidi="ar-SA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b/>
                <w:kern w:val="0"/>
                <w:sz w:val="20"/>
                <w:szCs w:val="20"/>
                <w:lang w:val="ru-RU" w:bidi="ar-SA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kern w:val="0"/>
                <w:sz w:val="20"/>
                <w:szCs w:val="20"/>
                <w:lang w:val="ru-RU" w:bidi="ar-SA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kern w:val="0"/>
                <w:sz w:val="20"/>
                <w:szCs w:val="20"/>
                <w:lang w:val="ru-RU" w:bidi="ar-SA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kern w:val="0"/>
                <w:sz w:val="20"/>
                <w:szCs w:val="20"/>
                <w:lang w:val="ru-RU" w:bidi="ar-SA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kern w:val="0"/>
                <w:sz w:val="20"/>
                <w:szCs w:val="20"/>
                <w:lang w:val="ru-RU" w:bidi="ar-SA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kern w:val="0"/>
                <w:sz w:val="20"/>
                <w:szCs w:val="20"/>
                <w:lang w:val="ru-RU" w:bidi="ar-SA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kern w:val="0"/>
                <w:sz w:val="20"/>
                <w:szCs w:val="20"/>
                <w:lang w:val="ru-RU" w:bidi="ar-SA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kern w:val="0"/>
                <w:sz w:val="20"/>
                <w:szCs w:val="20"/>
                <w:lang w:val="ru-RU" w:bidi="ar-SA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/>
        <w:tc>
          <w:tcPr>
            <w:tcW w:w="958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1.1.</w:t>
            </w:r>
          </w:p>
        </w:tc>
        <w:tc>
          <w:tcPr>
            <w:tcW w:w="10701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Общие требования к выполнению работ</w:t>
            </w:r>
          </w:p>
        </w:tc>
        <w:tc>
          <w:tcPr>
            <w:tcW w:w="1761" w:type="dxa"/>
            <w:vMerge w:val="continue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rPr/>
            </w:pPr>
            <w:r>
              <w:rPr/>
            </w:r>
          </w:p>
        </w:tc>
        <w:tc>
          <w:tcPr>
            <w:tcW w:w="1940" w:type="dxa"/>
            <w:vMerge w:val="continue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rPr/>
            </w:pPr>
            <w:r>
              <w:rPr/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</w:t>
            </w:r>
          </w:p>
        </w:tc>
        <w:tc>
          <w:tcPr>
            <w:tcW w:w="1802" w:type="dxa"/>
            <w:tcBorders/>
            <w:shd w:color="auto" w:fill="auto" w:val="clear"/>
          </w:tcPr>
          <w:p>
            <w:pPr>
              <w:pStyle w:val="BodyText"/>
              <w:widowControl w:val="false"/>
              <w:suppressAutoHyphens w:val="true"/>
              <w:spacing w:before="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 работ </w:t>
            </w:r>
          </w:p>
        </w:tc>
        <w:tc>
          <w:tcPr>
            <w:tcW w:w="8899" w:type="dxa"/>
            <w:tcBorders/>
            <w:shd w:color="auto" w:fill="auto" w:val="clear"/>
          </w:tcPr>
          <w:p>
            <w:pPr>
              <w:pStyle w:val="BodyText"/>
              <w:widowControl w:val="false"/>
              <w:suppressAutoHyphens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Разработка программы работ с описанием объемов, методики и технологии работ. Программа работ должна дать конкретные и чёткие указания по всем аспектам работ и содержать исчерпывающий ответ на то, с помощью каких методов и какими средствами будут получены материалы, требующиеся в настоящих ТТ и нормативных документах;</w:t>
            </w:r>
          </w:p>
          <w:p>
            <w:pPr>
              <w:pStyle w:val="BodyText"/>
              <w:widowControl w:val="false"/>
              <w:suppressAutoHyphens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Сбор и систематизация материалов инженерных изысканий;</w:t>
            </w:r>
          </w:p>
          <w:p>
            <w:pPr>
              <w:pStyle w:val="BodyText"/>
              <w:widowControl w:val="false"/>
              <w:suppressAutoHyphens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Обследование участка исследований с определением селе- и лавиноопасных участков, угрожающих сооружениям проектируемой Мутновской ГеоЭС-2, существующей грунтовой дороги к ней и проектируемой дороги от действующей Мутновской ГеоЭС (с отсыпкой дамбы через ручей без названия);</w:t>
            </w:r>
          </w:p>
          <w:p>
            <w:pPr>
              <w:pStyle w:val="BodyText"/>
              <w:widowControl w:val="false"/>
              <w:suppressAutoHyphens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Характеристика лавинной и селевой опасности существующей грунтовой дороги от Мутновской ГеоЭС до Мутновской ГеоЭС-2 с указанием выявленных лавиноопасных и селеопасных участков;</w:t>
            </w:r>
          </w:p>
          <w:p>
            <w:pPr>
              <w:pStyle w:val="BodyText"/>
              <w:widowControl w:val="false"/>
              <w:suppressAutoHyphens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Характеристика лавинной и селевой опасности существующей проектируемой дороги от Мутновской ГеоЭС до Мутновской ГеоЭС-2 (с отсыпкой дамбы через ручей без названия);</w:t>
            </w:r>
          </w:p>
          <w:p>
            <w:pPr>
              <w:pStyle w:val="BodyText"/>
              <w:widowControl w:val="false"/>
              <w:suppressAutoHyphens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Характеристика лавинной и селевой опасности участка проектируемой Мутновской ГеоЭС-2;</w:t>
            </w:r>
          </w:p>
          <w:p>
            <w:pPr>
              <w:pStyle w:val="BodyText"/>
              <w:widowControl w:val="false"/>
              <w:suppressAutoHyphens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случае необходимости выполнить:</w:t>
            </w:r>
          </w:p>
          <w:p>
            <w:pPr>
              <w:pStyle w:val="BodyText"/>
              <w:widowControl w:val="false"/>
              <w:suppressAutoHyphens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определение морфометрических характеристик селеопасных ручьев и логов;</w:t>
            </w:r>
          </w:p>
          <w:p>
            <w:pPr>
              <w:pStyle w:val="BodyText"/>
              <w:widowControl w:val="false"/>
              <w:suppressAutoHyphens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расчёт наносоводных селевых потоков;</w:t>
            </w:r>
          </w:p>
          <w:p>
            <w:pPr>
              <w:pStyle w:val="BodyText"/>
              <w:widowControl w:val="false"/>
              <w:suppressAutoHyphens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определение морфометрических характеристик лавиносборов;</w:t>
            </w:r>
          </w:p>
          <w:p>
            <w:pPr>
              <w:pStyle w:val="BodyText"/>
              <w:widowControl w:val="false"/>
              <w:suppressAutoHyphens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расчёт параметров лавин;</w:t>
            </w:r>
          </w:p>
          <w:p>
            <w:pPr>
              <w:pStyle w:val="BodyText"/>
              <w:widowControl w:val="false"/>
              <w:suppressAutoHyphens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предложения по селе- и лавинозащите;</w:t>
            </w:r>
          </w:p>
          <w:p>
            <w:pPr>
              <w:pStyle w:val="BodyText"/>
              <w:widowControl w:val="false"/>
              <w:suppressAutoHyphens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анализ изменения дальности выброса и объёмов снежных лавин и селей с учётом сейсмической нагрузки заданного района;</w:t>
            </w:r>
          </w:p>
          <w:p>
            <w:pPr>
              <w:pStyle w:val="BodyText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составление технического отчёта по результатам изысканий.</w:t>
            </w:r>
          </w:p>
        </w:tc>
        <w:tc>
          <w:tcPr>
            <w:tcW w:w="1761" w:type="dxa"/>
            <w:vMerge w:val="continue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rPr/>
            </w:pPr>
            <w:r>
              <w:rPr/>
            </w:r>
          </w:p>
        </w:tc>
        <w:tc>
          <w:tcPr>
            <w:tcW w:w="1940" w:type="dxa"/>
            <w:vMerge w:val="continue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rPr/>
            </w:pPr>
            <w:r>
              <w:rPr/>
            </w:r>
          </w:p>
        </w:tc>
      </w:tr>
      <w:tr>
        <w:trPr/>
        <w:tc>
          <w:tcPr>
            <w:tcW w:w="958" w:type="dxa"/>
            <w:tcBorders>
              <w:top w:val="nil"/>
            </w:tcBorders>
          </w:tcPr>
          <w:p>
            <w:pPr>
              <w:pStyle w:val="BodyText"/>
              <w:widowControl w:val="false"/>
              <w:suppressAutoHyphens w:val="true"/>
              <w:spacing w:before="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</w:t>
            </w:r>
          </w:p>
        </w:tc>
        <w:tc>
          <w:tcPr>
            <w:tcW w:w="1802" w:type="dxa"/>
            <w:tcBorders>
              <w:top w:val="nil"/>
            </w:tcBorders>
            <w:shd w:color="auto" w:fill="auto" w:val="clear"/>
          </w:tcPr>
          <w:p>
            <w:pPr>
              <w:pStyle w:val="BodyText"/>
              <w:widowControl w:val="false"/>
              <w:suppressAutoHyphens w:val="true"/>
              <w:spacing w:before="0" w:after="120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i w:val="false"/>
                <w:iCs w:val="false"/>
                <w:sz w:val="20"/>
                <w:szCs w:val="20"/>
              </w:rPr>
              <w:t>Краткое описание последовательности работ</w:t>
            </w: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 xml:space="preserve"> </w:t>
            </w:r>
          </w:p>
        </w:tc>
        <w:tc>
          <w:tcPr>
            <w:tcW w:w="8899" w:type="dxa"/>
            <w:tcBorders>
              <w:top w:val="nil"/>
            </w:tcBorders>
            <w:shd w:color="auto" w:fill="auto" w:val="clear"/>
          </w:tcPr>
          <w:p>
            <w:pPr>
              <w:pStyle w:val="BodyText"/>
              <w:widowControl w:val="false"/>
              <w:suppressAutoHyphens w:val="true"/>
              <w:jc w:val="both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i w:val="false"/>
                <w:iCs w:val="false"/>
                <w:sz w:val="20"/>
                <w:szCs w:val="20"/>
              </w:rPr>
              <w:t>Работа выполняется в следующей последовательности:</w:t>
            </w:r>
          </w:p>
          <w:p>
            <w:pPr>
              <w:pStyle w:val="BodyText"/>
              <w:widowControl w:val="false"/>
              <w:suppressAutoHyphens w:val="true"/>
              <w:jc w:val="both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i w:val="false"/>
                <w:iCs w:val="false"/>
                <w:sz w:val="20"/>
                <w:szCs w:val="20"/>
              </w:rPr>
              <w:t>-  Анализ литературных источников, результатов научных исследований по теме работы (отчеты, проекты, заключения и иные источники), а также нормативно-правовой базы по исследованиям лавин и селей.</w:t>
            </w:r>
          </w:p>
          <w:p>
            <w:pPr>
              <w:pStyle w:val="BodyText"/>
              <w:widowControl w:val="false"/>
              <w:suppressAutoHyphens w:val="true"/>
              <w:jc w:val="both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i w:val="false"/>
                <w:iCs w:val="false"/>
                <w:sz w:val="20"/>
                <w:szCs w:val="20"/>
              </w:rPr>
              <w:t>- Разработка программы работ исследования лавинной и селевой опасности на Мутновской ГеоЭС-2.</w:t>
            </w:r>
          </w:p>
          <w:p>
            <w:pPr>
              <w:pStyle w:val="BodyText"/>
              <w:widowControl w:val="false"/>
              <w:suppressAutoHyphens w:val="true"/>
              <w:jc w:val="both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i w:val="false"/>
                <w:iCs w:val="false"/>
                <w:sz w:val="20"/>
                <w:szCs w:val="20"/>
              </w:rPr>
              <w:t>-  Проведение натурных обследований на участке проектируемой Мутновской ГеоЭС-2</w:t>
            </w:r>
          </w:p>
          <w:p>
            <w:pPr>
              <w:pStyle w:val="BodyText"/>
              <w:widowControl w:val="false"/>
              <w:suppressAutoHyphens w:val="true"/>
              <w:jc w:val="both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i w:val="false"/>
                <w:iCs w:val="false"/>
                <w:sz w:val="20"/>
                <w:szCs w:val="20"/>
              </w:rPr>
              <w:t>- Проведение расчетов параметров выявленных лавин, угрожающих сооружениям проектируемой Мутновской ГеоЭС-2 и её инфраструктуре.</w:t>
            </w:r>
          </w:p>
          <w:p>
            <w:pPr>
              <w:pStyle w:val="BodyText"/>
              <w:widowControl w:val="false"/>
              <w:suppressAutoHyphens w:val="true"/>
              <w:jc w:val="both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i w:val="false"/>
                <w:iCs w:val="false"/>
                <w:sz w:val="20"/>
                <w:szCs w:val="20"/>
              </w:rPr>
              <w:t>- Проведение расчетов параметров выявленных селей, угрожающих сооружениям проектируемой Мутновской ГеоЭС-2 и её инфраструктуре.</w:t>
            </w:r>
          </w:p>
          <w:p>
            <w:pPr>
              <w:pStyle w:val="BodyText"/>
              <w:widowControl w:val="false"/>
              <w:suppressAutoHyphens w:val="true"/>
              <w:jc w:val="both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i w:val="false"/>
                <w:iCs w:val="false"/>
                <w:sz w:val="20"/>
                <w:szCs w:val="20"/>
              </w:rPr>
              <w:t xml:space="preserve">- Разработка рекомендаций для обеспечения лавинной и селевой опасности Мутновской ГеоЭС-2. </w:t>
            </w:r>
          </w:p>
          <w:p>
            <w:pPr>
              <w:pStyle w:val="BodyText"/>
              <w:widowControl w:val="false"/>
              <w:suppressAutoHyphens w:val="true"/>
              <w:spacing w:before="0" w:after="120"/>
              <w:jc w:val="both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i w:val="false"/>
                <w:iCs w:val="false"/>
                <w:sz w:val="20"/>
                <w:szCs w:val="20"/>
              </w:rPr>
              <w:t>- Проведение необходимых процедур по признанию результатов работы в международном и отечественном научном и экспертном сообществе .</w:t>
            </w:r>
          </w:p>
        </w:tc>
        <w:tc>
          <w:tcPr>
            <w:tcW w:w="1761" w:type="dxa"/>
            <w:vMerge w:val="continue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rPr/>
            </w:pPr>
            <w:r>
              <w:rPr/>
            </w:r>
          </w:p>
        </w:tc>
        <w:tc>
          <w:tcPr>
            <w:tcW w:w="1940" w:type="dxa"/>
            <w:vMerge w:val="continue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rPr/>
            </w:pPr>
            <w:r>
              <w:rPr/>
            </w:r>
          </w:p>
        </w:tc>
      </w:tr>
      <w:tr>
        <w:trPr/>
        <w:tc>
          <w:tcPr>
            <w:tcW w:w="958" w:type="dxa"/>
            <w:tcBorders>
              <w:top w:val="nil"/>
            </w:tcBorders>
          </w:tcPr>
          <w:p>
            <w:pPr>
              <w:pStyle w:val="BodyText"/>
              <w:widowControl w:val="false"/>
              <w:suppressAutoHyphens w:val="true"/>
              <w:spacing w:before="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</w:t>
            </w:r>
          </w:p>
        </w:tc>
        <w:tc>
          <w:tcPr>
            <w:tcW w:w="18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0"/>
                <w:szCs w:val="20"/>
                <w:shd w:fill="auto" w:val="clear"/>
                <w:lang w:val="ru-RU" w:bidi="ar-SA"/>
              </w:rPr>
              <w:t>Особые требования к выполнению работ</w:t>
            </w:r>
          </w:p>
        </w:tc>
        <w:tc>
          <w:tcPr>
            <w:tcW w:w="8899" w:type="dxa"/>
            <w:tcBorders>
              <w:top w:val="nil"/>
            </w:tcBorders>
            <w:shd w:color="auto" w:fill="auto" w:val="clear"/>
          </w:tcPr>
          <w:p>
            <w:pPr>
              <w:pStyle w:val="BodyText"/>
              <w:widowControl w:val="false"/>
              <w:suppressAutoHyphens w:val="true"/>
              <w:jc w:val="both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- Должен быть выполнен анализ научной и нормативной документации в области исследования лавин и селей.</w:t>
            </w:r>
          </w:p>
          <w:p>
            <w:pPr>
              <w:pStyle w:val="BodyText"/>
              <w:widowControl w:val="false"/>
              <w:suppressAutoHyphens w:val="true"/>
              <w:jc w:val="both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- В рамках проведения натурных исследований (обследования) должны быть проведены обследования лавиносборов и селевых очагов угрожающих Мутновской ГеоЭС-2 и её инфраструктуре.</w:t>
            </w:r>
          </w:p>
          <w:p>
            <w:pPr>
              <w:pStyle w:val="BodyText"/>
              <w:widowControl w:val="false"/>
              <w:suppressAutoHyphens w:val="true"/>
              <w:jc w:val="both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- Должно осуществляться техническое сопровождение Заказчика по вынесению результатов работы и разработанной на её основе проектной документации на рассмотрение профильными институтами и экспертным сообществом в Российской Федерации.</w:t>
            </w:r>
          </w:p>
          <w:p>
            <w:pPr>
              <w:pStyle w:val="BodyText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- Должно осуществляться техническое сопровождение Заказчика при согласовании Заказчиком результатов работы и разработанной на её основе проектной документации в федеральных органах исполнительной власти.</w:t>
            </w:r>
          </w:p>
        </w:tc>
        <w:tc>
          <w:tcPr>
            <w:tcW w:w="1761" w:type="dxa"/>
            <w:vMerge w:val="continue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rPr/>
            </w:pPr>
            <w:r>
              <w:rPr/>
            </w:r>
          </w:p>
        </w:tc>
        <w:tc>
          <w:tcPr>
            <w:tcW w:w="1940" w:type="dxa"/>
            <w:vMerge w:val="continue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rPr/>
            </w:pPr>
            <w:r>
              <w:rPr/>
            </w:r>
          </w:p>
        </w:tc>
      </w:tr>
      <w:tr>
        <w:trPr/>
        <w:tc>
          <w:tcPr>
            <w:tcW w:w="95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eastAsia="Calibri"/>
                <w:b/>
                <w:bCs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/>
                <w:b/>
                <w:bCs/>
                <w:kern w:val="0"/>
                <w:sz w:val="22"/>
                <w:szCs w:val="22"/>
                <w:lang w:val="ru-RU" w:bidi="ar-SA"/>
              </w:rPr>
              <w:t>2.</w:t>
            </w:r>
          </w:p>
        </w:tc>
        <w:tc>
          <w:tcPr>
            <w:tcW w:w="10701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Требования к результатам работ</w:t>
            </w:r>
          </w:p>
        </w:tc>
        <w:tc>
          <w:tcPr>
            <w:tcW w:w="1761" w:type="dxa"/>
            <w:vMerge w:val="continue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rPr/>
            </w:pPr>
            <w:r>
              <w:rPr/>
            </w:r>
          </w:p>
        </w:tc>
        <w:tc>
          <w:tcPr>
            <w:tcW w:w="1940" w:type="dxa"/>
            <w:vMerge w:val="continue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rPr/>
            </w:pPr>
            <w:r>
              <w:rPr/>
            </w:r>
          </w:p>
        </w:tc>
      </w:tr>
      <w:tr>
        <w:trPr/>
        <w:tc>
          <w:tcPr>
            <w:tcW w:w="95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eastAsia="Calibri"/>
                <w:b/>
                <w:bCs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="Calibri"/>
                <w:b/>
                <w:bCs/>
                <w:kern w:val="0"/>
                <w:sz w:val="20"/>
                <w:szCs w:val="20"/>
                <w:lang w:val="ru-RU" w:bidi="ar-SA"/>
              </w:rPr>
              <w:t>2.1.</w:t>
            </w:r>
          </w:p>
        </w:tc>
        <w:tc>
          <w:tcPr>
            <w:tcW w:w="10701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Общие требования к результатам работ</w:t>
            </w:r>
          </w:p>
        </w:tc>
        <w:tc>
          <w:tcPr>
            <w:tcW w:w="1761" w:type="dxa"/>
            <w:vMerge w:val="continue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rPr/>
            </w:pPr>
            <w:r>
              <w:rPr/>
            </w:r>
          </w:p>
        </w:tc>
        <w:tc>
          <w:tcPr>
            <w:tcW w:w="1940" w:type="dxa"/>
            <w:vMerge w:val="continue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rPr/>
            </w:pPr>
            <w:r>
              <w:rPr/>
            </w:r>
          </w:p>
        </w:tc>
      </w:tr>
      <w:tr>
        <w:trPr/>
        <w:tc>
          <w:tcPr>
            <w:tcW w:w="95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bCs/>
                <w:color w:val="0D0D0D"/>
                <w:kern w:val="0"/>
                <w:sz w:val="20"/>
                <w:szCs w:val="20"/>
                <w:highlight w:val="none"/>
                <w:shd w:fill="auto" w:val="clear"/>
                <w:lang w:val="ru-RU" w:bidi="ar-SA"/>
              </w:rPr>
            </w:pPr>
            <w:r>
              <w:rPr>
                <w:bCs/>
                <w:color w:val="0D0D0D"/>
                <w:kern w:val="0"/>
                <w:sz w:val="20"/>
                <w:szCs w:val="20"/>
                <w:shd w:fill="auto" w:val="clear"/>
                <w:lang w:val="ru-RU" w:bidi="ar-SA"/>
              </w:rPr>
              <w:t>2.1.1.</w:t>
            </w:r>
          </w:p>
        </w:tc>
        <w:tc>
          <w:tcPr>
            <w:tcW w:w="18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bCs/>
                <w:color w:val="0D0D0D"/>
                <w:kern w:val="0"/>
                <w:sz w:val="20"/>
                <w:szCs w:val="20"/>
                <w:highlight w:val="none"/>
                <w:shd w:fill="auto" w:val="clear"/>
                <w:lang w:val="ru-RU" w:bidi="ar-SA"/>
              </w:rPr>
            </w:pPr>
            <w:r>
              <w:rPr>
                <w:bCs/>
                <w:color w:val="0D0D0D"/>
                <w:kern w:val="0"/>
                <w:sz w:val="20"/>
                <w:szCs w:val="20"/>
                <w:shd w:fill="auto" w:val="clear"/>
                <w:lang w:val="ru-RU" w:bidi="ar-SA"/>
              </w:rPr>
              <w:t>Требования к результату работ</w:t>
            </w:r>
          </w:p>
        </w:tc>
        <w:tc>
          <w:tcPr>
            <w:tcW w:w="889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Cs/>
                <w:color w:val="0D0D0D"/>
                <w:kern w:val="0"/>
                <w:sz w:val="20"/>
                <w:szCs w:val="20"/>
                <w:highlight w:val="none"/>
                <w:shd w:fill="auto" w:val="clear"/>
                <w:lang w:val="ru-RU" w:bidi="ar-SA"/>
              </w:rPr>
            </w:pPr>
            <w:r>
              <w:rPr>
                <w:bCs/>
                <w:color w:val="0D0D0D"/>
                <w:kern w:val="0"/>
                <w:sz w:val="20"/>
                <w:szCs w:val="20"/>
                <w:shd w:fill="auto" w:val="clear"/>
                <w:lang w:val="ru-RU" w:bidi="ar-SA"/>
              </w:rPr>
              <w:t>Результатом работ является научно-технический отчет, составленный согласно требованиям СП 428.1325800.2018 «Инженерные изыскания для строительства в лавиноопасных районах. Общие требования» и  и СП 479.1325800.2019 «Инженерные изыскания для строительства в районах развития селевых процессов. Общие требования»  для направления на государственную экспертизу</w:t>
            </w:r>
          </w:p>
        </w:tc>
        <w:tc>
          <w:tcPr>
            <w:tcW w:w="1761" w:type="dxa"/>
            <w:vMerge w:val="continue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rPr/>
            </w:pPr>
            <w:r>
              <w:rPr/>
            </w:r>
          </w:p>
        </w:tc>
        <w:tc>
          <w:tcPr>
            <w:tcW w:w="1940" w:type="dxa"/>
            <w:vMerge w:val="continue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rPr/>
            </w:pPr>
            <w:r>
              <w:rPr/>
            </w:r>
          </w:p>
        </w:tc>
      </w:tr>
      <w:tr>
        <w:trPr/>
        <w:tc>
          <w:tcPr>
            <w:tcW w:w="95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eastAsia="Calibri"/>
                <w:kern w:val="0"/>
                <w:sz w:val="20"/>
                <w:szCs w:val="20"/>
                <w:highlight w:val="none"/>
                <w:shd w:fill="auto" w:val="clear"/>
                <w:lang w:val="ru-RU" w:bidi="ar-SA"/>
              </w:rPr>
            </w:pPr>
            <w:r>
              <w:rPr>
                <w:rFonts w:eastAsia="Calibri"/>
                <w:kern w:val="0"/>
                <w:sz w:val="20"/>
                <w:szCs w:val="20"/>
                <w:shd w:fill="auto" w:val="clear"/>
                <w:lang w:val="ru-RU" w:bidi="ar-SA"/>
              </w:rPr>
              <w:t>2.1.2.</w:t>
            </w:r>
          </w:p>
        </w:tc>
        <w:tc>
          <w:tcPr>
            <w:tcW w:w="18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highlight w:val="none"/>
                <w:shd w:fill="auto" w:val="clear"/>
                <w:lang w:val="ru-RU" w:bidi="ar-SA"/>
              </w:rPr>
            </w:pPr>
            <w:r>
              <w:rPr>
                <w:kern w:val="0"/>
                <w:sz w:val="20"/>
                <w:szCs w:val="20"/>
                <w:shd w:fill="auto" w:val="clear"/>
                <w:lang w:val="ru-RU" w:bidi="ar-SA"/>
              </w:rPr>
              <w:t>Иные требования к результатам работ</w:t>
            </w:r>
          </w:p>
        </w:tc>
        <w:tc>
          <w:tcPr>
            <w:tcW w:w="889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D0D0D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Сопровождение и защита результатов работы при прохождении экспертизы</w:t>
            </w:r>
          </w:p>
        </w:tc>
        <w:tc>
          <w:tcPr>
            <w:tcW w:w="1761" w:type="dxa"/>
            <w:vMerge w:val="continue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rPr/>
            </w:pPr>
            <w:r>
              <w:rPr/>
            </w:r>
          </w:p>
        </w:tc>
        <w:tc>
          <w:tcPr>
            <w:tcW w:w="1940" w:type="dxa"/>
            <w:vMerge w:val="continue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rPr/>
            </w:pPr>
            <w:r>
              <w:rPr/>
            </w:r>
          </w:p>
        </w:tc>
      </w:tr>
      <w:tr>
        <w:trPr/>
        <w:tc>
          <w:tcPr>
            <w:tcW w:w="95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kern w:val="0"/>
                <w:sz w:val="20"/>
                <w:szCs w:val="20"/>
                <w:lang w:val="ru-RU" w:bidi="ar-SA"/>
              </w:rPr>
              <w:t>2.2.</w:t>
            </w:r>
          </w:p>
        </w:tc>
        <w:tc>
          <w:tcPr>
            <w:tcW w:w="10701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851" w:leader="none"/>
              </w:tabs>
              <w:suppressAutoHyphens w:val="true"/>
              <w:spacing w:before="0" w:after="0"/>
              <w:contextualSpacing/>
              <w:jc w:val="both"/>
              <w:rPr>
                <w:bCs/>
                <w:color w:val="0D0D0D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Требования к оформлению документации</w:t>
            </w:r>
          </w:p>
        </w:tc>
        <w:tc>
          <w:tcPr>
            <w:tcW w:w="1761" w:type="dxa"/>
            <w:vMerge w:val="continue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rPr/>
            </w:pPr>
            <w:r>
              <w:rPr/>
            </w:r>
          </w:p>
        </w:tc>
        <w:tc>
          <w:tcPr>
            <w:tcW w:w="1940" w:type="dxa"/>
            <w:vMerge w:val="continue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rPr/>
            </w:pPr>
            <w:r>
              <w:rPr/>
            </w:r>
          </w:p>
        </w:tc>
      </w:tr>
      <w:tr>
        <w:trPr>
          <w:trHeight w:val="2207" w:hRule="atLeast"/>
        </w:trPr>
        <w:tc>
          <w:tcPr>
            <w:tcW w:w="95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eastAsia="Calibri"/>
                <w:kern w:val="0"/>
                <w:sz w:val="20"/>
                <w:szCs w:val="20"/>
                <w:highlight w:val="none"/>
                <w:shd w:fill="auto" w:val="clear"/>
                <w:lang w:val="ru-RU" w:bidi="ar-SA"/>
              </w:rPr>
            </w:pPr>
            <w:r>
              <w:rPr>
                <w:rFonts w:eastAsia="Calibri"/>
                <w:kern w:val="0"/>
                <w:sz w:val="20"/>
                <w:szCs w:val="20"/>
                <w:shd w:fill="auto" w:val="clear"/>
                <w:lang w:val="ru-RU" w:bidi="ar-SA"/>
              </w:rPr>
              <w:t>2.2.1.</w:t>
            </w:r>
          </w:p>
        </w:tc>
        <w:tc>
          <w:tcPr>
            <w:tcW w:w="180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left="0" w:right="0" w:hanging="0"/>
              <w:jc w:val="left"/>
              <w:rPr>
                <w:highlight w:val="none"/>
                <w:shd w:fill="auto" w:val="clear"/>
              </w:rPr>
            </w:pPr>
            <w:r>
              <w:rPr>
                <w:kern w:val="0"/>
                <w:sz w:val="20"/>
                <w:szCs w:val="20"/>
                <w:shd w:fill="auto" w:val="clear"/>
                <w:lang w:val="ru-RU" w:bidi="ar-SA"/>
              </w:rPr>
              <w:t>Объем и состав материалов, передаваемых Исполнителем Заказчику</w:t>
            </w:r>
          </w:p>
        </w:tc>
        <w:tc>
          <w:tcPr>
            <w:tcW w:w="8899" w:type="dxa"/>
            <w:tcBorders/>
            <w:shd w:color="auto" w:fill="auto" w:val="clear"/>
          </w:tcPr>
          <w:p>
            <w:pPr>
              <w:pStyle w:val="BodyText"/>
              <w:widowControl w:val="false"/>
              <w:suppressAutoHyphens w:val="true"/>
              <w:jc w:val="both"/>
              <w:rPr/>
            </w:pPr>
            <w:r>
              <w:rPr>
                <w:sz w:val="20"/>
                <w:szCs w:val="20"/>
                <w:shd w:fill="auto" w:val="clear"/>
              </w:rPr>
              <w:t xml:space="preserve">Результаты работы оформляются в соответствии с действующими нормативными документами и представляются Заказчику в сроки, указанные в договоре, в переплетённом или сброшюрованном виде в количестве 5 экземпляров в бумажном виде и в 2 экземплярах в электронном виде, редактируемом и не редактируемом форматах (CD/R или DVD/R дисках). </w:t>
            </w:r>
          </w:p>
          <w:p>
            <w:pPr>
              <w:pStyle w:val="BodyText"/>
              <w:widowControl w:val="false"/>
              <w:suppressAutoHyphens w:val="true"/>
              <w:spacing w:before="0" w:after="120"/>
              <w:jc w:val="both"/>
              <w:rPr/>
            </w:pPr>
            <w:r>
              <w:rPr>
                <w:bCs/>
                <w:color w:val="0D0D0D"/>
                <w:sz w:val="20"/>
                <w:szCs w:val="20"/>
                <w:shd w:fill="auto" w:val="clear"/>
              </w:rPr>
              <w:t>Электронная версия отчётных материалов в редактируемом формате представляется в структурированном виде в полном объёме в файлах приложений MS Office (текстовые разделы, в т.ч. рисунки – MS Word, табличные данные – MS Excel), графические приложения – в файлах формата*.dwg совместимых с NanoCAD. Состав и содержание диска должно соответствовать комплекту документации</w:t>
            </w:r>
          </w:p>
        </w:tc>
        <w:tc>
          <w:tcPr>
            <w:tcW w:w="1761" w:type="dxa"/>
            <w:vMerge w:val="continue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rPr/>
            </w:pPr>
            <w:r>
              <w:rPr/>
            </w:r>
          </w:p>
        </w:tc>
        <w:tc>
          <w:tcPr>
            <w:tcW w:w="1940" w:type="dxa"/>
            <w:vMerge w:val="continue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rPr/>
            </w:pPr>
            <w:r>
              <w:rPr/>
            </w:r>
          </w:p>
        </w:tc>
      </w:tr>
      <w:tr>
        <w:trPr/>
        <w:tc>
          <w:tcPr>
            <w:tcW w:w="95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eastAsia="Calibri"/>
                <w:b/>
                <w:bCs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="Calibri"/>
                <w:b/>
                <w:bCs/>
                <w:kern w:val="0"/>
                <w:sz w:val="20"/>
                <w:szCs w:val="20"/>
                <w:lang w:val="ru-RU" w:bidi="ar-SA"/>
              </w:rPr>
              <w:t>2.3.</w:t>
            </w:r>
          </w:p>
        </w:tc>
        <w:tc>
          <w:tcPr>
            <w:tcW w:w="10701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851" w:leader="none"/>
              </w:tabs>
              <w:suppressAutoHyphens w:val="true"/>
              <w:spacing w:before="0" w:after="0"/>
              <w:ind w:left="0" w:right="0" w:hanging="0"/>
              <w:jc w:val="both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Требования к порядку приемки результатов выполненных работ</w:t>
            </w:r>
          </w:p>
        </w:tc>
        <w:tc>
          <w:tcPr>
            <w:tcW w:w="1761" w:type="dxa"/>
            <w:vMerge w:val="continue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rPr/>
            </w:pPr>
            <w:r>
              <w:rPr/>
            </w:r>
          </w:p>
        </w:tc>
        <w:tc>
          <w:tcPr>
            <w:tcW w:w="1940" w:type="dxa"/>
            <w:vMerge w:val="continue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rPr/>
            </w:pPr>
            <w:r>
              <w:rPr/>
            </w:r>
          </w:p>
        </w:tc>
      </w:tr>
      <w:tr>
        <w:trPr/>
        <w:tc>
          <w:tcPr>
            <w:tcW w:w="95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eastAsia="Calibri"/>
                <w:kern w:val="0"/>
                <w:sz w:val="20"/>
                <w:szCs w:val="20"/>
                <w:highlight w:val="none"/>
                <w:shd w:fill="auto" w:val="clear"/>
                <w:lang w:val="ru-RU" w:bidi="ar-SA"/>
              </w:rPr>
            </w:pPr>
            <w:r>
              <w:rPr>
                <w:rFonts w:eastAsia="Calibri"/>
                <w:kern w:val="0"/>
                <w:sz w:val="20"/>
                <w:szCs w:val="20"/>
                <w:shd w:fill="auto" w:val="clear"/>
                <w:lang w:val="ru-RU" w:bidi="ar-SA"/>
              </w:rPr>
              <w:t>2.3.1.</w:t>
            </w:r>
          </w:p>
        </w:tc>
        <w:tc>
          <w:tcPr>
            <w:tcW w:w="18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left="0" w:right="0" w:hanging="0"/>
              <w:jc w:val="left"/>
              <w:rPr>
                <w:highlight w:val="none"/>
                <w:shd w:fill="auto" w:val="clear"/>
              </w:rPr>
            </w:pPr>
            <w:r>
              <w:rPr>
                <w:kern w:val="0"/>
                <w:sz w:val="20"/>
                <w:szCs w:val="20"/>
                <w:shd w:fill="auto" w:val="clear"/>
                <w:lang w:val="ru-RU" w:bidi="ar-SA"/>
              </w:rPr>
              <w:t>Порядок приемки результатов работ</w:t>
            </w:r>
          </w:p>
        </w:tc>
        <w:tc>
          <w:tcPr>
            <w:tcW w:w="889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highlight w:val="none"/>
                <w:shd w:fill="auto" w:val="clear"/>
              </w:rPr>
            </w:pPr>
            <w:r>
              <w:rPr>
                <w:kern w:val="0"/>
                <w:sz w:val="20"/>
                <w:szCs w:val="20"/>
                <w:shd w:fill="auto" w:val="clear"/>
                <w:lang w:val="ru-RU" w:bidi="ar-SA"/>
              </w:rPr>
              <w:t>Приемка работ осуществляется в следующем порядке: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highlight w:val="none"/>
                <w:shd w:fill="auto" w:val="clear"/>
              </w:rPr>
            </w:pPr>
            <w:r>
              <w:rPr>
                <w:kern w:val="0"/>
                <w:sz w:val="20"/>
                <w:szCs w:val="20"/>
                <w:shd w:fill="auto" w:val="clear"/>
                <w:lang w:val="ru-RU" w:bidi="ar-SA"/>
              </w:rPr>
              <w:t>- по окончании работ Исполнитель передает Заказчику акт сдачи-приемки и материалы, предусмотренные п.2.1.1 ТТ.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851" w:leader="none"/>
              </w:tabs>
              <w:suppressAutoHyphens w:val="true"/>
              <w:spacing w:before="0" w:after="0"/>
              <w:ind w:left="0" w:right="0" w:hanging="0"/>
              <w:jc w:val="both"/>
              <w:rPr>
                <w:highlight w:val="none"/>
                <w:shd w:fill="auto" w:val="clear"/>
              </w:rPr>
            </w:pPr>
            <w:r>
              <w:rPr>
                <w:kern w:val="0"/>
                <w:sz w:val="20"/>
                <w:szCs w:val="20"/>
                <w:shd w:fill="auto" w:val="clear"/>
                <w:lang w:val="ru-RU" w:bidi="ar-SA"/>
              </w:rPr>
              <w:t>В случае возникновения у Заказчика замечаний к результатам работ составляется акт с перечнем необходимых доработок и сроков их выполнения.</w:t>
            </w:r>
          </w:p>
        </w:tc>
        <w:tc>
          <w:tcPr>
            <w:tcW w:w="1761" w:type="dxa"/>
            <w:vMerge w:val="continue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rPr/>
            </w:pPr>
            <w:r>
              <w:rPr/>
            </w:r>
          </w:p>
        </w:tc>
        <w:tc>
          <w:tcPr>
            <w:tcW w:w="1940" w:type="dxa"/>
            <w:vMerge w:val="continue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rPr/>
            </w:pPr>
            <w:r>
              <w:rPr/>
            </w:r>
          </w:p>
        </w:tc>
      </w:tr>
      <w:tr>
        <w:trPr/>
        <w:tc>
          <w:tcPr>
            <w:tcW w:w="95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eastAsia="Calibri"/>
                <w:b/>
                <w:bCs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/>
                <w:b/>
                <w:bCs/>
                <w:kern w:val="0"/>
                <w:sz w:val="22"/>
                <w:szCs w:val="22"/>
                <w:lang w:val="ru-RU" w:bidi="ar-SA"/>
              </w:rPr>
              <w:t>3.</w:t>
            </w:r>
          </w:p>
        </w:tc>
        <w:tc>
          <w:tcPr>
            <w:tcW w:w="10701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работ (помимо указанных в других разделах ТТ)</w:t>
            </w:r>
          </w:p>
        </w:tc>
        <w:tc>
          <w:tcPr>
            <w:tcW w:w="1761" w:type="dxa"/>
            <w:vMerge w:val="continue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rPr/>
            </w:pPr>
            <w:r>
              <w:rPr/>
            </w:r>
          </w:p>
        </w:tc>
        <w:tc>
          <w:tcPr>
            <w:tcW w:w="1940" w:type="dxa"/>
            <w:vMerge w:val="continue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rPr/>
            </w:pPr>
            <w:r>
              <w:rPr/>
            </w:r>
          </w:p>
        </w:tc>
      </w:tr>
      <w:tr>
        <w:trPr/>
        <w:tc>
          <w:tcPr>
            <w:tcW w:w="95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contextualSpacing/>
              <w:jc w:val="center"/>
              <w:rPr>
                <w:rFonts w:eastAsia="Calibri"/>
                <w:kern w:val="0"/>
                <w:sz w:val="20"/>
                <w:szCs w:val="20"/>
                <w:highlight w:val="none"/>
                <w:shd w:fill="auto" w:val="clear"/>
                <w:lang w:val="ru-RU" w:bidi="ar-SA"/>
              </w:rPr>
            </w:pPr>
            <w:r>
              <w:rPr>
                <w:rFonts w:eastAsia="Calibri"/>
                <w:kern w:val="0"/>
                <w:sz w:val="20"/>
                <w:szCs w:val="20"/>
                <w:shd w:fill="auto" w:val="clear"/>
                <w:lang w:val="ru-RU" w:bidi="ar-SA"/>
              </w:rPr>
              <w:t>3.1.1</w:t>
            </w:r>
          </w:p>
        </w:tc>
        <w:tc>
          <w:tcPr>
            <w:tcW w:w="1802" w:type="dxa"/>
            <w:tcBorders>
              <w:top w:val="nil"/>
            </w:tcBorders>
            <w:shd w:color="auto" w:fill="auto" w:val="clear"/>
          </w:tcPr>
          <w:p>
            <w:pPr>
              <w:pStyle w:val="BodyText"/>
              <w:widowControl w:val="false"/>
              <w:suppressAutoHyphens w:val="true"/>
              <w:spacing w:before="0" w:after="120"/>
              <w:rPr>
                <w:highlight w:val="none"/>
                <w:shd w:fill="auto" w:val="clear"/>
              </w:rPr>
            </w:pPr>
            <w:bookmarkStart w:id="46" w:name="__RefHeading___Toc8061_339154082_Копия_1"/>
            <w:bookmarkEnd w:id="46"/>
            <w:r>
              <w:rPr>
                <w:sz w:val="20"/>
                <w:szCs w:val="20"/>
                <w:shd w:fill="auto" w:val="clear"/>
              </w:rPr>
              <w:t>Требования к соблюдению действующих нормативных документов</w:t>
            </w:r>
          </w:p>
        </w:tc>
        <w:tc>
          <w:tcPr>
            <w:tcW w:w="8899" w:type="dxa"/>
            <w:tcBorders>
              <w:top w:val="nil"/>
            </w:tcBorders>
            <w:shd w:color="auto" w:fill="auto" w:val="clear"/>
          </w:tcPr>
          <w:p>
            <w:pPr>
              <w:pStyle w:val="BodyText"/>
              <w:widowControl w:val="false"/>
              <w:suppressAutoHyphens w:val="true"/>
              <w:jc w:val="both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 xml:space="preserve">Работы выполняется в соответствии с нормативными документами, регулирующими проектно-изыскательскую деятельность в РФ </w:t>
            </w:r>
            <w:r>
              <w:rPr>
                <w:bCs/>
                <w:kern w:val="0"/>
                <w:sz w:val="20"/>
                <w:szCs w:val="20"/>
                <w:shd w:fill="auto" w:val="clear"/>
                <w:lang w:val="ru-RU" w:bidi="ar-SA"/>
              </w:rPr>
              <w:t>в действующей редакции, в том числе, но не ограничиваясь:</w:t>
            </w:r>
          </w:p>
          <w:p>
            <w:pPr>
              <w:pStyle w:val="BodyText"/>
              <w:widowControl w:val="false"/>
              <w:numPr>
                <w:ilvl w:val="0"/>
                <w:numId w:val="9"/>
              </w:numPr>
              <w:suppressAutoHyphens w:val="true"/>
              <w:spacing w:before="0" w:after="57"/>
              <w:jc w:val="both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Постановление Правительства Российской Федерации от 16.02.2008 № 87 «О составе разделов проектной документации и требованиях к их содержанию».</w:t>
            </w:r>
          </w:p>
          <w:p>
            <w:pPr>
              <w:pStyle w:val="BodyText"/>
              <w:widowControl w:val="false"/>
              <w:numPr>
                <w:ilvl w:val="0"/>
                <w:numId w:val="9"/>
              </w:numPr>
              <w:suppressAutoHyphens w:val="true"/>
              <w:spacing w:before="0" w:after="57"/>
              <w:jc w:val="both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ГОСТ Р 21.101-2026 «Система проектной документации для строительства. Основные требования к проектной и рабочей документации»;</w:t>
            </w:r>
          </w:p>
          <w:p>
            <w:pPr>
              <w:pStyle w:val="BodyText"/>
              <w:widowControl w:val="false"/>
              <w:numPr>
                <w:ilvl w:val="0"/>
                <w:numId w:val="9"/>
              </w:numPr>
              <w:suppressAutoHyphens w:val="true"/>
              <w:spacing w:before="0" w:after="57"/>
              <w:jc w:val="both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СП 11-103-97 «Инженерно-гидрометеорологические изыскания для строительства»;</w:t>
            </w:r>
          </w:p>
          <w:p>
            <w:pPr>
              <w:pStyle w:val="BodyText"/>
              <w:widowControl w:val="false"/>
              <w:numPr>
                <w:ilvl w:val="0"/>
                <w:numId w:val="9"/>
              </w:numPr>
              <w:suppressAutoHyphens w:val="true"/>
              <w:spacing w:before="0" w:after="57"/>
              <w:jc w:val="both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СП 47.13330.2016 Инженерные изыскания для строительства. Основные положения. Актуализированная редакция СНиП 11-02-96;</w:t>
            </w:r>
          </w:p>
          <w:p>
            <w:pPr>
              <w:pStyle w:val="BodyText"/>
              <w:widowControl w:val="false"/>
              <w:numPr>
                <w:ilvl w:val="0"/>
                <w:numId w:val="9"/>
              </w:numPr>
              <w:suppressAutoHyphens w:val="true"/>
              <w:spacing w:before="0" w:after="57"/>
              <w:jc w:val="both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СП 428.1325800.2018 Инженерные изыскания для строительства в лавиноопасных районах. Общие требования;</w:t>
            </w:r>
          </w:p>
          <w:p>
            <w:pPr>
              <w:pStyle w:val="BodyText"/>
              <w:widowControl w:val="false"/>
              <w:numPr>
                <w:ilvl w:val="0"/>
                <w:numId w:val="9"/>
              </w:numPr>
              <w:suppressAutoHyphens w:val="true"/>
              <w:spacing w:before="0" w:after="57"/>
              <w:jc w:val="both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СП 479.1325800.2019 Инженерные изыскания для строительства в районах развития селевых процессов. Общие требования;</w:t>
            </w:r>
          </w:p>
          <w:p>
            <w:pPr>
              <w:pStyle w:val="BodyText"/>
              <w:widowControl w:val="false"/>
              <w:numPr>
                <w:ilvl w:val="0"/>
                <w:numId w:val="9"/>
              </w:numPr>
              <w:suppressAutoHyphens w:val="true"/>
              <w:spacing w:before="0" w:after="57"/>
              <w:jc w:val="both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СП 482.1325800.2020 «Инженерно-гидрометеорологические изыскания для строительства. Общие правила производства работ»;</w:t>
            </w:r>
          </w:p>
          <w:p>
            <w:pPr>
              <w:pStyle w:val="BodyText"/>
              <w:widowControl w:val="false"/>
              <w:numPr>
                <w:ilvl w:val="0"/>
                <w:numId w:val="9"/>
              </w:numPr>
              <w:suppressAutoHyphens w:val="true"/>
              <w:spacing w:before="0" w:after="57"/>
              <w:jc w:val="both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СП 529.1325800.2023 Определение основных расчетных гидрологических характеристик;</w:t>
            </w:r>
          </w:p>
          <w:p>
            <w:pPr>
              <w:pStyle w:val="BodyText"/>
              <w:widowControl w:val="false"/>
              <w:numPr>
                <w:ilvl w:val="0"/>
                <w:numId w:val="9"/>
              </w:numPr>
              <w:suppressAutoHyphens w:val="true"/>
              <w:spacing w:before="0" w:after="57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СТО ИСМ 01–2026 Основные требования к созданию и оформлению графических материалов в программах CAD-системы.</w:t>
            </w:r>
          </w:p>
        </w:tc>
        <w:tc>
          <w:tcPr>
            <w:tcW w:w="1761" w:type="dxa"/>
            <w:vMerge w:val="continue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rPr/>
            </w:pPr>
            <w:r>
              <w:rPr/>
            </w:r>
          </w:p>
        </w:tc>
        <w:tc>
          <w:tcPr>
            <w:tcW w:w="1940" w:type="dxa"/>
            <w:vMerge w:val="continue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rPr/>
            </w:pPr>
            <w:r>
              <w:rPr/>
            </w:r>
          </w:p>
        </w:tc>
      </w:tr>
      <w:tr>
        <w:trPr/>
        <w:tc>
          <w:tcPr>
            <w:tcW w:w="95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eastAsia="Calibri"/>
                <w:b/>
                <w:bCs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/>
                <w:b/>
                <w:bCs/>
                <w:kern w:val="0"/>
                <w:sz w:val="22"/>
                <w:szCs w:val="22"/>
                <w:lang w:val="ru-RU" w:bidi="ar-SA"/>
              </w:rPr>
              <w:t>4.</w:t>
            </w:r>
          </w:p>
        </w:tc>
        <w:tc>
          <w:tcPr>
            <w:tcW w:w="10701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kern w:val="0"/>
                <w:lang w:val="ru-RU" w:bidi="ar-SA"/>
              </w:rPr>
            </w:pPr>
            <w:r>
              <w:rPr>
                <w:b/>
                <w:kern w:val="0"/>
                <w:sz w:val="22"/>
                <w:szCs w:val="22"/>
                <w:lang w:val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1761" w:type="dxa"/>
            <w:vMerge w:val="continue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rPr/>
            </w:pPr>
            <w:r>
              <w:rPr/>
            </w:r>
          </w:p>
        </w:tc>
        <w:tc>
          <w:tcPr>
            <w:tcW w:w="1940" w:type="dxa"/>
            <w:vMerge w:val="continue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rPr/>
            </w:pPr>
            <w:r>
              <w:rPr/>
            </w:r>
          </w:p>
        </w:tc>
      </w:tr>
      <w:tr>
        <w:trPr/>
        <w:tc>
          <w:tcPr>
            <w:tcW w:w="95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eastAsia="Calibri"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="Calibri"/>
                <w:kern w:val="0"/>
                <w:sz w:val="20"/>
                <w:szCs w:val="20"/>
                <w:lang w:val="ru-RU" w:bidi="ar-SA"/>
              </w:rPr>
              <w:t>4.1.1.</w:t>
            </w:r>
          </w:p>
        </w:tc>
        <w:tc>
          <w:tcPr>
            <w:tcW w:w="18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left="0" w:right="0" w:hanging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889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851" w:leader="none"/>
              </w:tabs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Исполнитель обязан выполнить работы надлежащего качества и в указанные сроки.</w:t>
            </w:r>
          </w:p>
        </w:tc>
        <w:tc>
          <w:tcPr>
            <w:tcW w:w="1761" w:type="dxa"/>
            <w:vMerge w:val="continue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rPr/>
            </w:pPr>
            <w:r>
              <w:rPr/>
            </w:r>
          </w:p>
        </w:tc>
        <w:tc>
          <w:tcPr>
            <w:tcW w:w="1940" w:type="dxa"/>
            <w:vMerge w:val="continue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rPr/>
            </w:pPr>
            <w:r>
              <w:rPr/>
            </w:r>
          </w:p>
        </w:tc>
      </w:tr>
      <w:tr>
        <w:trPr/>
        <w:tc>
          <w:tcPr>
            <w:tcW w:w="95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eastAsia="Calibri"/>
                <w:b/>
                <w:bCs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/>
                <w:b/>
                <w:bCs/>
                <w:kern w:val="0"/>
                <w:sz w:val="22"/>
                <w:szCs w:val="22"/>
                <w:lang w:val="ru-RU" w:bidi="ar-SA"/>
              </w:rPr>
              <w:t>5.</w:t>
            </w:r>
          </w:p>
        </w:tc>
        <w:tc>
          <w:tcPr>
            <w:tcW w:w="10701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Прочие требования к выполняемым работам</w:t>
            </w:r>
          </w:p>
        </w:tc>
        <w:tc>
          <w:tcPr>
            <w:tcW w:w="1761" w:type="dxa"/>
            <w:vMerge w:val="continue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rPr/>
            </w:pPr>
            <w:r>
              <w:rPr/>
            </w:r>
          </w:p>
        </w:tc>
        <w:tc>
          <w:tcPr>
            <w:tcW w:w="1940" w:type="dxa"/>
            <w:vMerge w:val="continue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rPr/>
            </w:pPr>
            <w:r>
              <w:rPr/>
            </w:r>
          </w:p>
        </w:tc>
      </w:tr>
      <w:tr>
        <w:trPr/>
        <w:tc>
          <w:tcPr>
            <w:tcW w:w="95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eastAsia="Calibri"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="Calibri"/>
                <w:kern w:val="0"/>
                <w:sz w:val="20"/>
                <w:szCs w:val="20"/>
                <w:lang w:val="ru-RU" w:bidi="ar-SA"/>
              </w:rPr>
              <w:t>5.1.1.</w:t>
            </w:r>
          </w:p>
        </w:tc>
        <w:tc>
          <w:tcPr>
            <w:tcW w:w="18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Исходные данные, передаваемые Заказчиком Исполнителю (после заключения договора)</w:t>
            </w:r>
          </w:p>
        </w:tc>
        <w:tc>
          <w:tcPr>
            <w:tcW w:w="889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0"/>
                <w:szCs w:val="20"/>
              </w:rPr>
            </w:pPr>
            <w:r>
              <w:rPr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—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Материалы ранее выполненных изысканий: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contextualSpacing/>
              <w:jc w:val="both"/>
              <w:rPr/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инженерно-геологических;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contextualSpacing/>
              <w:jc w:val="both"/>
              <w:rPr/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инженерно-геодезических;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contextualSpacing/>
              <w:jc w:val="both"/>
              <w:rPr/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инженерно-гидрометеорологических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lang w:val="ru-RU" w:eastAsia="ru-RU" w:bidi="ar-SA"/>
              </w:rPr>
              <w:t>—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Предварительные компоновочные решения Мутновской ГеоЭС-2;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bookmarkStart w:id="47" w:name="_Toc167372001_Копия_1"/>
            <w:bookmarkStart w:id="48" w:name="_Toc65175623_Копия_1"/>
            <w:bookmarkStart w:id="49" w:name="_Toc41646140_Копия_1"/>
            <w:bookmarkEnd w:id="47"/>
            <w:bookmarkEnd w:id="48"/>
            <w:bookmarkEnd w:id="49"/>
            <w:r>
              <w:rPr>
                <w:rFonts w:eastAsia="Times New Roman" w:cs="Times New Roman"/>
                <w:b/>
                <w:bCs/>
                <w:iCs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lang w:val="ru-RU" w:eastAsia="ru-RU" w:bidi="ar-SA"/>
              </w:rPr>
              <w:t xml:space="preserve">—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Схема расположения МГеоЭС-2, существующей и проектируемой автодороги;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lang w:val="ru-RU" w:eastAsia="ru-RU" w:bidi="ar-SA"/>
              </w:rPr>
              <w:t xml:space="preserve">—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СТО ИСМ 01–2026 Основные требования к созданию и оформлению графических материалов в программах CAD-системы.</w:t>
            </w:r>
          </w:p>
        </w:tc>
        <w:tc>
          <w:tcPr>
            <w:tcW w:w="1761" w:type="dxa"/>
            <w:vMerge w:val="continue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rPr/>
            </w:pPr>
            <w:r>
              <w:rPr/>
            </w:r>
          </w:p>
        </w:tc>
        <w:tc>
          <w:tcPr>
            <w:tcW w:w="1940" w:type="dxa"/>
            <w:vMerge w:val="continue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rPr/>
            </w:pPr>
            <w:r>
              <w:rPr/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ListParagraph"/>
              <w:widowControl w:val="false"/>
              <w:suppressAutoHyphens w:val="true"/>
              <w:ind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5.1.2.</w:t>
            </w:r>
          </w:p>
        </w:tc>
        <w:tc>
          <w:tcPr>
            <w:tcW w:w="1802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 ожидаемый эффект</w:t>
            </w:r>
          </w:p>
        </w:tc>
        <w:tc>
          <w:tcPr>
            <w:tcW w:w="8899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Обоснование выбора расположения проектируемой Мутновской ГеоЭС-2 и объектов её инфраструктуры для обеспечения их лавинной и селевой безопасности.</w:t>
            </w:r>
          </w:p>
        </w:tc>
        <w:tc>
          <w:tcPr>
            <w:tcW w:w="176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5.1.3.</w:t>
            </w:r>
          </w:p>
        </w:tc>
        <w:tc>
          <w:tcPr>
            <w:tcW w:w="1802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Финансовый эффект</w:t>
            </w:r>
          </w:p>
        </w:tc>
        <w:tc>
          <w:tcPr>
            <w:tcW w:w="8899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Минимизация рисков финансовых последствий в случае изменения проектной документации для обеспечения лавинной и селевой безопасности</w:t>
            </w:r>
          </w:p>
        </w:tc>
        <w:tc>
          <w:tcPr>
            <w:tcW w:w="176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numPr>
          <w:ilvl w:val="0"/>
          <w:numId w:val="0"/>
        </w:numPr>
        <w:spacing w:before="0" w:after="0"/>
        <w:ind w:left="709" w:right="142" w:hanging="0"/>
        <w:contextualSpacing/>
        <w:jc w:val="center"/>
        <w:outlineLvl w:val="0"/>
        <w:rPr>
          <w:b/>
          <w:bCs/>
        </w:rPr>
      </w:pPr>
      <w:r>
        <w:rPr>
          <w:b/>
          <w:bCs/>
        </w:rPr>
      </w:r>
    </w:p>
    <w:p>
      <w:pPr>
        <w:pStyle w:val="Heading1"/>
        <w:keepLines/>
        <w:numPr>
          <w:ilvl w:val="0"/>
          <w:numId w:val="0"/>
        </w:numPr>
        <w:spacing w:before="0" w:after="0"/>
        <w:ind w:left="0" w:right="0" w:hanging="0"/>
        <w:rPr>
          <w:sz w:val="24"/>
          <w:szCs w:val="24"/>
        </w:rPr>
      </w:pPr>
      <w:bookmarkStart w:id="50" w:name="__RefHeading___Toc12008_3645919304"/>
      <w:bookmarkEnd w:id="50"/>
      <w:r>
        <w:rPr>
          <w:sz w:val="24"/>
          <w:szCs w:val="24"/>
          <w:shd w:fill="auto" w:val="clear"/>
          <w:lang w:val="ru-RU"/>
        </w:rPr>
        <w:t xml:space="preserve">3. </w:t>
      </w:r>
      <w:bookmarkStart w:id="51" w:name="_Toc223008892"/>
      <w:r>
        <w:rPr>
          <w:sz w:val="24"/>
          <w:szCs w:val="24"/>
          <w:shd w:fill="auto" w:val="clear"/>
          <w:lang w:val="ru-RU"/>
        </w:rPr>
        <w:t>Состав заявки для мониторинга цен</w:t>
      </w:r>
      <w:bookmarkEnd w:id="51"/>
    </w:p>
    <w:p>
      <w:pPr>
        <w:pStyle w:val="Normal"/>
        <w:widowControl w:val="false"/>
        <w:numPr>
          <w:ilvl w:val="0"/>
        </w:numPr>
        <w:tabs>
          <w:tab w:val="clear" w:pos="708"/>
          <w:tab w:val="left" w:pos="426" w:leader="none"/>
          <w:tab w:val="left" w:pos="733" w:leader="none"/>
        </w:tabs>
        <w:suppressAutoHyphens w:val="true"/>
        <w:overflowPunct w:val="true"/>
        <w:bidi w:val="0"/>
        <w:spacing w:before="0" w:after="0"/>
        <w:ind w:left="0" w:right="0" w:hanging="0"/>
        <w:jc w:val="both"/>
        <w:rPr>
          <w:sz w:val="24"/>
          <w:szCs w:val="24"/>
        </w:rPr>
      </w:pPr>
      <w:bookmarkStart w:id="52" w:name="_Toc46743519_Копия_1"/>
      <w:bookmarkStart w:id="53" w:name="_Toc51339699_Копия_1"/>
      <w:bookmarkEnd w:id="52"/>
      <w:bookmarkEnd w:id="53"/>
      <w:r>
        <w:rPr>
          <w:iCs/>
          <w:sz w:val="24"/>
          <w:szCs w:val="24"/>
          <w:shd w:fill="auto" w:val="clear"/>
          <w:lang w:eastAsia="x-none"/>
        </w:rPr>
        <w:t xml:space="preserve">3.1. </w:t>
      </w:r>
      <w:r>
        <w:rPr>
          <w:iCs/>
          <w:sz w:val="24"/>
          <w:szCs w:val="24"/>
          <w:shd w:fill="auto" w:val="clear"/>
          <w:lang w:val="x-none" w:eastAsia="x-none"/>
        </w:rPr>
        <w:t xml:space="preserve">В составе </w:t>
      </w:r>
      <w:r>
        <w:rPr>
          <w:iCs/>
          <w:sz w:val="24"/>
          <w:szCs w:val="24"/>
          <w:shd w:fill="auto" w:val="clear"/>
          <w:lang w:eastAsia="x-none"/>
        </w:rPr>
        <w:t xml:space="preserve">заявки на </w:t>
      </w:r>
      <w:r>
        <w:rPr>
          <w:iCs/>
          <w:sz w:val="24"/>
          <w:szCs w:val="24"/>
          <w:shd w:fill="auto" w:val="clear"/>
          <w:lang w:val="x-none" w:eastAsia="x-none"/>
        </w:rPr>
        <w:t xml:space="preserve">мониторинг цен необходимо представить </w:t>
      </w:r>
      <w:r>
        <w:rPr>
          <w:iCs/>
          <w:sz w:val="24"/>
          <w:szCs w:val="24"/>
          <w:shd w:fill="auto" w:val="clear"/>
          <w:lang w:eastAsia="x-none"/>
        </w:rPr>
        <w:t>Технико-коммерческое предложение по форме приложения №1 к настоящим Техническим требованиям.</w:t>
      </w:r>
    </w:p>
    <w:p>
      <w:pPr>
        <w:pStyle w:val="Normal"/>
        <w:widowControl w:val="false"/>
        <w:tabs>
          <w:tab w:val="clear" w:pos="708"/>
          <w:tab w:val="left" w:pos="426" w:leader="none"/>
          <w:tab w:val="left" w:pos="733" w:leader="none"/>
        </w:tabs>
        <w:suppressAutoHyphens w:val="true"/>
        <w:overflowPunct w:val="true"/>
        <w:bidi w:val="0"/>
        <w:spacing w:before="0" w:after="0"/>
        <w:ind w:left="0" w:right="0" w:hanging="0"/>
        <w:jc w:val="both"/>
        <w:rPr>
          <w:iCs/>
          <w:sz w:val="24"/>
          <w:szCs w:val="24"/>
          <w:shd w:fill="auto" w:val="clear"/>
          <w:lang w:eastAsia="x-none"/>
        </w:rPr>
      </w:pPr>
      <w:r>
        <w:rPr>
          <w:iCs/>
          <w:sz w:val="24"/>
          <w:szCs w:val="24"/>
          <w:shd w:fill="auto" w:val="clear"/>
          <w:lang w:eastAsia="x-none"/>
        </w:rPr>
      </w:r>
    </w:p>
    <w:p>
      <w:pPr>
        <w:pStyle w:val="Heading1"/>
        <w:keepNext w:val="true"/>
        <w:widowControl/>
        <w:numPr>
          <w:ilvl w:val="0"/>
          <w:numId w:val="0"/>
        </w:numPr>
        <w:suppressAutoHyphens w:val="true"/>
        <w:bidi w:val="0"/>
        <w:spacing w:before="120" w:after="60"/>
        <w:ind w:left="0" w:right="0" w:hanging="0"/>
        <w:jc w:val="left"/>
        <w:rPr>
          <w:sz w:val="24"/>
          <w:szCs w:val="24"/>
        </w:rPr>
      </w:pPr>
      <w:bookmarkStart w:id="54" w:name="__RefHeading___Toc9021_2986068082"/>
      <w:bookmarkEnd w:id="54"/>
      <w:r>
        <w:rPr>
          <w:sz w:val="24"/>
          <w:szCs w:val="24"/>
        </w:rPr>
        <w:t>4. Приложения</w:t>
      </w:r>
    </w:p>
    <w:p>
      <w:pPr>
        <w:pStyle w:val="Normal"/>
        <w:widowControl/>
        <w:tabs>
          <w:tab w:val="clear" w:pos="708"/>
          <w:tab w:val="left" w:pos="0" w:leader="none"/>
        </w:tabs>
        <w:suppressAutoHyphens w:val="true"/>
        <w:bidi w:val="0"/>
        <w:spacing w:lineRule="auto" w:line="276" w:before="0" w:after="0"/>
        <w:ind w:left="0" w:right="0" w:hanging="0"/>
        <w:jc w:val="both"/>
        <w:rPr>
          <w:b w:val="false"/>
          <w:bCs w:val="false"/>
        </w:rPr>
      </w:pPr>
      <w:r>
        <w:rPr>
          <w:rFonts w:eastAsia="Calibri"/>
          <w:b w:val="false"/>
          <w:bCs w:val="false"/>
          <w:sz w:val="24"/>
          <w:szCs w:val="24"/>
          <w:shd w:fill="auto" w:val="clear"/>
        </w:rPr>
        <w:t>Приложение №1: Форма «Технико-коммерческое предложение».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0"/>
        <w:ind w:hanging="0"/>
        <w:rPr>
          <w:rFonts w:ascii="Times New Roman" w:hAnsi="Times New Roman" w:eastAsia="Calibri" w:cs="Times New Roman"/>
          <w:color w:val="auto"/>
          <w:kern w:val="0"/>
          <w:sz w:val="24"/>
          <w:szCs w:val="24"/>
          <w:shd w:fill="auto" w:val="clear"/>
          <w:lang w:val="ru-RU" w:eastAsia="ru-RU" w:bidi="ar-SA"/>
        </w:rPr>
      </w:pPr>
      <w:r>
        <w:rPr>
          <w:rFonts w:eastAsia="Calibri" w:cs="Times New Roman"/>
          <w:color w:val="000000"/>
          <w:kern w:val="0"/>
          <w:sz w:val="24"/>
          <w:szCs w:val="24"/>
          <w:shd w:fill="auto" w:val="clear"/>
          <w:lang w:val="ru-RU" w:eastAsia="ru-RU" w:bidi="ar-SA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0"/>
        <w:ind w:hanging="0"/>
        <w:rPr>
          <w:rFonts w:ascii="Times New Roman" w:hAnsi="Times New Roman" w:eastAsia="Calibri" w:cs="Times New Roman"/>
          <w:color w:val="auto"/>
          <w:kern w:val="0"/>
          <w:sz w:val="24"/>
          <w:szCs w:val="24"/>
          <w:shd w:fill="auto" w:val="clear"/>
          <w:lang w:val="ru-RU" w:eastAsia="ru-RU" w:bidi="ar-SA"/>
        </w:rPr>
      </w:pPr>
      <w:r>
        <w:rPr>
          <w:rFonts w:eastAsia="Calibri" w:cs="Times New Roman"/>
          <w:color w:val="000000"/>
          <w:kern w:val="0"/>
          <w:sz w:val="24"/>
          <w:szCs w:val="24"/>
          <w:shd w:fill="auto" w:val="clear"/>
          <w:lang w:val="ru-RU" w:eastAsia="ru-RU" w:bidi="ar-SA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0"/>
        <w:ind w:hanging="0"/>
        <w:rPr>
          <w:rFonts w:ascii="Times New Roman" w:hAnsi="Times New Roman" w:eastAsia="Calibri" w:cs="Times New Roman"/>
          <w:color w:val="auto"/>
          <w:kern w:val="0"/>
          <w:sz w:val="24"/>
          <w:szCs w:val="24"/>
          <w:shd w:fill="auto" w:val="clear"/>
          <w:lang w:val="ru-RU" w:eastAsia="ru-RU" w:bidi="ar-SA"/>
        </w:rPr>
      </w:pPr>
      <w:r>
        <w:rPr>
          <w:rFonts w:eastAsia="Calibri" w:cs="Times New Roman"/>
          <w:color w:val="000000"/>
          <w:kern w:val="0"/>
          <w:sz w:val="24"/>
          <w:szCs w:val="24"/>
          <w:shd w:fill="auto" w:val="clear"/>
          <w:lang w:val="ru-RU" w:eastAsia="ru-RU" w:bidi="ar-SA"/>
        </w:rPr>
      </w:r>
    </w:p>
    <w:p>
      <w:pPr>
        <w:pStyle w:val="Normal"/>
        <w:numPr>
          <w:ilvl w:val="0"/>
          <w:numId w:val="0"/>
        </w:numPr>
        <w:spacing w:before="0" w:after="0"/>
        <w:ind w:left="709" w:right="142" w:hanging="0"/>
        <w:contextualSpacing/>
        <w:jc w:val="center"/>
        <w:outlineLvl w:val="0"/>
        <w:rPr>
          <w:b/>
          <w:bCs/>
        </w:rPr>
      </w:pPr>
      <w:r>
        <w:rPr>
          <w:b/>
          <w:bCs/>
        </w:rPr>
      </w:r>
    </w:p>
    <w:p>
      <w:pPr>
        <w:pStyle w:val="Normal"/>
        <w:numPr>
          <w:ilvl w:val="0"/>
          <w:numId w:val="0"/>
        </w:numPr>
        <w:spacing w:before="0" w:after="0"/>
        <w:ind w:left="709" w:right="142" w:hanging="0"/>
        <w:contextualSpacing/>
        <w:jc w:val="center"/>
        <w:outlineLvl w:val="0"/>
        <w:rPr>
          <w:b/>
          <w:bCs/>
        </w:rPr>
      </w:pPr>
      <w:r>
        <w:rPr>
          <w:b/>
          <w:bCs/>
        </w:rPr>
      </w:r>
    </w:p>
    <w:p>
      <w:pPr>
        <w:sectPr>
          <w:headerReference w:type="default" r:id="rId6"/>
          <w:headerReference w:type="first" r:id="rId7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numPr>
          <w:ilvl w:val="0"/>
          <w:numId w:val="0"/>
        </w:numPr>
        <w:spacing w:before="0" w:after="0"/>
        <w:ind w:left="709" w:right="142" w:hanging="0"/>
        <w:contextualSpacing/>
        <w:jc w:val="center"/>
        <w:outlineLvl w:val="0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426" w:leader="none"/>
        </w:tabs>
        <w:ind w:left="6160" w:right="142" w:hanging="0"/>
        <w:jc w:val="right"/>
        <w:rPr>
          <w:b/>
          <w:bCs/>
        </w:rPr>
      </w:pPr>
      <w:r>
        <w:rPr>
          <w:b/>
          <w:bCs/>
          <w:sz w:val="24"/>
        </w:rPr>
        <w:t>Приложение №1 к ТТ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426" w:leader="none"/>
        </w:tabs>
        <w:ind w:left="6160" w:right="142" w:hanging="0"/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426" w:leader="none"/>
        </w:tabs>
        <w:ind w:left="6160" w:hanging="0"/>
        <w:jc w:val="right"/>
        <w:rPr>
          <w:sz w:val="24"/>
        </w:rPr>
      </w:pPr>
      <w:r>
        <w:rPr>
          <w:sz w:val="24"/>
        </w:rPr>
      </w:r>
    </w:p>
    <w:tbl>
      <w:tblPr>
        <w:tblW w:w="98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866"/>
      </w:tblGrid>
      <w:tr>
        <w:trPr/>
        <w:tc>
          <w:tcPr>
            <w:tcW w:w="9866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right="0" w:hanging="0"/>
              <w:jc w:val="center"/>
              <w:rPr/>
            </w:pPr>
            <w:r>
              <w:rPr>
                <w:b/>
                <w:sz w:val="24"/>
                <w:szCs w:val="24"/>
              </w:rPr>
              <w:t>Форма «Технико-коммерческое предложение»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 w:val="24"/>
                <w:szCs w:val="24"/>
              </w:rPr>
              <w:t>начало формы</w:t>
            </w:r>
          </w:p>
        </w:tc>
      </w:tr>
    </w:tbl>
    <w:p>
      <w:pPr>
        <w:pStyle w:val="Normal"/>
        <w:numPr>
          <w:ilvl w:val="0"/>
          <w:numId w:val="0"/>
        </w:numPr>
        <w:tabs>
          <w:tab w:val="clear" w:pos="708"/>
          <w:tab w:val="left" w:pos="5812" w:leader="none"/>
        </w:tabs>
        <w:ind w:left="0" w:right="0" w:hanging="0"/>
        <w:jc w:val="center"/>
        <w:rPr/>
      </w:pPr>
      <w:r>
        <w:rPr>
          <w:i/>
          <w:sz w:val="24"/>
          <w:szCs w:val="24"/>
        </w:rPr>
        <w:t>На официальном бланке участника</w:t>
      </w:r>
    </w:p>
    <w:p>
      <w:pPr>
        <w:pStyle w:val="Normal"/>
        <w:numPr>
          <w:ilvl w:val="0"/>
          <w:numId w:val="0"/>
        </w:numPr>
        <w:suppressAutoHyphens w:val="true"/>
        <w:spacing w:before="0" w:after="240"/>
        <w:ind w:left="5038" w:hanging="0"/>
        <w:jc w:val="center"/>
        <w:rPr>
          <w:b/>
        </w:rPr>
      </w:pPr>
      <w:r>
        <w:rPr>
          <w:b/>
        </w:rPr>
      </w:r>
    </w:p>
    <w:tbl>
      <w:tblPr>
        <w:tblW w:w="30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4"/>
        <w:gridCol w:w="1072"/>
        <w:gridCol w:w="1253"/>
      </w:tblGrid>
      <w:tr>
        <w:trPr/>
        <w:tc>
          <w:tcPr>
            <w:tcW w:w="1746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ind w:left="0" w:right="0" w:hanging="0"/>
              <w:rPr/>
            </w:pPr>
            <w:r>
              <w:rPr>
                <w:sz w:val="24"/>
                <w:szCs w:val="24"/>
              </w:rPr>
              <w:t>Исходящий №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7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ind w:left="0" w:right="0" w:hanging="0"/>
              <w:rPr/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325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74" w:type="dxa"/>
            <w:tcBorders/>
            <w:shd w:color="auto" w:fill="auto" w:val="clear"/>
          </w:tcPr>
          <w:p>
            <w:pPr>
              <w:pStyle w:val="Normal"/>
              <w:widowControl w:val="false"/>
              <w:ind w:left="0" w:right="0" w:hanging="0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</w:r>
          </w:p>
        </w:tc>
        <w:tc>
          <w:tcPr>
            <w:tcW w:w="232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ind w:left="0" w:right="0" w:hanging="0"/>
              <w:jc w:val="center"/>
              <w:rPr/>
            </w:pPr>
            <w:r>
              <w:rPr>
                <w:sz w:val="24"/>
                <w:szCs w:val="24"/>
                <w:vertAlign w:val="superscript"/>
              </w:rPr>
              <w:t>(дата)</w:t>
            </w:r>
          </w:p>
        </w:tc>
      </w:tr>
    </w:tbl>
    <w:p>
      <w:pPr>
        <w:pStyle w:val="Normal"/>
        <w:numPr>
          <w:ilvl w:val="0"/>
          <w:numId w:val="0"/>
        </w:numPr>
        <w:suppressAutoHyphens w:val="true"/>
        <w:spacing w:before="0" w:after="240"/>
        <w:ind w:left="5038" w:hanging="0"/>
        <w:jc w:val="center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suppressAutoHyphens w:val="true"/>
        <w:spacing w:before="0" w:after="0"/>
        <w:ind w:left="0" w:right="0" w:hanging="0"/>
        <w:jc w:val="center"/>
        <w:rPr/>
      </w:pPr>
      <w:r>
        <w:rPr>
          <w:b/>
        </w:rPr>
        <w:t>Технико-коммерческое предложение</w:t>
      </w:r>
    </w:p>
    <w:p>
      <w:pPr>
        <w:pStyle w:val="Normal"/>
        <w:numPr>
          <w:ilvl w:val="0"/>
          <w:numId w:val="0"/>
        </w:numPr>
        <w:suppressAutoHyphens w:val="true"/>
        <w:spacing w:before="0" w:after="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  <w:t>Изучив Технические требования Заказчика в рамках настоящего мониторинга</w:t>
      </w:r>
      <w:r>
        <w:rPr>
          <w:kern w:val="2"/>
          <w:sz w:val="24"/>
          <w:szCs w:val="24"/>
        </w:rPr>
        <w:t xml:space="preserve"> </w:t>
      </w:r>
      <w:r>
        <w:rPr>
          <w:rFonts w:eastAsia="Calibri"/>
          <w:b w:val="false"/>
          <w:bCs w:val="false"/>
          <w:i w:val="false"/>
          <w:iCs w:val="false"/>
          <w:kern w:val="2"/>
          <w:sz w:val="26"/>
          <w:szCs w:val="26"/>
        </w:rPr>
        <w:t>«</w:t>
      </w:r>
      <w:r>
        <w:rPr>
          <w:rFonts w:eastAsia="Times New Roman" w:cs="Times New Roman"/>
          <w:b w:val="false"/>
          <w:bCs w:val="false"/>
          <w:i w:val="false"/>
          <w:iCs w:val="false"/>
          <w:kern w:val="2"/>
          <w:sz w:val="26"/>
          <w:szCs w:val="26"/>
          <w:lang w:eastAsia="ru-RU"/>
        </w:rPr>
        <w:t>ОКПД2 72.19.15.000 Выполнение научно-исследовательских работ для разработки проекта защиты Мутновской ГеоЭС-2 от схода лавин и селей»</w:t>
      </w:r>
      <w:r>
        <w:rPr>
          <w:rFonts w:eastAsia="Times New Roman" w:cs="Times New Roman"/>
          <w:b w:val="false"/>
          <w:bCs w:val="false"/>
          <w:kern w:val="2"/>
          <w:sz w:val="24"/>
          <w:szCs w:val="24"/>
          <w:lang w:eastAsia="ru-RU"/>
        </w:rPr>
        <w:t>,</w:t>
      </w:r>
    </w:p>
    <w:p>
      <w:pPr>
        <w:pStyle w:val="Normal"/>
        <w:numPr>
          <w:ilvl w:val="0"/>
          <w:numId w:val="0"/>
        </w:numPr>
        <w:suppressAutoHyphens w:val="true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suppressAutoHyphens w:val="true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53"/>
        <w:gridCol w:w="267"/>
      </w:tblGrid>
      <w:tr>
        <w:trPr/>
        <w:tc>
          <w:tcPr>
            <w:tcW w:w="9653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right="0" w:hanging="0"/>
              <w:jc w:val="center"/>
              <w:rPr/>
            </w:pPr>
            <w:r>
              <w:rPr>
                <w:sz w:val="24"/>
                <w:szCs w:val="24"/>
                <w:vertAlign w:val="superscript"/>
              </w:rPr>
              <w:t>(полное наименование организации с указанием организационно-правой формы и ИНН)</w:t>
            </w:r>
          </w:p>
        </w:tc>
        <w:tc>
          <w:tcPr>
            <w:tcW w:w="267" w:type="dxa"/>
            <w:tcBorders/>
          </w:tcPr>
          <w:p>
            <w:pPr>
              <w:pStyle w:val="Normal"/>
              <w:widowControl w:val="false"/>
              <w:ind w:left="0" w:right="0" w:hanging="0"/>
              <w:rPr/>
            </w:pPr>
            <w:r>
              <w:rPr/>
            </w:r>
          </w:p>
        </w:tc>
      </w:tr>
      <w:tr>
        <w:trPr/>
        <w:tc>
          <w:tcPr>
            <w:tcW w:w="9653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ind w:left="0" w:right="0" w:hanging="0"/>
              <w:jc w:val="both"/>
              <w:rPr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</w:r>
          </w:p>
        </w:tc>
        <w:tc>
          <w:tcPr>
            <w:tcW w:w="267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right="0" w:hanging="0"/>
              <w:jc w:val="both"/>
              <w:rPr/>
            </w:pPr>
            <w:r>
              <w:rPr>
                <w:sz w:val="24"/>
                <w:szCs w:val="24"/>
              </w:rPr>
              <w:t>,</w:t>
            </w:r>
          </w:p>
        </w:tc>
      </w:tr>
      <w:tr>
        <w:trPr/>
        <w:tc>
          <w:tcPr>
            <w:tcW w:w="9653" w:type="dxa"/>
            <w:tcBorders>
              <w:top w:val="sing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right="0" w:hanging="0"/>
              <w:jc w:val="center"/>
              <w:rPr/>
            </w:pPr>
            <w:r>
              <w:rPr>
                <w:sz w:val="24"/>
                <w:szCs w:val="24"/>
                <w:vertAlign w:val="superscript"/>
              </w:rPr>
              <w:t>(юридический адрес)</w:t>
            </w:r>
          </w:p>
        </w:tc>
        <w:tc>
          <w:tcPr>
            <w:tcW w:w="267" w:type="dxa"/>
            <w:tcBorders/>
          </w:tcPr>
          <w:p>
            <w:pPr>
              <w:pStyle w:val="Normal"/>
              <w:widowControl w:val="false"/>
              <w:ind w:left="0" w:right="0" w:hanging="0"/>
              <w:rPr/>
            </w:pPr>
            <w:r>
              <w:rPr/>
            </w:r>
          </w:p>
        </w:tc>
      </w:tr>
      <w:tr>
        <w:trPr/>
        <w:tc>
          <w:tcPr>
            <w:tcW w:w="9653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right="0" w:hanging="0"/>
              <w:jc w:val="both"/>
              <w:rPr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</w:r>
          </w:p>
        </w:tc>
        <w:tc>
          <w:tcPr>
            <w:tcW w:w="267" w:type="dxa"/>
            <w:tcBorders/>
          </w:tcPr>
          <w:p>
            <w:pPr>
              <w:pStyle w:val="Normal"/>
              <w:widowControl w:val="false"/>
              <w:ind w:left="0" w:right="0" w:hanging="0"/>
              <w:jc w:val="both"/>
              <w:rPr/>
            </w:pPr>
            <w:r>
              <w:rPr/>
              <w:t>,</w:t>
            </w:r>
          </w:p>
        </w:tc>
      </w:tr>
      <w:tr>
        <w:trPr/>
        <w:tc>
          <w:tcPr>
            <w:tcW w:w="9653" w:type="dxa"/>
            <w:tcBorders>
              <w:top w:val="sing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right="0" w:hanging="0"/>
              <w:jc w:val="center"/>
              <w:rPr/>
            </w:pPr>
            <w:r>
              <w:rPr>
                <w:sz w:val="24"/>
                <w:szCs w:val="24"/>
                <w:vertAlign w:val="superscript"/>
              </w:rPr>
              <w:t>(почтовый адрес)</w:t>
            </w:r>
          </w:p>
        </w:tc>
        <w:tc>
          <w:tcPr>
            <w:tcW w:w="267" w:type="dxa"/>
            <w:tcBorders/>
          </w:tcPr>
          <w:p>
            <w:pPr>
              <w:pStyle w:val="Normal"/>
              <w:widowControl w:val="false"/>
              <w:ind w:left="0" w:right="0" w:hanging="0"/>
              <w:rPr/>
            </w:pPr>
            <w:r>
              <w:rPr/>
            </w:r>
          </w:p>
        </w:tc>
      </w:tr>
      <w:tr>
        <w:trPr/>
        <w:tc>
          <w:tcPr>
            <w:tcW w:w="9653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right="0" w:hanging="0"/>
              <w:jc w:val="both"/>
              <w:rPr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</w:r>
          </w:p>
        </w:tc>
        <w:tc>
          <w:tcPr>
            <w:tcW w:w="267" w:type="dxa"/>
            <w:tcBorders/>
          </w:tcPr>
          <w:p>
            <w:pPr>
              <w:pStyle w:val="Normal"/>
              <w:widowControl w:val="false"/>
              <w:ind w:left="0" w:right="0" w:hanging="0"/>
              <w:jc w:val="both"/>
              <w:rPr/>
            </w:pPr>
            <w:r>
              <w:rPr/>
              <w:t>,</w:t>
            </w:r>
          </w:p>
        </w:tc>
      </w:tr>
    </w:tbl>
    <w:p>
      <w:pPr>
        <w:pStyle w:val="Normal"/>
        <w:numPr>
          <w:ilvl w:val="0"/>
          <w:numId w:val="0"/>
        </w:numPr>
        <w:ind w:left="0" w:right="0" w:hanging="0"/>
        <w:jc w:val="center"/>
        <w:rPr/>
      </w:pPr>
      <w:r>
        <w:rPr>
          <w:sz w:val="24"/>
          <w:szCs w:val="24"/>
          <w:vertAlign w:val="superscript"/>
        </w:rPr>
        <w:t>(контактные данные номер телефона, e-mail, ФИО контактного лица)</w:t>
      </w:r>
    </w:p>
    <w:p>
      <w:pPr>
        <w:pStyle w:val="Normal"/>
        <w:numPr>
          <w:ilvl w:val="0"/>
          <w:numId w:val="0"/>
        </w:numPr>
        <w:suppressAutoHyphens w:val="true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suppressAutoHyphens w:val="true"/>
        <w:ind w:left="0" w:right="0" w:hanging="0"/>
        <w:jc w:val="both"/>
        <w:rPr/>
      </w:pPr>
      <w:r>
        <w:rPr>
          <w:sz w:val="24"/>
          <w:szCs w:val="24"/>
        </w:rPr>
        <w:t xml:space="preserve">согласен </w:t>
      </w:r>
      <w:r>
        <w:rPr>
          <w:kern w:val="2"/>
          <w:sz w:val="24"/>
          <w:szCs w:val="24"/>
        </w:rPr>
        <w:t xml:space="preserve">со всеми условиями Технических требований, включая установленные (предложенные Заказчиком) сроки выполнения работ и условия оплаты, </w:t>
      </w:r>
      <w:r>
        <w:rPr>
          <w:sz w:val="24"/>
          <w:szCs w:val="24"/>
        </w:rPr>
        <w:t>и сообщаю следующее:</w:t>
      </w:r>
    </w:p>
    <w:p>
      <w:pPr>
        <w:pStyle w:val="Normal"/>
        <w:numPr>
          <w:ilvl w:val="0"/>
          <w:numId w:val="0"/>
        </w:numPr>
        <w:suppressAutoHyphens w:val="true"/>
        <w:ind w:left="0" w:hanging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Style w:val="af"/>
        <w:tblW w:w="98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681"/>
        <w:gridCol w:w="6184"/>
      </w:tblGrid>
      <w:tr>
        <w:trPr>
          <w:trHeight w:val="783" w:hRule="atLeast"/>
        </w:trPr>
        <w:tc>
          <w:tcPr>
            <w:tcW w:w="368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Стоимость работ, без НДС, руб.</w:t>
            </w:r>
          </w:p>
        </w:tc>
        <w:tc>
          <w:tcPr>
            <w:tcW w:w="6184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0" w:hanging="0"/>
              <w:jc w:val="left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00 000 000,00 руб. (сумма прописью)</w:t>
            </w:r>
          </w:p>
        </w:tc>
      </w:tr>
    </w:tbl>
    <w:p>
      <w:pPr>
        <w:pStyle w:val="Normal"/>
        <w:numPr>
          <w:ilvl w:val="0"/>
          <w:numId w:val="0"/>
        </w:numPr>
        <w:suppressAutoHyphens w:val="true"/>
        <w:ind w:left="5038" w:hanging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suppressAutoHyphens w:val="true"/>
        <w:spacing w:before="240" w:after="240"/>
        <w:ind w:left="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suppressAutoHyphens w:val="true"/>
        <w:spacing w:before="0" w:after="0"/>
        <w:ind w:left="5038" w:hanging="0"/>
        <w:contextualSpacing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</w:r>
    </w:p>
    <w:tbl>
      <w:tblPr>
        <w:tblStyle w:val="af"/>
        <w:tblW w:w="9866" w:type="dxa"/>
        <w:jc w:val="left"/>
        <w:tblInd w:w="0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val="04a0" w:noHBand="0" w:noVBand="1" w:firstColumn="1" w:lastRow="0" w:lastColumn="0" w:firstRow="1"/>
      </w:tblPr>
      <w:tblGrid>
        <w:gridCol w:w="3290"/>
        <w:gridCol w:w="3271"/>
        <w:gridCol w:w="3305"/>
      </w:tblGrid>
      <w:tr>
        <w:trPr/>
        <w:tc>
          <w:tcPr>
            <w:tcW w:w="329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720" w:hanging="0"/>
              <w:contextualSpacing/>
              <w:jc w:val="left"/>
              <w:rPr>
                <w:rFonts w:ascii="Times New Roman" w:hAnsi="Times New Roman" w:eastAsia="Calibri" w:cs="Times New Roman"/>
                <w:color w:val="666666" w:themeShade="bf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color w:val="666666" w:themeShade="bf"/>
                <w:kern w:val="0"/>
                <w:sz w:val="20"/>
                <w:szCs w:val="20"/>
                <w:lang w:val="ru-RU" w:eastAsia="en-US" w:bidi="ar-SA"/>
              </w:rPr>
              <w:t>должность</w:t>
            </w:r>
          </w:p>
        </w:tc>
        <w:tc>
          <w:tcPr>
            <w:tcW w:w="3271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76" w:before="0" w:after="0"/>
              <w:ind w:left="170" w:right="0" w:hanging="0"/>
              <w:contextualSpacing/>
              <w:jc w:val="center"/>
              <w:rPr>
                <w:rFonts w:ascii="Times New Roman" w:hAnsi="Times New Roman" w:eastAsia="Calibri" w:cs="Times New Roman"/>
                <w:color w:val="666666" w:themeShade="bf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color w:val="666666" w:themeShade="bf"/>
                <w:kern w:val="0"/>
                <w:sz w:val="20"/>
                <w:szCs w:val="20"/>
                <w:lang w:val="ru-RU" w:eastAsia="en-US" w:bidi="ar-SA"/>
              </w:rPr>
              <w:t>подпись, печать</w:t>
            </w:r>
          </w:p>
        </w:tc>
        <w:tc>
          <w:tcPr>
            <w:tcW w:w="33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rPr>
                <w:rFonts w:ascii="Times New Roman" w:hAnsi="Times New Roman" w:eastAsia="Calibri" w:cs="Times New Roman"/>
                <w:color w:val="666666" w:themeShade="bf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color w:val="666666" w:themeShade="bf"/>
                <w:kern w:val="0"/>
                <w:sz w:val="20"/>
                <w:szCs w:val="20"/>
                <w:lang w:val="ru-RU" w:eastAsia="en-US" w:bidi="ar-SA"/>
              </w:rPr>
              <w:t>(расшифровка подписи)</w:t>
            </w:r>
          </w:p>
        </w:tc>
      </w:tr>
    </w:tbl>
    <w:p>
      <w:pPr>
        <w:pStyle w:val="Normal"/>
        <w:numPr>
          <w:ilvl w:val="0"/>
          <w:numId w:val="0"/>
        </w:numPr>
        <w:suppressAutoHyphens w:val="true"/>
        <w:spacing w:before="0" w:after="0"/>
        <w:ind w:left="720" w:hanging="0"/>
        <w:contextualSpacing/>
        <w:jc w:val="center"/>
        <w:rPr>
          <w:color w:val="BFBFBF" w:themeColor="background1" w:themeShade="bf"/>
          <w:kern w:val="2"/>
          <w:sz w:val="20"/>
          <w:szCs w:val="20"/>
        </w:rPr>
      </w:pPr>
      <w:r>
        <w:rPr>
          <w:color w:val="BFBFBF" w:themeColor="background1" w:themeShade="bf"/>
          <w:kern w:val="2"/>
          <w:sz w:val="20"/>
          <w:szCs w:val="20"/>
        </w:rPr>
      </w:r>
    </w:p>
    <w:p>
      <w:pPr>
        <w:pStyle w:val="Normal"/>
        <w:widowControl w:val="false"/>
        <w:numPr>
          <w:ilvl w:val="0"/>
          <w:numId w:val="0"/>
        </w:numPr>
        <w:ind w:left="72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21"/>
      </w:tblGrid>
      <w:tr>
        <w:trPr/>
        <w:tc>
          <w:tcPr>
            <w:tcW w:w="9921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-57" w:right="11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конец формы</w:t>
            </w:r>
          </w:p>
        </w:tc>
      </w:tr>
    </w:tbl>
    <w:p>
      <w:pPr>
        <w:pStyle w:val="Normal"/>
        <w:widowControl w:val="false"/>
        <w:numPr>
          <w:ilvl w:val="0"/>
        </w:numPr>
        <w:tabs>
          <w:tab w:val="clear" w:pos="708"/>
          <w:tab w:val="left" w:pos="426" w:leader="none"/>
        </w:tabs>
        <w:ind w:left="6160" w:hanging="0"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before="0" w:after="120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pacing w:before="0" w:after="120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pacing w:before="0" w:after="120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pacing w:before="0" w:after="120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pacing w:before="0" w:after="120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pacing w:before="0" w:after="120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0" w:after="0"/>
        <w:ind w:left="0" w:right="142" w:hanging="0"/>
        <w:contextualSpacing/>
        <w:outlineLvl w:val="0"/>
        <w:rPr>
          <w:sz w:val="24"/>
          <w:szCs w:val="24"/>
          <w:lang w:eastAsia="x-none"/>
        </w:rPr>
      </w:pPr>
      <w:r>
        <w:rPr/>
      </w:r>
    </w:p>
    <w:sectPr>
      <w:headerReference w:type="even" r:id="rId8"/>
      <w:headerReference w:type="default" r:id="rId9"/>
      <w:headerReference w:type="first" r:id="rId10"/>
      <w:type w:val="nextPage"/>
      <w:pgSz w:w="11906" w:h="16838"/>
      <w:pgMar w:left="1134" w:right="851" w:gutter="0" w:header="680" w:top="1134" w:footer="0" w:bottom="99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roman"/>
    <w:pitch w:val="variable"/>
  </w:font>
  <w:font w:name="Times New Roman">
    <w:charset w:val="01"/>
    <w:family w:val="roman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30"/>
        </w:tabs>
        <w:ind w:left="113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90"/>
        </w:tabs>
        <w:ind w:left="149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50"/>
        </w:tabs>
        <w:ind w:left="185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10"/>
        </w:tabs>
        <w:ind w:left="221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70"/>
        </w:tabs>
        <w:ind w:left="257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90"/>
        </w:tabs>
        <w:ind w:left="329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50"/>
        </w:tabs>
        <w:ind w:left="3650" w:hanging="360"/>
      </w:pPr>
      <w:rPr>
        <w:rFonts w:ascii="OpenSymbol" w:hAnsi="OpenSymbol" w:cs="OpenSymbol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30"/>
        </w:tabs>
        <w:ind w:left="113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90"/>
        </w:tabs>
        <w:ind w:left="149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50"/>
        </w:tabs>
        <w:ind w:left="185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10"/>
        </w:tabs>
        <w:ind w:left="221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70"/>
        </w:tabs>
        <w:ind w:left="257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90"/>
        </w:tabs>
        <w:ind w:left="329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50"/>
        </w:tabs>
        <w:ind w:left="3650" w:hanging="360"/>
      </w:pPr>
      <w:rPr>
        <w:rFonts w:ascii="OpenSymbol" w:hAnsi="OpenSymbol" w:cs="OpenSymbol" w:hint="default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95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 w:qFormat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qFormat/>
    <w:rsid w:val="00ff3a3a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0011fc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ff3a3a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LHP" w:customStyle="1">
    <w:name w:val="LHP_Основной текст Знак"/>
    <w:basedOn w:val="DefaultParagraphFont"/>
    <w:link w:val="LHP1"/>
    <w:qFormat/>
    <w:rsid w:val="004900e4"/>
    <w:rPr>
      <w:sz w:val="26"/>
      <w:szCs w:val="24"/>
    </w:rPr>
  </w:style>
  <w:style w:type="character" w:styleId="ConsPlusNormal" w:customStyle="1">
    <w:name w:val="ConsPlusNormal Знак"/>
    <w:link w:val="ConsPlusNormal1"/>
    <w:qFormat/>
    <w:rsid w:val="00d331c1"/>
    <w:rPr>
      <w:rFonts w:ascii="Arial" w:hAnsi="Arial" w:cs="Arial"/>
    </w:rPr>
  </w:style>
  <w:style w:type="character" w:styleId="Style14">
    <w:name w:val="Ссылка указателя"/>
    <w:qFormat/>
    <w:rPr/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LineNumber">
    <w:name w:val="Line Number"/>
    <w:rPr/>
  </w:style>
  <w:style w:type="character" w:styleId="FollowedHyperlink">
    <w:name w:val="FollowedHyperlink"/>
    <w:rPr>
      <w:color w:val="800080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qFormat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7314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1" w:customStyle="1">
    <w:name w:val="ConsPlusNormal"/>
    <w:link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LHP1" w:customStyle="1">
    <w:name w:val="LHP_Основной текст"/>
    <w:link w:val="LHP"/>
    <w:qFormat/>
    <w:rsid w:val="004900e4"/>
    <w:pPr>
      <w:widowControl w:val="false"/>
      <w:suppressAutoHyphens w:val="true"/>
      <w:bidi w:val="0"/>
      <w:spacing w:lineRule="auto" w:line="360" w:before="0" w:after="0"/>
      <w:ind w:left="284" w:right="284" w:firstLine="851"/>
      <w:jc w:val="both"/>
    </w:pPr>
    <w:rPr>
      <w:rFonts w:ascii="Times New Roman" w:hAnsi="Times New Roman" w:eastAsia="Times New Roman" w:cs="Times New Roman"/>
      <w:color w:val="auto"/>
      <w:kern w:val="0"/>
      <w:sz w:val="26"/>
      <w:szCs w:val="24"/>
      <w:lang w:val="ru-RU" w:eastAsia="ru-RU" w:bidi="ar-SA"/>
    </w:rPr>
  </w:style>
  <w:style w:type="paragraph" w:styleId="Style34" w:customStyle="1">
    <w:name w:val="Содержимое таблицы"/>
    <w:basedOn w:val="Normal"/>
    <w:qFormat/>
    <w:rsid w:val="001b6213"/>
    <w:pPr>
      <w:widowControl w:val="false"/>
      <w:suppressLineNumbers/>
      <w:suppressAutoHyphens w:val="true"/>
    </w:pPr>
    <w:rPr/>
  </w:style>
  <w:style w:type="paragraph" w:styleId="LHP2" w:customStyle="1">
    <w:name w:val="LHP_Картинка"/>
    <w:basedOn w:val="LHP1"/>
    <w:qFormat/>
    <w:rsid w:val="001b6213"/>
    <w:pPr>
      <w:spacing w:before="360" w:after="360"/>
      <w:ind w:left="0" w:right="0" w:hanging="0"/>
      <w:jc w:val="center"/>
    </w:pPr>
    <w:rPr/>
  </w:style>
  <w:style w:type="paragraph" w:styleId="Dt-p" w:customStyle="1">
    <w:name w:val="dt-p"/>
    <w:basedOn w:val="Normal"/>
    <w:qFormat/>
    <w:rsid w:val="000011fc"/>
    <w:pPr>
      <w:suppressAutoHyphens w:val="true"/>
      <w:spacing w:before="280" w:after="280"/>
    </w:pPr>
    <w:rPr>
      <w:sz w:val="24"/>
      <w:szCs w:val="24"/>
    </w:rPr>
  </w:style>
  <w:style w:type="paragraph" w:styleId="ConsPlusNonformat" w:customStyle="1">
    <w:name w:val="ConsPlusNonformat"/>
    <w:basedOn w:val="Normal"/>
    <w:qFormat/>
    <w:rsid w:val="000011fc"/>
    <w:pPr>
      <w:suppressAutoHyphens w:val="true"/>
    </w:pPr>
    <w:rPr>
      <w:rFonts w:ascii="Courier New" w:hAnsi="Courier New" w:eastAsia="Calibri" w:cs="Courier New"/>
      <w:sz w:val="20"/>
      <w:szCs w:val="20"/>
    </w:rPr>
  </w:style>
  <w:style w:type="paragraph" w:styleId="Style35">
    <w:name w:val="Содержимое врезки"/>
    <w:basedOn w:val="Normal"/>
    <w:qFormat/>
    <w:pPr/>
    <w:rPr/>
  </w:style>
  <w:style w:type="paragraph" w:styleId="Style36">
    <w:name w:val="Заголовок таблицы"/>
    <w:basedOn w:val="Style3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4884182101">
    <w:name w:val="4884182101"/>
    <w:qFormat/>
  </w:style>
  <w:style w:type="numbering" w:styleId="24875781491">
    <w:name w:val="24875781491"/>
    <w:qFormat/>
  </w:style>
  <w:style w:type="numbering" w:styleId="16801024801">
    <w:name w:val="16801024801"/>
    <w:qFormat/>
  </w:style>
  <w:style w:type="numbering" w:styleId="2498609381">
    <w:name w:val="249860938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ozlovaES@lhp.ru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52A63-BF2F-4434-A83E-972F4ABD0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Application>AlterOffice/2025.3.0.0$Linux_X86_64 LibreOffice_project/4ba31b6a4271509a884f95065d0a726e9cb2bdbb</Application>
  <AppVersion>15.0000</AppVersion>
  <Pages>11</Pages>
  <Words>1868</Words>
  <Characters>13015</Characters>
  <CharactersWithSpaces>14636</CharactersWithSpaces>
  <Paragraphs>253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2026-08-03T10:15:00Z</dcterms:created>
  <dc:creator>Быстров Олег Геннадьевич</dc:creator>
  <dc:description/>
  <dc:language>ru-RU</dc:language>
  <cp:lastModifiedBy>kozlovaes</cp:lastModifiedBy>
  <cp:lastPrinted>2006-07-26T14:04:00Z</cp:lastPrinted>
  <dcterms:modified xsi:type="dcterms:W3CDTF">2026-08-07T15:21:45Z</dcterms:modified>
  <cp:revision>17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