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  <w:shd w:fill="auto" w:val="clear"/>
        </w:rPr>
        <w:t>ОКП</w:t>
      </w:r>
      <w:r>
        <w:rPr>
          <w:color w:val="000000"/>
          <w:szCs w:val="24"/>
          <w:shd w:fill="auto" w:val="clear"/>
        </w:rPr>
        <w:t>Д2 27.</w:t>
      </w:r>
      <w:r>
        <w:rPr>
          <w:color w:val="000000"/>
          <w:szCs w:val="24"/>
          <w:shd w:fill="auto" w:val="clear"/>
        </w:rPr>
        <w:t>11.2</w:t>
      </w:r>
      <w:r>
        <w:rPr>
          <w:color w:val="000000"/>
          <w:szCs w:val="24"/>
          <w:shd w:fill="auto" w:val="clear"/>
        </w:rPr>
        <w:t xml:space="preserve"> </w:t>
      </w:r>
      <w:r>
        <w:rPr>
          <w:szCs w:val="24"/>
          <w:shd w:fill="auto" w:val="clear"/>
        </w:rPr>
        <w:t xml:space="preserve"> </w:t>
      </w:r>
      <w:r>
        <w:rPr>
          <w:b w:val="false"/>
          <w:bCs w:val="false"/>
          <w:sz w:val="24"/>
          <w:szCs w:val="24"/>
          <w:lang w:eastAsia="en-US"/>
        </w:rPr>
        <w:t>на поставку электродвигателя А250S2</w:t>
      </w:r>
      <w:r>
        <w:rPr>
          <w:szCs w:val="24"/>
        </w:rPr>
        <w:t xml:space="preserve"> для выполнения строительно-монтажных работ на Нижегородской ГЭС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highlight w:val="none"/>
          <w:shd w:fill="FFFF00" w:val="clear"/>
        </w:rPr>
      </w:pPr>
      <w:r>
        <w:rPr>
          <w:b w:val="false"/>
          <w:bCs w:val="false"/>
          <w:sz w:val="24"/>
          <w:szCs w:val="24"/>
          <w:shd w:fill="FFFF00" w:val="clear"/>
        </w:rPr>
        <w:t>(Лот №)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Cs w:val="24"/>
        </w:rPr>
      </w:pPr>
      <w:r>
        <w:rPr>
          <w:rFonts w:eastAsia="Calibri"/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>
          <w:lang w:val="ru-RU"/>
        </w:rPr>
        <w:t xml:space="preserve">    </w:t>
      </w: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0" w:name="_Toc46743506"/>
      <w:bookmarkStart w:id="1" w:name="_Toc75446568"/>
      <w:r>
        <w:rPr/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left"/>
        <w:outlineLvl w:val="0"/>
        <w:rPr>
          <w:szCs w:val="24"/>
        </w:rPr>
      </w:pPr>
      <w:r>
        <w:rPr>
          <w:szCs w:val="24"/>
        </w:rPr>
        <w:tab/>
      </w:r>
      <w:r>
        <w:rPr>
          <w:szCs w:val="24"/>
          <w:shd w:fill="auto" w:val="clear"/>
        </w:rPr>
        <w:t>ОКП</w:t>
      </w:r>
      <w:r>
        <w:rPr>
          <w:color w:val="000000"/>
          <w:szCs w:val="24"/>
          <w:shd w:fill="auto" w:val="clear"/>
        </w:rPr>
        <w:t>Д2 27.</w:t>
      </w:r>
      <w:r>
        <w:rPr>
          <w:color w:val="000000"/>
          <w:szCs w:val="24"/>
          <w:shd w:fill="auto" w:val="clear"/>
        </w:rPr>
        <w:t>11.2</w:t>
      </w:r>
      <w:r>
        <w:rPr>
          <w:color w:val="000000"/>
          <w:szCs w:val="24"/>
          <w:shd w:fill="auto" w:val="clear"/>
        </w:rPr>
        <w:t xml:space="preserve"> </w:t>
      </w:r>
      <w:r>
        <w:rPr>
          <w:color w:val="auto"/>
          <w:szCs w:val="24"/>
        </w:rPr>
        <w:t>П</w:t>
      </w:r>
      <w:r>
        <w:rPr>
          <w:b w:val="false"/>
          <w:bCs w:val="false"/>
          <w:color w:val="auto"/>
          <w:sz w:val="24"/>
          <w:szCs w:val="24"/>
          <w:lang w:eastAsia="en-US"/>
        </w:rPr>
        <w:t>оставка электродвигателя А250S2</w:t>
      </w:r>
      <w:r>
        <w:rPr>
          <w:color w:val="auto"/>
          <w:szCs w:val="24"/>
        </w:rPr>
        <w:t xml:space="preserve"> для выполнения строительно-монтажных работ на Нижегородской ГЭС</w:t>
      </w:r>
      <w:r>
        <w:rPr>
          <w:szCs w:val="24"/>
        </w:rPr>
        <w:t xml:space="preserve"> (далее продукция).</w:t>
      </w:r>
      <w:bookmarkStart w:id="2" w:name="_Toc75446569"/>
    </w:p>
    <w:p>
      <w:pPr>
        <w:pStyle w:val="Normal"/>
        <w:rPr/>
      </w:pPr>
      <w:r>
        <w:rPr/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ind w:firstLine="432"/>
        <w:jc w:val="both"/>
        <w:rPr>
          <w:rFonts w:eastAsia="Times New Roman" w:cs="Times New Roman"/>
          <w:bCs/>
          <w:szCs w:val="24"/>
          <w:shd w:fill="FFFFFF" w:val="clear"/>
          <w:lang w:eastAsia="ru-RU"/>
        </w:rPr>
      </w:pPr>
      <w:r>
        <w:rPr>
          <w:rFonts w:eastAsia="Times New Roman" w:cs="Times New Roman"/>
          <w:bCs/>
          <w:szCs w:val="24"/>
          <w:shd w:fill="FFFFFF" w:val="clear"/>
          <w:lang w:eastAsia="ru-RU"/>
        </w:rPr>
        <w:tab/>
        <w:t>Исполнение доходных договоров:</w:t>
      </w:r>
    </w:p>
    <w:p>
      <w:pPr>
        <w:pStyle w:val="Normal"/>
        <w:ind w:firstLine="432"/>
        <w:jc w:val="both"/>
        <w:rPr>
          <w:szCs w:val="24"/>
        </w:rPr>
      </w:pPr>
      <w:r>
        <w:rPr>
          <w:szCs w:val="24"/>
        </w:rPr>
        <w:t xml:space="preserve">- №1240-129-2021 от 12.07.2021 «Строительно-монтажные и пусконаладочные работы по замене гидроагрегата ст.№1,4,7» для нужд филиала ПАО «РусГидро»-«Нижегородская ГЭС» </w:t>
      </w:r>
      <w:r>
        <w:rPr>
          <w:rFonts w:eastAsia="Times New Roman" w:cs="Times New Roman"/>
          <w:bCs/>
          <w:szCs w:val="24"/>
          <w:shd w:fill="FFFFFF" w:val="clear"/>
          <w:lang w:eastAsia="ru-RU"/>
        </w:rPr>
        <w:t>(заключенный между ПАО «РусГидро» и АО «Гидроремонт-ВКК»)</w:t>
      </w:r>
      <w:r>
        <w:rPr>
          <w:rStyle w:val="Style"/>
          <w:b w:val="false"/>
          <w:bCs/>
          <w:i w:val="false"/>
          <w:szCs w:val="24"/>
          <w:shd w:fill="FFFFFF" w:val="clear"/>
        </w:rPr>
        <w:t>.</w:t>
      </w:r>
    </w:p>
    <w:p>
      <w:pPr>
        <w:pStyle w:val="Normal"/>
        <w:ind w:firstLine="432"/>
        <w:jc w:val="both"/>
        <w:rPr>
          <w:szCs w:val="24"/>
        </w:rPr>
      </w:pPr>
      <w:r>
        <w:rPr>
          <w:szCs w:val="24"/>
        </w:rPr>
      </w:r>
    </w:p>
    <w:p>
      <w:pPr>
        <w:pStyle w:val="Heading1"/>
        <w:numPr>
          <w:ilvl w:val="0"/>
          <w:numId w:val="1"/>
        </w:numPr>
        <w:ind w:left="0" w:firstLine="709"/>
        <w:rPr>
          <w:caps/>
          <w:lang w:val="ru-RU"/>
        </w:rPr>
      </w:pPr>
      <w:bookmarkStart w:id="4" w:name="_Toc51339693"/>
      <w:bookmarkStart w:id="5" w:name="_Toc75446573"/>
      <w:r>
        <w:rPr/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1"/>
        </w:numPr>
        <w:ind w:left="0" w:firstLine="709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jc w:val="both"/>
        <w:rPr>
          <w:szCs w:val="24"/>
        </w:rPr>
      </w:pPr>
      <w:bookmarkStart w:id="8" w:name="_Toc75446576"/>
      <w:bookmarkStart w:id="9" w:name="_Toc51339695"/>
      <w:r>
        <w:rPr>
          <w:szCs w:val="24"/>
        </w:rPr>
        <w:t xml:space="preserve">Таблица 2.1 Перечень </w:t>
      </w:r>
      <w:bookmarkEnd w:id="9"/>
      <w:r>
        <w:rPr>
          <w:szCs w:val="24"/>
        </w:rPr>
        <w:t>и объем закупаемой продукци</w:t>
      </w:r>
      <w:bookmarkEnd w:id="8"/>
      <w:r>
        <w:rPr>
          <w:szCs w:val="24"/>
        </w:rPr>
        <w:t>и</w:t>
      </w:r>
    </w:p>
    <w:tbl>
      <w:tblPr>
        <w:tblStyle w:val="affffd"/>
        <w:tblW w:w="948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74"/>
        <w:gridCol w:w="6076"/>
        <w:gridCol w:w="1306"/>
        <w:gridCol w:w="1423"/>
      </w:tblGrid>
      <w:tr>
        <w:trPr>
          <w:trHeight w:val="567" w:hRule="atLeast"/>
        </w:trPr>
        <w:tc>
          <w:tcPr>
            <w:tcW w:w="67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60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130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Единица измерения</w:t>
            </w:r>
          </w:p>
        </w:tc>
        <w:tc>
          <w:tcPr>
            <w:tcW w:w="142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Количество</w:t>
            </w:r>
          </w:p>
        </w:tc>
      </w:tr>
      <w:tr>
        <w:trPr>
          <w:trHeight w:val="221" w:hRule="atLeast"/>
        </w:trPr>
        <w:tc>
          <w:tcPr>
            <w:tcW w:w="674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6076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06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423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</w:tr>
      <w:tr>
        <w:trPr>
          <w:trHeight w:val="400" w:hRule="atLeast"/>
        </w:trPr>
        <w:tc>
          <w:tcPr>
            <w:tcW w:w="6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0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left"/>
              <w:outlineLvl w:val="0"/>
              <w:rPr>
                <w:szCs w:val="24"/>
              </w:rPr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Электродвигатель А250S2</w:t>
            </w:r>
          </w:p>
        </w:tc>
        <w:tc>
          <w:tcPr>
            <w:tcW w:w="1306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"/>
                <w:iCs/>
                <w:color w:val="000000"/>
                <w:spacing w:val="-4"/>
                <w:kern w:val="0"/>
                <w:sz w:val="24"/>
                <w:szCs w:val="24"/>
                <w:lang w:val="ru-RU" w:eastAsia="en-US" w:bidi="ar-SA"/>
              </w:rPr>
              <w:t>шт</w:t>
            </w:r>
          </w:p>
        </w:tc>
        <w:tc>
          <w:tcPr>
            <w:tcW w:w="1423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Heading3"/>
        <w:numPr>
          <w:ilvl w:val="2"/>
          <w:numId w:val="1"/>
        </w:numPr>
        <w:ind w:left="0" w:firstLine="709"/>
        <w:rPr>
          <w:color w:val="auto"/>
        </w:rPr>
      </w:pPr>
      <w:r>
        <w:rPr>
          <w:color w:val="auto"/>
        </w:rPr>
        <w:t xml:space="preserve">Требования к срокам поставки продукции </w:t>
      </w:r>
    </w:p>
    <w:p>
      <w:pPr>
        <w:pStyle w:val="Normal"/>
        <w:rPr>
          <w:color w:val="auto"/>
        </w:rPr>
      </w:pPr>
      <w:bookmarkStart w:id="10" w:name="_Toc75446579"/>
      <w:bookmarkStart w:id="11" w:name="_Toc51339697"/>
      <w:bookmarkStart w:id="12" w:name="_Toc50125127"/>
      <w:r>
        <w:rPr>
          <w:rFonts w:eastAsia="Calibri"/>
          <w:color w:val="auto"/>
          <w:szCs w:val="24"/>
          <w:lang w:eastAsia="x-none"/>
        </w:rPr>
        <w:t xml:space="preserve">Таблица 2.2 </w:t>
      </w:r>
      <w:bookmarkStart w:id="13" w:name="_Hlk50465284"/>
      <w:r>
        <w:rPr>
          <w:rFonts w:eastAsia="Calibri"/>
          <w:color w:val="auto"/>
          <w:szCs w:val="24"/>
          <w:lang w:eastAsia="x-none"/>
        </w:rPr>
        <w:t xml:space="preserve">Требования по срокам </w:t>
      </w:r>
      <w:bookmarkEnd w:id="11"/>
      <w:bookmarkEnd w:id="12"/>
      <w:bookmarkEnd w:id="13"/>
      <w:r>
        <w:rPr>
          <w:rFonts w:eastAsia="Calibri"/>
          <w:color w:val="auto"/>
          <w:szCs w:val="24"/>
          <w:lang w:eastAsia="x-none"/>
        </w:rPr>
        <w:t>поставки продукции</w:t>
      </w:r>
      <w:bookmarkEnd w:id="10"/>
      <w:r>
        <w:rPr>
          <w:rFonts w:eastAsia="Calibri"/>
          <w:color w:val="auto"/>
          <w:szCs w:val="24"/>
          <w:lang w:eastAsia="x-none"/>
        </w:rPr>
        <w:t xml:space="preserve"> </w:t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2"/>
        <w:gridCol w:w="3746"/>
        <w:gridCol w:w="2210"/>
        <w:gridCol w:w="2835"/>
      </w:tblGrid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 xml:space="preserve">№ </w:t>
            </w:r>
            <w:r>
              <w:rPr>
                <w:color w:val="auto"/>
                <w:szCs w:val="24"/>
              </w:rPr>
              <w:t>п/п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Наименование продукции / партии продукции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</w:tr>
      <w:tr>
        <w:trPr/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  <w:t>1.1.</w:t>
            </w:r>
          </w:p>
        </w:tc>
        <w:tc>
          <w:tcPr>
            <w:tcW w:w="3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left"/>
              <w:outlineLvl w:val="0"/>
              <w:rPr>
                <w:szCs w:val="24"/>
              </w:rPr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Электродвигатель А250S2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Cs w:val="24"/>
              </w:rPr>
              <w:t>С даты подписания договора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auto"/>
                <w:szCs w:val="24"/>
              </w:rPr>
              <w:t xml:space="preserve">В течение </w:t>
            </w:r>
            <w:r>
              <w:rPr>
                <w:color w:val="000000"/>
                <w:szCs w:val="24"/>
                <w:shd w:fill="FFFF00" w:val="clear"/>
              </w:rPr>
              <w:t>40</w:t>
            </w:r>
            <w:r>
              <w:rPr>
                <w:color w:val="auto"/>
                <w:szCs w:val="24"/>
              </w:rPr>
              <w:t xml:space="preserve"> 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rFonts w:eastAsia="Calibri"/>
          <w:szCs w:val="24"/>
          <w:lang w:eastAsia="x-none"/>
        </w:rPr>
      </w:pPr>
      <w:bookmarkStart w:id="14" w:name="_Toc75446582"/>
      <w:r>
        <w:rPr>
          <w:rFonts w:eastAsia="Calibri"/>
          <w:szCs w:val="24"/>
          <w:lang w:eastAsia="x-none"/>
        </w:rPr>
        <w:t xml:space="preserve">          </w:t>
      </w:r>
      <w:r>
        <w:rPr>
          <w:rFonts w:eastAsia="Calibri"/>
          <w:szCs w:val="24"/>
          <w:lang w:eastAsia="x-none"/>
        </w:rPr>
        <w:t>Таблица 2.3. Требования к продукции</w:t>
      </w:r>
      <w:bookmarkEnd w:id="14"/>
    </w:p>
    <w:tbl>
      <w:tblPr>
        <w:tblW w:w="1524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39"/>
        <w:gridCol w:w="4311"/>
        <w:gridCol w:w="2375"/>
        <w:gridCol w:w="1911"/>
        <w:gridCol w:w="1758"/>
        <w:gridCol w:w="2293"/>
        <w:gridCol w:w="1856"/>
      </w:tblGrid>
      <w:tr>
        <w:trPr>
          <w:trHeight w:val="20" w:hRule="atLeast"/>
        </w:trPr>
        <w:tc>
          <w:tcPr>
            <w:tcW w:w="152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Cs w:val="24"/>
              </w:rPr>
              <w:t>Наименование продукции (позиции № 1.1. Таблицы 2.1):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left"/>
              <w:outlineLvl w:val="0"/>
              <w:rPr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П</w:t>
            </w:r>
            <w:r>
              <w:rPr>
                <w:b/>
                <w:bCs/>
                <w:color w:val="auto"/>
                <w:sz w:val="24"/>
                <w:szCs w:val="24"/>
                <w:lang w:eastAsia="en-US"/>
              </w:rPr>
              <w:t>оставка электродвигателя А250S2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 для выполнения строительно-монтажных работ на Нижегородской ГЭС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(далее продукция)</w:t>
            </w:r>
          </w:p>
        </w:tc>
      </w:tr>
      <w:tr>
        <w:trPr>
          <w:trHeight w:val="20" w:hRule="atLeast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4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Наименование продукции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Соответствие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стандартам</w:t>
            </w:r>
          </w:p>
        </w:tc>
        <w:tc>
          <w:tcPr>
            <w:tcW w:w="41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Calibri"/>
                <w:szCs w:val="24"/>
                <w:lang w:eastAsia="ar-SA"/>
              </w:rPr>
            </w:pPr>
            <w:r>
              <w:rPr>
                <w:b/>
                <w:bCs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0" w:hRule="atLeast"/>
        </w:trPr>
        <w:tc>
          <w:tcPr>
            <w:tcW w:w="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4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3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0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4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5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6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rFonts w:eastAsia="DotumChe"/>
                <w:b/>
                <w:szCs w:val="24"/>
              </w:rPr>
              <w:t>7</w:t>
            </w:r>
          </w:p>
        </w:tc>
      </w:tr>
      <w:tr>
        <w:trPr>
          <w:trHeight w:val="20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14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Cs w:val="24"/>
              </w:rPr>
            </w:pPr>
            <w:r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71" w:hRule="atLeast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/>
              <w:t>1.1.</w:t>
            </w:r>
          </w:p>
        </w:tc>
        <w:tc>
          <w:tcPr>
            <w:tcW w:w="43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left"/>
              <w:outlineLvl w:val="0"/>
              <w:rPr>
                <w:szCs w:val="24"/>
              </w:rPr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Электродвигатель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Calibri" w:cs="Times New Roman"/>
                <w:color w:val="auto"/>
                <w:szCs w:val="24"/>
                <w:lang w:eastAsia="ru-RU"/>
              </w:rPr>
              <w:t>Маркировка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left"/>
              <w:outlineLvl w:val="0"/>
              <w:rPr>
                <w:szCs w:val="24"/>
              </w:rPr>
            </w:pPr>
            <w:r>
              <w:rPr>
                <w:rFonts w:eastAsia="Calibri" w:cs="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А250S2БУЗ</w:t>
            </w: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rFonts w:eastAsia="Calibri" w:cs="Times New Roman"/>
                <w:color w:val="auto"/>
                <w:szCs w:val="24"/>
                <w:lang w:eastAsia="ru-RU"/>
              </w:rPr>
              <w:t>-</w:t>
            </w:r>
          </w:p>
        </w:tc>
        <w:tc>
          <w:tcPr>
            <w:tcW w:w="2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85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>
        <w:trPr>
          <w:trHeight w:val="235" w:hRule="atLeast"/>
        </w:trPr>
        <w:tc>
          <w:tcPr>
            <w:tcW w:w="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АО «ЭЛДИН»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</w:rPr>
            </w:r>
          </w:p>
        </w:tc>
        <w:tc>
          <w:tcPr>
            <w:tcW w:w="22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56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5" w:hRule="atLeast"/>
        </w:trPr>
        <w:tc>
          <w:tcPr>
            <w:tcW w:w="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auto"/>
                <w:szCs w:val="24"/>
              </w:rPr>
              <w:t>Мощность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75 кВт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2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6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7" w:hRule="atLeast"/>
        </w:trPr>
        <w:tc>
          <w:tcPr>
            <w:tcW w:w="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Частота вращения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3000 об/мин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2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6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7" w:hRule="atLeast"/>
        </w:trPr>
        <w:tc>
          <w:tcPr>
            <w:tcW w:w="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Напряжение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/>
              <w:t>380/660 В</w:t>
            </w:r>
          </w:p>
        </w:tc>
        <w:tc>
          <w:tcPr>
            <w:tcW w:w="17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2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6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7" w:hRule="atLeast"/>
        </w:trPr>
        <w:tc>
          <w:tcPr>
            <w:tcW w:w="7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43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Степень защиты от попадания пыли и водяных брызг</w:t>
            </w:r>
          </w:p>
        </w:tc>
        <w:tc>
          <w:tcPr>
            <w:tcW w:w="19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/>
              <w:t>IP 65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2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56" w:type="dxa"/>
            <w:vMerge w:val="continue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2.</w:t>
            </w:r>
          </w:p>
        </w:tc>
        <w:tc>
          <w:tcPr>
            <w:tcW w:w="1035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2.1.</w:t>
            </w: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Место поставки</w:t>
            </w:r>
          </w:p>
        </w:tc>
        <w:tc>
          <w:tcPr>
            <w:tcW w:w="60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bidi w:val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606520, Российская Федерация, Нижегородская область, г. Заволжье, ул. Привокзальная, д. 14</w:t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Приемка продукции</w:t>
            </w:r>
          </w:p>
        </w:tc>
        <w:tc>
          <w:tcPr>
            <w:tcW w:w="604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Осуществляется только в рабочие дни с 9-00 до 11-00 и с 13-00 до 16-00.</w:t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103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ru-RU"/>
              </w:rPr>
              <w:t xml:space="preserve"> по тел. 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shd w:fill="FFFF00" w:val="clear"/>
                <w:lang w:eastAsia="ru-RU"/>
              </w:rPr>
              <w:t>8-920-015-83-43</w:t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3.</w:t>
            </w:r>
          </w:p>
        </w:tc>
        <w:tc>
          <w:tcPr>
            <w:tcW w:w="859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3.1.</w:t>
            </w: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Сроки гарантии</w:t>
            </w:r>
          </w:p>
        </w:tc>
        <w:tc>
          <w:tcPr>
            <w:tcW w:w="4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Не менее 12 месяцев с даты подписания сторонами ТОРГ-12 (УПД)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4.</w:t>
            </w:r>
          </w:p>
        </w:tc>
        <w:tc>
          <w:tcPr>
            <w:tcW w:w="859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4.1.</w:t>
            </w:r>
          </w:p>
        </w:tc>
        <w:tc>
          <w:tcPr>
            <w:tcW w:w="4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i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428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x-none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товарную накладную унифицированной формы ТОРГ-12(УПД) в 2 экз., транспортную накладную.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lang w:val="ru-RU" w:bidi="ar-SA"/>
              </w:rPr>
            </w:pPr>
            <w:r>
              <w:rPr>
                <w:rFonts w:eastAsia="Times New Roman" w:cs="Times New Roman"/>
                <w:i/>
                <w:iCs/>
                <w:spacing w:val="-4"/>
                <w:kern w:val="0"/>
                <w:sz w:val="24"/>
                <w:szCs w:val="24"/>
                <w:lang w:val="ru-RU" w:eastAsia="en-US" w:bidi="ar-SA"/>
              </w:rPr>
              <w:t>При поставке продукция должна быть укомплектована документами на русском языке, удостоверяющими качество продукции и гарантийные обязательства производителя, выданными производителем продукции.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lang w:val="ru-RU" w:bidi="ar-SA"/>
              </w:rPr>
            </w:pPr>
            <w:r>
              <w:rPr>
                <w:rFonts w:eastAsia="Times New Roman" w:cs="Times New Roman"/>
                <w:i/>
                <w:iCs/>
                <w:spacing w:val="-4"/>
                <w:kern w:val="0"/>
                <w:sz w:val="24"/>
                <w:szCs w:val="24"/>
                <w:lang w:val="ru-RU" w:eastAsia="en-US" w:bidi="ar-SA"/>
              </w:rPr>
              <w:t>Предоставляется при поставке продукции: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720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lang w:val="ru-RU" w:bidi="ar-SA"/>
              </w:rPr>
            </w:pPr>
            <w:r>
              <w:rPr>
                <w:rFonts w:eastAsia="Times New Roman" w:cs="Times New Roman"/>
                <w:i/>
                <w:iCs/>
                <w:spacing w:val="-4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spacing w:val="-4"/>
                <w:kern w:val="0"/>
                <w:sz w:val="24"/>
                <w:szCs w:val="24"/>
                <w:lang w:val="ru-RU" w:eastAsia="en-US" w:bidi="ar-SA"/>
              </w:rPr>
              <w:t>- Паспорт и руководство (инструкция) по эксплуатации на русском языке;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lang w:val="ru-RU" w:bidi="ar-SA"/>
              </w:rPr>
            </w:pPr>
            <w:r>
              <w:rPr>
                <w:rFonts w:eastAsia="Times New Roman" w:cs="Times New Roman"/>
                <w:i/>
                <w:iCs/>
                <w:spacing w:val="-4"/>
                <w:kern w:val="0"/>
                <w:sz w:val="24"/>
                <w:szCs w:val="24"/>
                <w:lang w:val="ru-RU" w:eastAsia="en-US" w:bidi="ar-SA"/>
              </w:rPr>
              <w:t>- Сертификат или декларация соответствия согласно ТР ТС 004/2011 О безопасности низковольтного оборудования»;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/>
                <w:i/>
                <w:iCs/>
                <w:kern w:val="0"/>
                <w:lang w:val="ru-RU" w:bidi="ar-SA"/>
              </w:rPr>
            </w:pPr>
            <w:r>
              <w:rPr>
                <w:rFonts w:eastAsia="Times New Roman" w:cs="Times New Roman"/>
                <w:i/>
                <w:iCs/>
                <w:spacing w:val="-4"/>
                <w:kern w:val="0"/>
                <w:sz w:val="24"/>
                <w:szCs w:val="24"/>
                <w:lang w:val="ru-RU" w:eastAsia="en-US" w:bidi="ar-SA"/>
              </w:rPr>
              <w:t>- Сертификат или декларация соответствия согласно ТР ТС 020/2011 «Электромагнитная совместимость технических средств».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5.</w:t>
            </w:r>
          </w:p>
        </w:tc>
        <w:tc>
          <w:tcPr>
            <w:tcW w:w="8597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Cs w:val="24"/>
                <w:lang w:eastAsia="ru-RU"/>
              </w:rPr>
              <w:t>Прочие (дополнительные) требования к продукции</w:t>
            </w:r>
          </w:p>
        </w:tc>
        <w:tc>
          <w:tcPr>
            <w:tcW w:w="1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60" w:after="6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5.1.</w:t>
            </w:r>
          </w:p>
        </w:tc>
        <w:tc>
          <w:tcPr>
            <w:tcW w:w="103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iCs w:val="false"/>
                <w:sz w:val="22"/>
                <w:szCs w:val="22"/>
                <w:shd w:fill="auto" w:val="clear"/>
                <w:lang w:eastAsia="x-none"/>
              </w:rPr>
              <w:t>Продукция должна быть новой, ранее не использовавшейся.</w:t>
            </w:r>
          </w:p>
          <w:p>
            <w:pPr>
              <w:pStyle w:val="Normal"/>
              <w:widowControl w:val="false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Style w:val="Style"/>
                <w:rFonts w:eastAsia="Times New Roman" w:cs="Times New Roman"/>
                <w:b w:val="false"/>
                <w:bCs/>
                <w:i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x-none" w:bidi="ar-SA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22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1856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6.</w:t>
            </w:r>
          </w:p>
        </w:tc>
        <w:tc>
          <w:tcPr>
            <w:tcW w:w="1450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Требования к рабочей документации и чертежам</w:t>
            </w:r>
          </w:p>
        </w:tc>
      </w:tr>
      <w:tr>
        <w:trPr>
          <w:trHeight w:val="278" w:hRule="atLeast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6.1</w:t>
            </w:r>
          </w:p>
        </w:tc>
        <w:tc>
          <w:tcPr>
            <w:tcW w:w="1450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Рабочая документация и чертежи предоставляются по официальному запросу через секретаря закупочной комиссии.</w:t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426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numPr>
          <w:ilvl w:val="0"/>
          <w:numId w:val="1"/>
        </w:numPr>
        <w:tabs>
          <w:tab w:val="clear" w:pos="709"/>
          <w:tab w:val="left" w:pos="0" w:leader="none"/>
        </w:tabs>
        <w:spacing w:before="120" w:after="60"/>
        <w:ind w:left="357" w:hanging="357"/>
        <w:jc w:val="center"/>
        <w:rPr>
          <w:lang w:val="ru-RU"/>
        </w:rPr>
      </w:pPr>
      <w:bookmarkStart w:id="15" w:name="_Toc46743519"/>
      <w:bookmarkStart w:id="16" w:name="_Toc51339699"/>
      <w:bookmarkStart w:id="17" w:name="_Toc75446583"/>
      <w:bookmarkStart w:id="18" w:name="_Toc53393312"/>
      <w:r>
        <w:rPr>
          <w:lang w:val="ru-RU"/>
        </w:rPr>
        <w:t>Требования к документации по ценообразованию</w:t>
      </w:r>
      <w:bookmarkEnd w:id="18"/>
      <w:r>
        <w:rPr>
          <w:lang w:val="ru-RU"/>
        </w:rPr>
        <w:t xml:space="preserve"> на этапе закупки</w:t>
      </w:r>
      <w:bookmarkEnd w:id="17"/>
    </w:p>
    <w:p>
      <w:pPr>
        <w:pStyle w:val="Normal"/>
        <w:numPr>
          <w:ilvl w:val="1"/>
          <w:numId w:val="10"/>
        </w:numPr>
        <w:ind w:left="0" w:hanging="0"/>
        <w:jc w:val="both"/>
        <w:rPr>
          <w:rFonts w:eastAsia="Times New Roman" w:cs="Times New Roman"/>
          <w:i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19" w:name="_Hlk88325985"/>
      <w:r>
        <w:rPr>
          <w:rFonts w:eastAsia="Times New Roman" w:cs="Times New Roman"/>
          <w:i/>
          <w:szCs w:val="24"/>
          <w:lang w:eastAsia="ru-RU"/>
        </w:rPr>
        <w:t>(с учетом прилагаемой к ней инструкции по заполнению)</w:t>
      </w:r>
      <w:bookmarkEnd w:id="19"/>
      <w:r>
        <w:rPr>
          <w:rFonts w:eastAsia="Times New Roman" w:cs="Times New Roman"/>
          <w:i/>
          <w:szCs w:val="24"/>
          <w:lang w:eastAsia="ru-RU"/>
        </w:rPr>
        <w:t>, приведенной в Документации о закупке.</w:t>
      </w:r>
    </w:p>
    <w:p>
      <w:pPr>
        <w:pStyle w:val="Normal"/>
        <w:numPr>
          <w:ilvl w:val="1"/>
          <w:numId w:val="11"/>
        </w:numPr>
        <w:ind w:left="0" w:hanging="0"/>
        <w:jc w:val="both"/>
        <w:rPr>
          <w:rFonts w:eastAsia="Times New Roman" w:cs="Times New Roman"/>
          <w:i/>
          <w:i/>
          <w:szCs w:val="24"/>
          <w:lang w:eastAsia="ru-RU"/>
        </w:rPr>
      </w:pPr>
      <w:bookmarkStart w:id="20" w:name="_Hlk88327292"/>
      <w:r>
        <w:rPr>
          <w:rFonts w:eastAsia="Times New Roman" w:cs="Times New Roman"/>
          <w:i/>
          <w:szCs w:val="24"/>
          <w:lang w:eastAsia="ru-RU"/>
        </w:rPr>
        <w:t>Дополнительные документы по ценообразованию</w:t>
      </w:r>
      <w:bookmarkEnd w:id="20"/>
      <w:r>
        <w:rPr>
          <w:rFonts w:eastAsia="Times New Roman" w:cs="Times New Roman"/>
          <w:i/>
          <w:szCs w:val="24"/>
          <w:lang w:eastAsia="ru-RU"/>
        </w:rPr>
        <w:t xml:space="preserve"> в состав заявки не включаются.</w:t>
      </w:r>
      <w:bookmarkEnd w:id="15"/>
      <w:bookmarkEnd w:id="16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</w:t>
        <w:tab/>
        <w:t>Приложения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</w:rPr>
        <w:t>1. Приложение № 1: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</w:rPr>
        <w:t>- 027-014-1-ЭО3 «Рабочая документация. Гидроагрегат №</w:t>
      </w:r>
      <w:bookmarkStart w:id="21" w:name="_GoBack"/>
      <w:bookmarkEnd w:id="21"/>
      <w:r>
        <w:rPr>
          <w:sz w:val="24"/>
        </w:rPr>
        <w:t xml:space="preserve">7. Дополнительная защита системы возбуждения» </w:t>
      </w:r>
    </w:p>
    <w:p>
      <w:pPr>
        <w:pStyle w:val="Normal"/>
        <w:spacing w:lineRule="auto" w:line="360"/>
        <w:jc w:val="both"/>
        <w:rPr>
          <w:color w:val="C9211E"/>
        </w:rPr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91397422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2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799906725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4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97167132"/>
    </w:sdtPr>
    <w:sdtContent>
      <w:p>
        <w:pPr>
          <w:pStyle w:val="Foot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PAGE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  <w:r>
          <w:rPr>
            <w:sz w:val="24"/>
            <w:szCs w:val="24"/>
          </w:rP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sz w:val="24"/>
            <w:b/>
            <w:szCs w:val="24"/>
            <w:bCs/>
          </w:rPr>
          <w:instrText xml:space="preserve"> NUMPAGES </w:instrText>
        </w:r>
        <w:r>
          <w:rPr>
            <w:sz w:val="24"/>
            <w:b/>
            <w:szCs w:val="24"/>
            <w:bCs/>
          </w:rPr>
          <w:fldChar w:fldCharType="separate"/>
        </w:r>
        <w:r>
          <w:rPr>
            <w:sz w:val="24"/>
            <w:b/>
            <w:szCs w:val="24"/>
            <w:bCs/>
          </w:rPr>
          <w:t>5</w:t>
        </w:r>
        <w:r>
          <w:rPr>
            <w:sz w:val="24"/>
            <w:b/>
            <w:szCs w:val="24"/>
            <w:bCs/>
          </w:rPr>
          <w:fldChar w:fldCharType="end"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7"/>
    <w:lvlOverride w:ilvl="0">
      <w:startOverride w:val="3"/>
    </w:lvlOverride>
    <w:lvlOverride w:ilvl="1">
      <w:startOverride w:val="1"/>
    </w:lvlOverride>
  </w:num>
  <w:num w:numId="11">
    <w:abstractNumId w:val="7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uiPriority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3b1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rsid w:val="009c3b1a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cd6e45"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6c2ba4"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9c3b1a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cd6e45"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cd6e45"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cd6e45"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cd6e45"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9c3b1a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6c2ba4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9c3b1a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sid w:val="009c3b1a"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sid w:val="00cd6e45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cd6e45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cd6e45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cd6e45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cd6e45"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cd6e45"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sid w:val="00cd6e4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uiPriority w:val="99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cd6e45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cd6e4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sid w:val="00cd6e45"/>
    <w:rPr/>
  </w:style>
  <w:style w:type="character" w:styleId="Hyperlink" w:customStyle="1">
    <w:name w:val="Hyperlink"/>
    <w:rsid w:val="00cd6e45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semiHidden/>
    <w:qFormat/>
    <w:rsid w:val="00cd6e45"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sid w:val="00cd6e45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sid w:val="00cd6e45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">
    <w:name w:val="Strong"/>
    <w:uiPriority w:val="22"/>
    <w:qFormat/>
    <w:rsid w:val="00cd6e45"/>
    <w:rPr>
      <w:b/>
      <w:bCs/>
    </w:rPr>
  </w:style>
  <w:style w:type="character" w:styleId="Style10" w:customStyle="1">
    <w:name w:val="Название Знак"/>
    <w:link w:val="15"/>
    <w:uiPriority w:val="10"/>
    <w:qFormat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uiPriority w:val="11"/>
    <w:qFormat/>
    <w:rsid w:val="00cd6e45"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cd6e45"/>
    <w:rPr>
      <w:i/>
      <w:iCs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cd6e45"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uiPriority w:val="30"/>
    <w:qFormat/>
    <w:rsid w:val="00cd6e45"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uiPriority w:val="19"/>
    <w:qFormat/>
    <w:rsid w:val="00cd6e45"/>
    <w:rPr>
      <w:i/>
      <w:iCs/>
      <w:color w:val="808080"/>
    </w:rPr>
  </w:style>
  <w:style w:type="character" w:styleId="IntenseEmphasis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cd6e45"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uiPriority w:val="99"/>
    <w:qFormat/>
    <w:rsid w:val="00cd6e45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26"/>
    <w:qFormat/>
    <w:locked/>
    <w:rsid w:val="00cd6e45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sid w:val="00cd6e45"/>
    <w:rPr/>
  </w:style>
  <w:style w:type="character" w:styleId="Style14" w:customStyle="1">
    <w:name w:val="Абзац списка Знак"/>
    <w:link w:val="ListParagraph"/>
    <w:uiPriority w:val="34"/>
    <w:qFormat/>
    <w:locked/>
    <w:rsid w:val="00cd6e45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3"/>
    <w:qFormat/>
    <w:locked/>
    <w:rsid w:val="00cd6e45"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7"/>
    <w:qFormat/>
    <w:rsid w:val="00cd6e45"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sid w:val="00cd6e4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cd6e45"/>
    <w:rPr>
      <w:vertAlign w:val="superscript"/>
    </w:rPr>
  </w:style>
  <w:style w:type="character" w:styleId="24" w:customStyle="1">
    <w:name w:val="Пункт2 Знак"/>
    <w:link w:val="26"/>
    <w:qFormat/>
    <w:rsid w:val="00cd6e45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sid w:val="00cd6e45"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d6e45"/>
    <w:rPr>
      <w:color w:val="605E5C"/>
      <w:shd w:fill="E1DFDD" w:val="clear"/>
    </w:rPr>
  </w:style>
  <w:style w:type="character" w:styleId="FontStyle16" w:customStyle="1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sid w:val="00682709"/>
    <w:rPr/>
  </w:style>
  <w:style w:type="character" w:styleId="Value" w:customStyle="1">
    <w:name w:val="value"/>
    <w:qFormat/>
    <w:rsid w:val="00682709"/>
    <w:rPr/>
  </w:style>
  <w:style w:type="character" w:styleId="Style18" w:customStyle="1">
    <w:name w:val="Текст Знак"/>
    <w:basedOn w:val="DefaultParagraphFont"/>
    <w:link w:val="PlainText"/>
    <w:uiPriority w:val="99"/>
    <w:qFormat/>
    <w:rsid w:val="00003389"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sid w:val="00003389"/>
    <w:rPr/>
  </w:style>
  <w:style w:type="character" w:styleId="Extended-textshort" w:customStyle="1">
    <w:name w:val="extended-text__short"/>
    <w:qFormat/>
    <w:rsid w:val="00003389"/>
    <w:rPr/>
  </w:style>
  <w:style w:type="character" w:styleId="FollowedHyperlink" w:customStyle="1">
    <w:name w:val="FollowedHyperlink"/>
    <w:rsid w:val="00003389"/>
    <w:rPr>
      <w:color w:val="800080"/>
      <w:u w:val="single"/>
    </w:rPr>
  </w:style>
  <w:style w:type="character" w:styleId="Productcode" w:customStyle="1">
    <w:name w:val="product_code"/>
    <w:qFormat/>
    <w:rsid w:val="00003389"/>
    <w:rPr/>
  </w:style>
  <w:style w:type="character" w:styleId="Add-data-value" w:customStyle="1">
    <w:name w:val="add-data-value"/>
    <w:basedOn w:val="DefaultParagraphFont"/>
    <w:qFormat/>
    <w:rsid w:val="00003389"/>
    <w:rPr/>
  </w:style>
  <w:style w:type="character" w:styleId="Extendedtext-short" w:customStyle="1">
    <w:name w:val="extendedtext-short"/>
    <w:qFormat/>
    <w:rsid w:val="00003389"/>
    <w:rPr/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cd6e45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next w:val="Normal"/>
    <w:uiPriority w:val="35"/>
    <w:qFormat/>
    <w:rsid w:val="00cd6e45"/>
    <w:pPr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styleId="Indexheading1">
    <w:name w:val="index heading1"/>
    <w:basedOn w:val="Title"/>
    <w:qFormat/>
    <w:pPr/>
    <w:rPr/>
  </w:style>
  <w:style w:type="paragraph" w:styleId="Style21" w:customStyle="1">
    <w:name w:val="Раздел положения"/>
    <w:basedOn w:val="Normal"/>
    <w:autoRedefine/>
    <w:qFormat/>
    <w:rsid w:val="00734d42"/>
    <w:pPr>
      <w:numPr>
        <w:ilvl w:val="0"/>
        <w:numId w:val="3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2" w:customStyle="1">
    <w:name w:val="Подраздел раздела положения"/>
    <w:basedOn w:val="Normal"/>
    <w:autoRedefine/>
    <w:qFormat/>
    <w:rsid w:val="00734d42"/>
    <w:pPr>
      <w:numPr>
        <w:ilvl w:val="1"/>
        <w:numId w:val="3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3" w:customStyle="1">
    <w:name w:val="Таблица шапка"/>
    <w:basedOn w:val="Normal"/>
    <w:qFormat/>
    <w:rsid w:val="00cd6e45"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4" w:customStyle="1">
    <w:name w:val="Название раздела инструкции"/>
    <w:basedOn w:val="Normal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uiPriority w:val="99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rsid w:val="00cd6e45"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5" w:customStyle="1">
    <w:name w:val="Шапка 2"/>
    <w:basedOn w:val="Normal"/>
    <w:qFormat/>
    <w:rsid w:val="00cd6e45"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4" w:customStyle="1">
    <w:name w:val="Шапка 3"/>
    <w:basedOn w:val="Normal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2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rsid w:val="00cd6e45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uiPriority w:val="99"/>
    <w:rsid w:val="00cd6e4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rsid w:val="00cd6e45"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rsid w:val="00cd6e45"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rsid w:val="00cd6e45"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rsid w:val="00cd6e45"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rsid w:val="00cd6e45"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26" w:customStyle="1">
    <w:name w:val="Подпункт"/>
    <w:basedOn w:val="Normal"/>
    <w:link w:val="11"/>
    <w:qFormat/>
    <w:rsid w:val="00cd6e45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6" w:customStyle="1">
    <w:name w:val="Пункт2"/>
    <w:basedOn w:val="Normal"/>
    <w:link w:val="24"/>
    <w:qFormat/>
    <w:rsid w:val="00cd6e45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uiPriority w:val="39"/>
    <w:rsid w:val="00cd6e45"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uiPriority w:val="39"/>
    <w:rsid w:val="00cd6e45"/>
    <w:pPr>
      <w:ind w:left="28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Style27" w:customStyle="1">
    <w:name w:val="Раздел регламента"/>
    <w:basedOn w:val="Normal"/>
    <w:qFormat/>
    <w:rsid w:val="00cd6e45"/>
    <w:pPr/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Приложение к регламенту"/>
    <w:basedOn w:val="Normal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uiPriority w:val="39"/>
    <w:rsid w:val="00cd6e45"/>
    <w:pPr>
      <w:spacing w:before="240" w:after="0"/>
    </w:pPr>
    <w:rPr>
      <w:rFonts w:eastAsia="Times New Roman" w:cs="Calibri" w:cstheme="minorHAns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semiHidden/>
    <w:qFormat/>
    <w:rsid w:val="00cd6e45"/>
    <w:pPr/>
    <w:rPr>
      <w:rFonts w:ascii="Tahoma" w:hAnsi="Tahoma" w:eastAsia="Times New Roman" w:cs="Tahoma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rsid w:val="00cd6e45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cd6e45"/>
    <w:pPr>
      <w:spacing w:beforeAutospacing="1" w:afterAutospacing="1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semiHidden/>
    <w:rsid w:val="00cd6e45"/>
    <w:pPr>
      <w:ind w:left="196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semiHidden/>
    <w:rsid w:val="00cd6e45"/>
    <w:pPr>
      <w:ind w:left="84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uiPriority w:val="39"/>
    <w:rsid w:val="00cd6e45"/>
    <w:pPr>
      <w:ind w:left="560" w:hanging="0"/>
    </w:pPr>
    <w:rPr>
      <w:rFonts w:eastAsia="Times New Roman" w:cs="Calibri" w:cstheme="minorHAnsi"/>
      <w:sz w:val="20"/>
      <w:szCs w:val="20"/>
      <w:lang w:eastAsia="ru-RU"/>
    </w:rPr>
  </w:style>
  <w:style w:type="paragraph" w:styleId="27" w:customStyle="1">
    <w:name w:val="Раздел положения 2"/>
    <w:basedOn w:val="Normal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29" w:customStyle="1">
    <w:name w:val="Знак Знак Знак Знак Знак Знак Знак Знак Знак"/>
    <w:basedOn w:val="Normal"/>
    <w:qFormat/>
    <w:rsid w:val="004900e5"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uiPriority w:val="1"/>
    <w:qFormat/>
    <w:rsid w:val="00cd6e45"/>
    <w:pPr>
      <w:spacing w:lineRule="auto" w:line="360"/>
    </w:pPr>
    <w:rPr>
      <w:rFonts w:eastAsia="Calibri"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uiPriority w:val="11"/>
    <w:qFormat/>
    <w:rsid w:val="00cd6e45"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uiPriority w:val="99"/>
    <w:qFormat/>
    <w:rsid w:val="00cd6e45"/>
    <w:pPr>
      <w:spacing w:before="0" w:after="0"/>
      <w:ind w:left="720" w:hanging="0"/>
      <w:contextualSpacing/>
    </w:pPr>
    <w:rPr>
      <w:rFonts w:eastAsia="Calibri"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uiPriority w:val="29"/>
    <w:qFormat/>
    <w:rsid w:val="00cd6e45"/>
    <w:pPr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cd6e45"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uiPriority w:val="99"/>
    <w:unhideWhenUsed/>
    <w:qFormat/>
    <w:rsid w:val="00cd6e45"/>
    <w:pPr/>
    <w:rPr>
      <w:rFonts w:eastAsia="Calibri" w:cs="Times New Roman"/>
      <w:szCs w:val="24"/>
      <w:lang w:val="x-none" w:eastAsia="x-none"/>
    </w:rPr>
  </w:style>
  <w:style w:type="paragraph" w:styleId="Style30" w:customStyle="1">
    <w:name w:val="Знак"/>
    <w:basedOn w:val="Normal"/>
    <w:qFormat/>
    <w:rsid w:val="00cd6e4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5" w:customStyle="1">
    <w:name w:val="Нумерованный список ур3"/>
    <w:basedOn w:val="Normal"/>
    <w:qFormat/>
    <w:rsid w:val="00cd6e45"/>
    <w:pPr>
      <w:numPr>
        <w:ilvl w:val="2"/>
        <w:numId w:val="4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rsid w:val="00cd6e45"/>
    <w:pPr>
      <w:numPr>
        <w:ilvl w:val="0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8" w:customStyle="1">
    <w:name w:val="Нумерованный список ур2"/>
    <w:basedOn w:val="Normal"/>
    <w:qFormat/>
    <w:rsid w:val="00cd6e45"/>
    <w:pPr>
      <w:numPr>
        <w:ilvl w:val="1"/>
        <w:numId w:val="4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uiPriority w:val="99"/>
    <w:semiHidden/>
    <w:qFormat/>
    <w:rsid w:val="00cd6e4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cd6e4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cd6e45"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1" w:customStyle="1">
    <w:name w:val="Пункт"/>
    <w:basedOn w:val="Normal"/>
    <w:qFormat/>
    <w:rsid w:val="00cd6e45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rsid w:val="00cd6e45"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2" w:customStyle="1">
    <w:name w:val="Таблица"/>
    <w:basedOn w:val="Normal"/>
    <w:qFormat/>
    <w:rsid w:val="00cd6e45"/>
    <w:pPr>
      <w:keepNext w:val="true"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styleId="Style33" w:customStyle="1">
    <w:name w:val="Подподпункт"/>
    <w:basedOn w:val="Style26"/>
    <w:link w:val="Style15"/>
    <w:qFormat/>
    <w:rsid w:val="00cd6e45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4" w:customStyle="1">
    <w:name w:val="УРОВЕНЬ_(а)"/>
    <w:basedOn w:val="ListParagraph"/>
    <w:qFormat/>
    <w:rsid w:val="00cd6e45"/>
    <w:pPr>
      <w:numPr>
        <w:ilvl w:val="3"/>
        <w:numId w:val="5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cd6e45"/>
    <w:pPr>
      <w:numPr>
        <w:ilvl w:val="4"/>
        <w:numId w:val="5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cd6e45"/>
    <w:pPr>
      <w:numPr>
        <w:ilvl w:val="6"/>
        <w:numId w:val="5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link w:val="33"/>
    <w:qFormat/>
    <w:rsid w:val="00cd6e45"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 w:customStyle="1">
    <w:name w:val="УРОВЕНЬ_Подпись"/>
    <w:basedOn w:val="ListParagraph"/>
    <w:qFormat/>
    <w:rsid w:val="00cd6e45"/>
    <w:pPr>
      <w:keepNext w:val="true"/>
      <w:numPr>
        <w:ilvl w:val="5"/>
        <w:numId w:val="5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cd6e45"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rsid w:val="00cd6e45"/>
    <w:pPr/>
    <w:rPr>
      <w:rFonts w:eastAsia="Times New Roman" w:cs="Times New Roman"/>
      <w:sz w:val="20"/>
      <w:szCs w:val="20"/>
      <w:lang w:eastAsia="ru-RU"/>
    </w:rPr>
  </w:style>
  <w:style w:type="paragraph" w:styleId="210" w:customStyle="1">
    <w:name w:val="Заголовок 2 КВВ"/>
    <w:basedOn w:val="Normal"/>
    <w:qFormat/>
    <w:rsid w:val="00cd6e45"/>
    <w:pPr>
      <w:keepNext w:val="true"/>
      <w:numPr>
        <w:ilvl w:val="0"/>
        <w:numId w:val="6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cd6e45"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rsid w:val="00cd6e45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cd6e45"/>
    <w:pPr>
      <w:ind w:left="112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unhideWhenUsed/>
    <w:rsid w:val="00cd6e45"/>
    <w:pPr>
      <w:ind w:left="140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unhideWhenUsed/>
    <w:rsid w:val="00cd6e45"/>
    <w:pPr>
      <w:ind w:left="1680" w:hanging="0"/>
    </w:pPr>
    <w:rPr>
      <w:rFonts w:ascii="Calibri" w:hAnsi="Calibri" w:eastAsia="Times New Roman" w:cs="Calibri" w:asciiTheme="minorHAnsi" w:cstheme="minorHAnsi" w:hAnsiTheme="minorHAnsi"/>
      <w:sz w:val="20"/>
      <w:szCs w:val="20"/>
      <w:lang w:eastAsia="ru-RU"/>
    </w:rPr>
  </w:style>
  <w:style w:type="paragraph" w:styleId="Style37" w:customStyle="1">
    <w:name w:val="Знак Знак Знак Знак"/>
    <w:basedOn w:val="Normal"/>
    <w:qFormat/>
    <w:rsid w:val="004900e5"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rsid w:val="00cd6e45"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rsid w:val="00cd6e45"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rsid w:val="00cd6e4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38" w:customStyle="1">
    <w:name w:val="Пункт договора"/>
    <w:basedOn w:val="Normal"/>
    <w:qFormat/>
    <w:rsid w:val="00cd6e45"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39" w:customStyle="1">
    <w:name w:val="Подпункт договора"/>
    <w:basedOn w:val="Normal"/>
    <w:qFormat/>
    <w:rsid w:val="00cd6e45"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0" w:customStyle="1">
    <w:name w:val="Обычный+ без отступа"/>
    <w:basedOn w:val="Normal"/>
    <w:uiPriority w:val="99"/>
    <w:qFormat/>
    <w:rsid w:val="00cd6e45"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1" w:customStyle="1">
    <w:name w:val="Обычный2"/>
    <w:qFormat/>
    <w:rsid w:val="00003389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uiPriority w:val="99"/>
    <w:unhideWhenUsed/>
    <w:qFormat/>
    <w:rsid w:val="00003389"/>
    <w:pPr/>
    <w:rPr>
      <w:rFonts w:ascii="Calibri" w:hAnsi="Calibri" w:eastAsia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rsid w:val="00003389"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rsid w:val="00003389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styleId="38" w:customStyle="1">
    <w:name w:val="Обычный3"/>
    <w:qFormat/>
    <w:rsid w:val="004900e5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1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2" w:customStyle="1">
    <w:name w:val="Заголовок таблицы"/>
    <w:basedOn w:val="Style41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cd6e45"/>
  </w:style>
  <w:style w:type="numbering" w:styleId="212" w:customStyle="1">
    <w:name w:val="Стиль2"/>
    <w:uiPriority w:val="99"/>
    <w:qFormat/>
    <w:rsid w:val="00cd6e45"/>
  </w:style>
  <w:style w:type="numbering" w:styleId="112" w:customStyle="1">
    <w:name w:val="Нет списка1"/>
    <w:semiHidden/>
    <w:qFormat/>
    <w:rsid w:val="00cd6e45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d">
    <w:name w:val="Table Grid"/>
    <w:basedOn w:val="a5"/>
    <w:rsid w:val="009c3b1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Application>AlterOffice/3.4.0.9$Linux_X86_64 LibreOffice_project/b8daf9e823b1a5463a2f48435ddc2e8696e7d4fc</Application>
  <AppVersion>15.0000</AppVersion>
  <Pages>5</Pages>
  <Words>625</Words>
  <Characters>4452</Characters>
  <CharactersWithSpaces>4971</CharactersWithSpaces>
  <Paragraphs>121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>kudryavtsevaen@corp.gidroogk.com</cp:lastModifiedBy>
  <cp:lastPrinted>2025-08-28T09:13:45Z</cp:lastPrinted>
  <dcterms:modified xsi:type="dcterms:W3CDTF">2026-08-10T09:03:57Z</dcterms:modified>
  <cp:revision>213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