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left="5529" w:hanging="0"/>
        <w:jc w:val="right"/>
        <w:rPr>
          <w:bCs/>
        </w:rPr>
      </w:pPr>
      <w:r>
        <w:rPr>
          <w:bCs/>
        </w:rPr>
      </w:r>
      <w:bookmarkStart w:id="0" w:name="_Toc139856287"/>
      <w:bookmarkStart w:id="1" w:name="_Toc137554584"/>
      <w:bookmarkStart w:id="2" w:name="_Toc141696704"/>
      <w:bookmarkStart w:id="3" w:name="_Toc139856287"/>
      <w:bookmarkStart w:id="4" w:name="_Toc137554584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9856287_Копия_1"/>
      <w:bookmarkStart w:id="7" w:name="_Toc137554584_Копия_1"/>
      <w:bookmarkStart w:id="8" w:name="_Toc141696704_Копия_1"/>
      <w:bookmarkStart w:id="9" w:name="_Toc139856287_Копия_1"/>
      <w:bookmarkStart w:id="10" w:name="_Toc137554584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rFonts w:eastAsia="Calibri" w:cs="Times New Roman"/>
          <w:b/>
          <w:bCs/>
          <w:spacing w:val="0"/>
          <w:sz w:val="24"/>
          <w:szCs w:val="24"/>
          <w:lang w:eastAsia="ru-RU"/>
        </w:rPr>
        <w:t xml:space="preserve">ОКПД 2: 45.20.21 </w:t>
      </w:r>
      <w:r>
        <w:rPr>
          <w:b/>
          <w:sz w:val="26"/>
          <w:szCs w:val="26"/>
        </w:rPr>
        <w:t>«Услуги по техническому обслуживанию и текущему ремонту ГИРД 5849</w:t>
      </w:r>
      <w:r>
        <w:rPr>
          <w:b/>
          <w:sz w:val="26"/>
          <w:szCs w:val="26"/>
          <w:lang w:val="en-US"/>
        </w:rPr>
        <w:t>AG</w:t>
      </w:r>
      <w:r>
        <w:rPr>
          <w:b/>
          <w:sz w:val="26"/>
          <w:szCs w:val="26"/>
        </w:rPr>
        <w:t xml:space="preserve"> на шасси КАМАЗ 43502 для нужд Южно-Сахалинского участка расчистки просек Дальневосточного филиала </w:t>
      </w:r>
      <w:r>
        <w:rPr>
          <w:b/>
          <w:sz w:val="26"/>
          <w:szCs w:val="26"/>
        </w:rPr>
        <w:t>АО «ТК РусГидро</w:t>
      </w:r>
      <w:r>
        <w:rPr>
          <w:b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8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0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 xml:space="preserve">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1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Иные требования и сведения общего характера</w:t>
            </w:r>
            <w:r>
              <w:rPr>
                <w:rStyle w:val="Style14"/>
                <w:vanish w:val="false"/>
              </w:rPr>
              <w:tab/>
            </w:r>
          </w:hyperlink>
          <w:r>
            <w:rPr/>
            <w:t>3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1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caps/>
        </w:rPr>
      </w:pPr>
      <w:bookmarkStart w:id="12" w:name="_Toc54643694"/>
      <w:r>
        <w:rPr/>
        <w:t>Общие сведения</w:t>
      </w:r>
      <w:bookmarkEnd w:id="12"/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13" w:name="_Toc54643695"/>
      <w:bookmarkStart w:id="14" w:name="_Toc46743505"/>
      <w:r>
        <w:rPr>
          <w:sz w:val="26"/>
          <w:szCs w:val="26"/>
        </w:rPr>
        <w:t>Обозначения и сокращения</w:t>
      </w:r>
      <w:bookmarkEnd w:id="13"/>
      <w:bookmarkEnd w:id="1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/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/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ТО и 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Техническое обслуживание и текущему ремонту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15" w:name="_Toc54643696"/>
      <w:bookmarkStart w:id="16" w:name="_Toc46743506"/>
      <w:r>
        <w:rPr>
          <w:sz w:val="26"/>
          <w:szCs w:val="26"/>
        </w:rPr>
        <w:t>Наименование закупаемой продукции</w:t>
      </w:r>
      <w:bookmarkEnd w:id="15"/>
      <w:bookmarkEnd w:id="16"/>
    </w:p>
    <w:p>
      <w:pPr>
        <w:pStyle w:val="Normal"/>
        <w:keepNext w:val="true"/>
        <w:keepLines/>
        <w:tabs>
          <w:tab w:val="clear" w:pos="709"/>
          <w:tab w:val="left" w:pos="426" w:leader="none"/>
        </w:tabs>
        <w:jc w:val="both"/>
        <w:rPr>
          <w:rStyle w:val="Style8"/>
          <w:b w:val="false"/>
          <w:i w:val="false"/>
          <w:i w:val="false"/>
          <w:color w:val="171717" w:themeColor="background2" w:themeShade="1a"/>
          <w:sz w:val="26"/>
          <w:szCs w:val="26"/>
          <w:shd w:fill="FFFFFF" w:val="clear"/>
        </w:rPr>
      </w:pPr>
      <w:r>
        <w:rPr>
          <w:color w:val="171717" w:themeColor="background2" w:themeShade="1a"/>
          <w:sz w:val="26"/>
          <w:szCs w:val="26"/>
          <w:shd w:fill="FFFFFF" w:val="clear"/>
        </w:rPr>
        <w:t xml:space="preserve">«Услуги по техническому обслуживанию и текущему ремонту </w:t>
      </w:r>
      <w:r>
        <w:rPr>
          <w:b/>
          <w:color w:val="171717" w:themeColor="background2" w:themeShade="1a"/>
          <w:sz w:val="26"/>
          <w:szCs w:val="26"/>
          <w:shd w:fill="FFFFFF" w:val="clear"/>
        </w:rPr>
        <w:t xml:space="preserve">ГИРД 5849AG на шасси КАМАЗ 43502 </w:t>
      </w:r>
      <w:r>
        <w:rPr>
          <w:color w:val="171717" w:themeColor="background2" w:themeShade="1a"/>
          <w:sz w:val="26"/>
          <w:szCs w:val="26"/>
          <w:shd w:fill="FFFFFF" w:val="clear"/>
        </w:rPr>
        <w:t xml:space="preserve"> для нужд Южно-Сахалинского участка расчистки просек Дальневосточного филиала АО «ТК РусГидро»</w:t>
      </w:r>
    </w:p>
    <w:p>
      <w:pPr>
        <w:pStyle w:val="Heading4"/>
        <w:numPr>
          <w:ilvl w:val="1"/>
          <w:numId w:val="3"/>
        </w:numPr>
        <w:ind w:left="432" w:hanging="0"/>
        <w:rPr>
          <w:i/>
          <w:i/>
          <w:sz w:val="26"/>
          <w:szCs w:val="26"/>
          <w:shd w:fill="FFFF99" w:val="clear"/>
        </w:rPr>
      </w:pPr>
      <w:bookmarkStart w:id="17" w:name="_Toc54643697"/>
      <w:bookmarkStart w:id="18" w:name="_Toc46743507"/>
      <w:r>
        <w:rPr>
          <w:sz w:val="26"/>
          <w:szCs w:val="26"/>
        </w:rPr>
        <w:t xml:space="preserve">Цель </w:t>
      </w:r>
      <w:bookmarkEnd w:id="18"/>
      <w:r>
        <w:rPr>
          <w:sz w:val="26"/>
          <w:szCs w:val="26"/>
        </w:rPr>
        <w:t xml:space="preserve">оказания услуг </w:t>
      </w:r>
      <w:bookmarkEnd w:id="17"/>
    </w:p>
    <w:p>
      <w:pPr>
        <w:pStyle w:val="Normal"/>
        <w:rPr>
          <w:lang w:eastAsia="x-none"/>
        </w:rPr>
      </w:pPr>
      <w:r>
        <w:rPr>
          <w:rFonts w:eastAsia="Calibri"/>
          <w:bCs/>
          <w:sz w:val="26"/>
          <w:szCs w:val="26"/>
          <w:lang w:eastAsia="x-none"/>
        </w:rPr>
        <w:t xml:space="preserve">     </w:t>
      </w:r>
      <w:r>
        <w:rPr>
          <w:rFonts w:eastAsia="Calibri"/>
          <w:bCs/>
          <w:sz w:val="26"/>
          <w:szCs w:val="26"/>
          <w:lang w:val="x-none" w:eastAsia="x-none"/>
        </w:rPr>
        <w:t xml:space="preserve">Проведение технического обслуживания, диагностических и сопутствующих работ с соблюдением «Правил оказания услуг (выполнения работ) по техническому обслуживанию и ремонту автомототранспортных средств», утвержденных Постановлением Правительства РФ от 11.04.2001 № 290 (в действующей редакции), инструкций по эксплуатации транспортных средств, государственных стандартов к техническому состоянию </w:t>
      </w:r>
      <w:r>
        <w:rPr>
          <w:rFonts w:eastAsia="Calibri"/>
          <w:bCs/>
          <w:sz w:val="26"/>
          <w:szCs w:val="26"/>
          <w:lang w:eastAsia="x-none"/>
        </w:rPr>
        <w:t>ТС</w:t>
      </w:r>
      <w:r>
        <w:rPr>
          <w:rFonts w:eastAsia="Calibri"/>
          <w:bCs/>
          <w:sz w:val="26"/>
          <w:szCs w:val="26"/>
          <w:lang w:val="x-none" w:eastAsia="x-none"/>
        </w:rPr>
        <w:t>, с целью поддержания надлежащего технического состояния.</w:t>
      </w:r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19" w:name="_Toc54643698"/>
      <w:bookmarkStart w:id="20" w:name="_Toc46743508"/>
      <w:r>
        <w:rPr>
          <w:sz w:val="26"/>
          <w:szCs w:val="26"/>
        </w:rPr>
        <w:t>Существующее положение</w:t>
      </w:r>
      <w:bookmarkEnd w:id="20"/>
      <w:r>
        <w:rPr>
          <w:sz w:val="26"/>
          <w:szCs w:val="26"/>
          <w:lang w:val="ru-RU"/>
        </w:rPr>
        <w:t xml:space="preserve"> </w:t>
      </w:r>
      <w:bookmarkEnd w:id="19"/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  <w:shd w:fill="auto" w:val="clear"/>
        </w:rPr>
      </w:pPr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>Не применяется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21" w:name="_Toc54643699"/>
      <w:r>
        <w:rPr>
          <w:sz w:val="26"/>
          <w:szCs w:val="26"/>
        </w:rPr>
        <w:t>Таблица 1. Перечень объектов заказчика</w:t>
      </w:r>
      <w:bookmarkEnd w:id="21"/>
    </w:p>
    <w:tbl>
      <w:tblPr>
        <w:tblW w:w="10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64"/>
        <w:gridCol w:w="2126"/>
        <w:gridCol w:w="2977"/>
        <w:gridCol w:w="156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0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Автомобиль – фургон специальный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Сахалинская область, 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Южно-Сахалинск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171717" w:themeColor="background2" w:themeShade="1a"/>
                <w:sz w:val="26"/>
                <w:szCs w:val="26"/>
                <w:shd w:fill="FFFFFF" w:val="clear"/>
              </w:rPr>
            </w:pPr>
            <w:r>
              <w:rPr>
                <w:color w:val="171717" w:themeColor="background2" w:themeShade="1a"/>
                <w:sz w:val="26"/>
                <w:szCs w:val="26"/>
                <w:shd w:fill="FFFFFF" w:val="clear"/>
              </w:rPr>
              <w:t xml:space="preserve">ГИРД 5849AG на шасси КАМАЗ 43502 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color w:val="171717" w:themeColor="background2" w:themeShade="1a"/>
                <w:sz w:val="26"/>
                <w:szCs w:val="26"/>
                <w:shd w:fill="FFFFFF" w:val="clear"/>
              </w:rPr>
              <w:t>г.н. У 990 ТР 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Heading4"/>
        <w:numPr>
          <w:ilvl w:val="1"/>
          <w:numId w:val="3"/>
        </w:numPr>
        <w:ind w:left="0" w:hanging="0"/>
        <w:jc w:val="both"/>
        <w:rPr/>
      </w:pPr>
      <w:r>
        <w:rPr/>
        <w:t xml:space="preserve">Информация в отношении исполнения договора, </w:t>
      </w:r>
      <w:bookmarkStart w:id="22" w:name="_Hlk46492347"/>
      <w:r>
        <w:rPr/>
        <w:t xml:space="preserve">которая должна быть учтена при подготовке заявки </w:t>
      </w:r>
      <w:bookmarkEnd w:id="22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  <w:shd w:fill="auto" w:val="clear"/>
        </w:rPr>
      </w:pPr>
      <w:bookmarkStart w:id="23" w:name="_Toc50125126"/>
      <w:bookmarkStart w:id="24" w:name="_Toc46743510"/>
      <w:bookmarkEnd w:id="23"/>
      <w:bookmarkEnd w:id="24"/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>Не применяется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4"/>
        <w:numPr>
          <w:ilvl w:val="1"/>
          <w:numId w:val="3"/>
        </w:numPr>
        <w:ind w:left="432" w:hanging="0"/>
        <w:rPr/>
      </w:pPr>
      <w:bookmarkStart w:id="25" w:name="_Toc54643701"/>
      <w:r>
        <w:rPr/>
        <w:t>Иные требования и сведения общего характера</w:t>
      </w:r>
      <w:bookmarkEnd w:id="25"/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  <w:shd w:fill="auto" w:val="clear"/>
        </w:rPr>
      </w:pPr>
      <w:bookmarkStart w:id="26" w:name="_Toc51339693"/>
      <w:bookmarkStart w:id="27" w:name="_Toc54643702"/>
      <w:r>
        <w:rPr>
          <w:rStyle w:val="Style8"/>
          <w:b w:val="false"/>
          <w:bCs/>
          <w:i w:val="false"/>
          <w:sz w:val="26"/>
          <w:szCs w:val="26"/>
          <w:shd w:fill="auto" w:val="clear"/>
        </w:rPr>
        <w:t>Не применяется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6"/>
          <w:szCs w:val="26"/>
        </w:rPr>
      </w:pPr>
      <w:r>
        <w:rPr>
          <w:b w:val="false"/>
          <w:bCs/>
          <w:i w:val="false"/>
          <w:sz w:val="26"/>
          <w:szCs w:val="26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lang w:val="ru-RU"/>
        </w:rPr>
      </w:pPr>
      <w:r>
        <w:rPr>
          <w:lang w:val="ru-RU"/>
        </w:rPr>
        <w:t>Требования</w:t>
      </w:r>
      <w:r>
        <w:rPr/>
        <w:t xml:space="preserve"> к продукции</w:t>
      </w:r>
      <w:bookmarkEnd w:id="26"/>
      <w:bookmarkEnd w:id="27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8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8"/>
    </w:p>
    <w:p>
      <w:pPr>
        <w:pStyle w:val="Heading3"/>
        <w:numPr>
          <w:ilvl w:val="2"/>
          <w:numId w:val="3"/>
        </w:numPr>
        <w:ind w:left="0" w:hanging="0"/>
        <w:rPr/>
      </w:pPr>
      <w:bookmarkStart w:id="29" w:name="_Toc54643704"/>
      <w:r>
        <w:rPr/>
        <w:t>Требования к перечню и объему услуг</w:t>
      </w:r>
      <w:bookmarkEnd w:id="29"/>
    </w:p>
    <w:p>
      <w:pPr>
        <w:pStyle w:val="Heading1"/>
        <w:numPr>
          <w:ilvl w:val="0"/>
          <w:numId w:val="0"/>
        </w:numPr>
        <w:ind w:left="0" w:hanging="0"/>
        <w:rPr/>
      </w:pPr>
      <w:bookmarkStart w:id="30" w:name="_Toc54643705"/>
      <w:bookmarkStart w:id="31" w:name="_Toc51339695"/>
      <w:r>
        <w:rPr/>
        <w:t xml:space="preserve">Таблица 2. Перечень </w:t>
      </w:r>
      <w:bookmarkEnd w:id="31"/>
      <w:r>
        <w:rPr/>
        <w:t>и объем оказываемых услуг</w:t>
      </w:r>
      <w:bookmarkEnd w:id="30"/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6946"/>
        <w:gridCol w:w="1137"/>
        <w:gridCol w:w="1271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услуг / этапа услуг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Количество*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b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ГИРД 5849AG на шасси КАМАЗ 43502 г.н. У 990 ТР 27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37" w:right="27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ТО и Р на ГИРД 5849AG на шасси КАМАЗ 43502 в объеме ТО-2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услуга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342" w:leader="none"/>
              </w:tabs>
              <w:suppressAutoHyphens w:val="true"/>
              <w:ind w:right="33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ind w:firstLine="567"/>
        <w:jc w:val="both"/>
        <w:rPr>
          <w:rStyle w:val="Strong"/>
          <w:b w:val="false"/>
          <w:i/>
          <w:i/>
          <w:sz w:val="24"/>
          <w:szCs w:val="24"/>
        </w:rPr>
      </w:pPr>
      <w:r>
        <w:rPr>
          <w:rStyle w:val="Strong"/>
          <w:b w:val="false"/>
          <w:i/>
          <w:sz w:val="24"/>
          <w:szCs w:val="24"/>
        </w:rPr>
        <w:t>* Объем продукции является ориентировочным, Заказчик не несет ответственности за неполную выборку продукции на общую сумму договора.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0"/>
          <w:numId w:val="0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</w:r>
      <w:bookmarkStart w:id="32" w:name="_Toc54643706"/>
      <w:bookmarkStart w:id="33" w:name="_Toc54643706"/>
    </w:p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bookmarkStart w:id="34" w:name="_Toc51339696"/>
      <w:r>
        <w:rPr>
          <w:sz w:val="26"/>
          <w:szCs w:val="26"/>
        </w:rPr>
        <w:t xml:space="preserve">Требования </w:t>
      </w:r>
      <w:bookmarkEnd w:id="34"/>
      <w:r>
        <w:rPr>
          <w:sz w:val="26"/>
          <w:szCs w:val="26"/>
        </w:rPr>
        <w:t>к срокам оказания услуг</w:t>
      </w:r>
      <w:bookmarkEnd w:id="33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  <w:lang w:val="ru-RU"/>
        </w:rPr>
      </w:pPr>
      <w:bookmarkStart w:id="35" w:name="_Toc54643707"/>
      <w:bookmarkStart w:id="36" w:name="_Toc50125127"/>
      <w:bookmarkStart w:id="37" w:name="_Toc51339697"/>
      <w:bookmarkStart w:id="38" w:name="_Toc50125126_Копия_1"/>
      <w:bookmarkEnd w:id="38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39" w:name="_Hlk50465284"/>
      <w:r>
        <w:rPr>
          <w:sz w:val="26"/>
          <w:szCs w:val="26"/>
        </w:rPr>
        <w:t xml:space="preserve">Требования </w:t>
      </w:r>
      <w:r>
        <w:rPr>
          <w:sz w:val="26"/>
          <w:szCs w:val="26"/>
          <w:lang w:val="ru-RU"/>
        </w:rPr>
        <w:t>к</w:t>
      </w:r>
      <w:r>
        <w:rPr>
          <w:sz w:val="26"/>
          <w:szCs w:val="26"/>
        </w:rPr>
        <w:t xml:space="preserve"> срокам </w:t>
      </w:r>
      <w:bookmarkEnd w:id="36"/>
      <w:bookmarkEnd w:id="37"/>
      <w:bookmarkEnd w:id="39"/>
      <w:r>
        <w:rPr>
          <w:sz w:val="26"/>
          <w:szCs w:val="26"/>
          <w:lang w:val="ru-RU"/>
        </w:rPr>
        <w:t>оказания услуг</w:t>
      </w:r>
      <w:bookmarkEnd w:id="35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Услуги по техническому обслуживанию и текущему ремонту ГИРД 5849AG на шасси КАМАЗ 43502 г.н. У 990 ТР 27 для нужд Южно-Сахалинского ТУ Дальневосточного филиала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момента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рабочих дней с даты подачи заявки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  <w:bookmarkStart w:id="40" w:name="_Toc54643709"/>
      <w:bookmarkStart w:id="41" w:name="_Toc50125131"/>
      <w:bookmarkStart w:id="42" w:name="_Toc51339698"/>
      <w:bookmarkStart w:id="43" w:name="_Toc54643708"/>
      <w:bookmarkStart w:id="44" w:name="_Toc46743510_Копия_1"/>
      <w:bookmarkStart w:id="45" w:name="_Toc54643709"/>
      <w:bookmarkStart w:id="46" w:name="_Toc50125131"/>
      <w:bookmarkStart w:id="47" w:name="_Toc51339698"/>
      <w:bookmarkStart w:id="48" w:name="_Toc54643708"/>
      <w:bookmarkStart w:id="49" w:name="_Toc46743510_Копия_1"/>
      <w:bookmarkEnd w:id="49"/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50" w:name="_Toc46743511"/>
      <w:r>
        <w:rPr>
          <w:sz w:val="26"/>
          <w:szCs w:val="26"/>
        </w:rPr>
        <w:t xml:space="preserve">Требования к </w:t>
      </w:r>
      <w:bookmarkEnd w:id="50"/>
      <w:r>
        <w:rPr>
          <w:sz w:val="26"/>
          <w:szCs w:val="26"/>
          <w:lang w:val="ru-RU"/>
        </w:rPr>
        <w:t>качеству услуг</w:t>
      </w:r>
      <w:bookmarkEnd w:id="48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>Таблица </w:t>
      </w:r>
      <w:r>
        <w:rPr>
          <w:sz w:val="26"/>
          <w:szCs w:val="26"/>
          <w:lang w:val="ru-RU"/>
        </w:rPr>
        <w:t>4</w:t>
      </w:r>
      <w:r>
        <w:rPr>
          <w:sz w:val="26"/>
          <w:szCs w:val="26"/>
        </w:rPr>
        <w:t xml:space="preserve">. Требования к </w:t>
      </w:r>
      <w:bookmarkEnd w:id="46"/>
      <w:bookmarkEnd w:id="47"/>
      <w:r>
        <w:rPr>
          <w:sz w:val="26"/>
          <w:szCs w:val="26"/>
          <w:lang w:val="ru-RU"/>
        </w:rPr>
        <w:t>качеству услуг</w:t>
      </w:r>
      <w:bookmarkEnd w:id="45"/>
      <w:r>
        <w:rPr>
          <w:sz w:val="26"/>
          <w:szCs w:val="26"/>
        </w:rPr>
        <w:t xml:space="preserve"> </w:t>
      </w:r>
    </w:p>
    <w:p>
      <w:pPr>
        <w:pStyle w:val="Normal"/>
        <w:tabs>
          <w:tab w:val="clear" w:pos="709"/>
          <w:tab w:val="left" w:pos="6946" w:leader="none"/>
        </w:tabs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Наименование услуг/этапа услуг (позиция №1 Таблицы 2):</w:t>
      </w:r>
      <w:r>
        <w:rPr>
          <w:sz w:val="26"/>
          <w:szCs w:val="26"/>
        </w:rPr>
        <w:t xml:space="preserve"> </w:t>
      </w:r>
      <w:r>
        <w:rPr>
          <w:rFonts w:eastAsia="Calibri"/>
        </w:rPr>
        <w:t>Услуги по техническому обслуживанию и текущему ремонту ГИРД 5849AG на шасси КАМАЗ 43502 г.н. У 990 ТР 27 для нужд Южно-Сахалинского ТУ Дальневосточного филиала</w:t>
      </w:r>
      <w:r>
        <w:rPr>
          <w:rFonts w:eastAsia="Calibri"/>
          <w:sz w:val="24"/>
          <w:szCs w:val="24"/>
        </w:rPr>
        <w:t>.</w:t>
      </w:r>
    </w:p>
    <w:tbl>
      <w:tblPr>
        <w:tblStyle w:val="af"/>
        <w:tblW w:w="992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2117"/>
        <w:gridCol w:w="14"/>
        <w:gridCol w:w="2104"/>
        <w:gridCol w:w="1579"/>
        <w:gridCol w:w="1840"/>
        <w:gridCol w:w="1556"/>
      </w:tblGrid>
      <w:tr>
        <w:trPr>
          <w:trHeight w:val="551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3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1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41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8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56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626" w:hRule="atLeast"/>
        </w:trPr>
        <w:tc>
          <w:tcPr>
            <w:tcW w:w="7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3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5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51"/>
          </w:p>
        </w:tc>
        <w:tc>
          <w:tcPr>
            <w:tcW w:w="213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4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5</w:t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6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21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по заявке Заказчика оказывает услуги по техническому обслуживанию и текущему ремонту ТС согласно Таблицы №2.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проведения работ</w:t>
            </w:r>
          </w:p>
        </w:tc>
        <w:tc>
          <w:tcPr>
            <w:tcW w:w="21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Контрагент обязан обеспечить проведение ТО согласно установленным нормам и правилам процедуры технического обслуживания и ремонта ТС, установленными заводом-изготовителем и правилами оказания услуг (выполнения работ) по техническому обслуживанию и ремонту автомототранспортных средств Российской Федерации Утвержденными Постановлением Правительства Российской Федерации от 11.04.2001 № 290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3251" w:hRule="atLeast"/>
        </w:trPr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обеспечению сохранности и комплектности ТС на период оказания услуг</w:t>
            </w:r>
          </w:p>
        </w:tc>
        <w:tc>
          <w:tcPr>
            <w:tcW w:w="210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сохранность и комплектность ТС Заказчика на период оказания Услуг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1039" w:hRule="atLeast"/>
        </w:trPr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оказания услуг</w:t>
            </w:r>
          </w:p>
        </w:tc>
        <w:tc>
          <w:tcPr>
            <w:tcW w:w="2104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 по техническому обслуживанию и ремонту ТС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.  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ru-RU" w:bidi="ar-SA"/>
              </w:rPr>
              <w:t>1.1.5.</w:t>
            </w:r>
          </w:p>
        </w:tc>
        <w:tc>
          <w:tcPr>
            <w:tcW w:w="21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ТС после прохождения ТО и ремонта</w:t>
            </w:r>
          </w:p>
        </w:tc>
        <w:tc>
          <w:tcPr>
            <w:tcW w:w="211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после ремонта должны удовлетворять требованиям ГОСТ 33997-2016 «Межгосударственный стандарт. Колесные транспортные средства. Требования к безопасности в эксплуатации и методы проверки» и Правила техники безопасности (ПТБ)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9" w:hanging="0"/>
              <w:jc w:val="center"/>
              <w:rPr>
                <w:sz w:val="20"/>
              </w:rPr>
            </w:pPr>
            <w:r>
              <w:rPr>
                <w:rFonts w:eastAsia="Times New Roman" w:cs="Times New Roman"/>
                <w:kern w:val="0"/>
                <w:sz w:val="20"/>
                <w:lang w:val="ru-RU" w:eastAsia="ru-RU" w:bidi="ar-SA"/>
              </w:rPr>
              <w:t>1.1.6.</w:t>
            </w:r>
          </w:p>
        </w:tc>
        <w:tc>
          <w:tcPr>
            <w:tcW w:w="211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оплаты проезда сервисного персонала к месту оказания услуг</w:t>
            </w:r>
          </w:p>
        </w:tc>
        <w:tc>
          <w:tcPr>
            <w:tcW w:w="211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проезда сервисного персонала Исполнителя к месту оказания услуг/выполнения работ и обратно (в случае, если для проезда к месту оказания услуг/выполнения работ используется не служебный автотранспорт), а также стоимость проживания в месте оказания услуг/выполнения работ, по пути к указанному месту и обратно оплачивается Заказчиком, и должно быть включено в стоимость работ по техническому обслуживанию.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оповещению Заказчика при возникновении ситуации которые могут привести к снижению безопасности эксплуатации ТС</w:t>
            </w:r>
          </w:p>
        </w:tc>
        <w:tc>
          <w:tcPr>
            <w:tcW w:w="210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извещать Заказчика о возникновении в ходе оказания Услуг новых обстоятельств технического состояния, ремонтируемого ТС, которые могут привести к снижению безопасности его эксплуатации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характеристикам устанавливаемого оборудования и условиям его установки.</w:t>
            </w:r>
          </w:p>
        </w:tc>
        <w:tc>
          <w:tcPr>
            <w:tcW w:w="210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современного, безопасного, эффективного оборудования, техники, инструментов, материалов и методов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предоставлению материалов и запасных частей необходимых для проведения технического обслуживания и текущего ремонта ТС</w:t>
            </w:r>
          </w:p>
        </w:tc>
        <w:tc>
          <w:tcPr>
            <w:tcW w:w="210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самостоятельно осуществляет закупку запчастей и материалов, необходимых для проведения технического обслуживания и текущего ремонта транспортных средств;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</w:t>
            </w:r>
          </w:p>
        </w:tc>
        <w:tc>
          <w:tcPr>
            <w:tcW w:w="9210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28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1.4.1</w:t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10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привлекать квалифицированный персонал в оказании услуг 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>
          <w:trHeight w:val="303" w:hRule="atLeast"/>
        </w:trPr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>
          <w:trHeight w:val="428" w:hRule="atLeast"/>
        </w:trPr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2.1.1</w:t>
            </w:r>
          </w:p>
        </w:tc>
        <w:tc>
          <w:tcPr>
            <w:tcW w:w="423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замененные в процессе обслуживания или ремонта детали и механизмы должен составлять не менее гарантийного срока, установленного заводом-изготовителем.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535" w:hRule="atLeast"/>
        </w:trPr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</w:tr>
      <w:tr>
        <w:trPr>
          <w:trHeight w:val="639" w:hRule="atLeast"/>
        </w:trPr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2.2.1</w:t>
            </w:r>
          </w:p>
        </w:tc>
        <w:tc>
          <w:tcPr>
            <w:tcW w:w="423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после ремонта должны удовлетворять требованиям Федерального закона от 10.12.1995 № 196-ФЗ «О безопасности дорожного движения»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Проверка качества оказанных услуг</w:t>
            </w:r>
          </w:p>
        </w:tc>
        <w:tc>
          <w:tcPr>
            <w:tcW w:w="210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результатов оказания услуг путем подписания с двух сторон Акта сдачи-приемки Услуг, выставленного Исполнителем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2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2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передает Заказчику счет на оплату после оказания услуги. 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16" w:hRule="atLeast"/>
        </w:trPr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2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 качества на установленное оборудование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сертификат качества на установленное оборудование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Копия предоставления сертификатов качества на оборудование.</w:t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235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на оказанные Услуги должны составлять не менее 6 (шести) месяцев со дня подписания Акта выполненных работ.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23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1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1" w:type="dxa"/>
            <w:gridSpan w:val="2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 xml:space="preserve">Не требуется  </w:t>
            </w:r>
          </w:p>
        </w:tc>
        <w:tc>
          <w:tcPr>
            <w:tcW w:w="2104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</w:p>
        </w:tc>
        <w:tc>
          <w:tcPr>
            <w:tcW w:w="1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84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15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6"/>
          <w:szCs w:val="26"/>
        </w:rPr>
      </w:pPr>
      <w:r>
        <w:rPr>
          <w:sz w:val="26"/>
          <w:szCs w:val="26"/>
        </w:rPr>
        <w:t>Требования к документации по ценообразованию на этапе закупки</w:t>
      </w:r>
    </w:p>
    <w:p>
      <w:pPr>
        <w:pStyle w:val="Heading4"/>
        <w:numPr>
          <w:ilvl w:val="1"/>
          <w:numId w:val="3"/>
        </w:numPr>
        <w:ind w:left="432" w:hanging="0"/>
        <w:rPr>
          <w:b w:val="false"/>
        </w:rPr>
      </w:pPr>
      <w:r>
        <w:rPr>
          <w:b w:val="false"/>
        </w:rPr>
        <w:t>Общая цена за единицу услуг остаётся фиксированной на весь срок действия договора и не подлежит изменению;</w:t>
      </w:r>
    </w:p>
    <w:p>
      <w:pPr>
        <w:pStyle w:val="Heading4"/>
        <w:numPr>
          <w:ilvl w:val="1"/>
          <w:numId w:val="3"/>
        </w:numPr>
        <w:ind w:left="432" w:hanging="0"/>
        <w:rPr>
          <w:b w:val="false"/>
        </w:rPr>
      </w:pPr>
      <w:r>
        <w:rPr>
          <w:b w:val="false"/>
        </w:rPr>
        <w:t>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>
      <w:pPr>
        <w:pStyle w:val="Heading4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0"/>
          <w:numId w:val="0"/>
        </w:numPr>
        <w:ind w:left="0" w:hanging="0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</w:r>
      <w:bookmarkStart w:id="52" w:name="_GoBack"/>
      <w:bookmarkStart w:id="53" w:name="_GoBack"/>
      <w:bookmarkEnd w:id="53"/>
    </w:p>
    <w:p>
      <w:pPr>
        <w:pStyle w:val="Normal"/>
        <w:rPr>
          <w:sz w:val="24"/>
          <w:szCs w:val="24"/>
        </w:rPr>
      </w:pPr>
      <w:r>
        <w:rPr>
          <w:bCs/>
          <w:sz w:val="24"/>
          <w:szCs w:val="24"/>
        </w:rPr>
        <w:t>Исполнитель: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Руководитель ГЭОиРТС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Дальневосточного филиала АО «ТК РусГидро»                                                         С.А. Кусов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994" w:footer="0" w:bottom="127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8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11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93dc7"/>
    <w:pPr>
      <w:keepNext w:val="true"/>
      <w:numPr>
        <w:ilvl w:val="2"/>
        <w:numId w:val="3"/>
      </w:numPr>
      <w:ind w:left="0" w:hanging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93dc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9"/>
        <w:tab w:val="left" w:pos="1120" w:leader="none"/>
        <w:tab w:val="right" w:pos="992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80EB-3131-46D1-A7EE-4FD86FED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AlterOffice/3.4.0.9$Linux_X86_64 LibreOffice_project/b8daf9e823b1a5463a2f48435ddc2e8696e7d4fc</Application>
  <AppVersion>15.0000</AppVersion>
  <Pages>9</Pages>
  <Words>1283</Words>
  <Characters>8423</Characters>
  <CharactersWithSpaces>9572</CharactersWithSpaces>
  <Paragraphs>214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2023-03-11T02:56:00Z</dcterms:created>
  <dc:creator>Быстров Олег Геннадьевич</dc:creator>
  <dc:description/>
  <dc:language>ru-RU</dc:language>
  <cp:lastModifiedBy>khizhnyakvn@corp.gidroogk.com</cp:lastModifiedBy>
  <cp:lastPrinted>2023-02-22T05:15:00Z</cp:lastPrinted>
  <dcterms:modified xsi:type="dcterms:W3CDTF">2026-08-10T18:21:17Z</dcterms:modified>
  <cp:revision>11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