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numPr>
          <w:ilvl w:val="0"/>
          <w:numId w:val="0"/>
        </w:numPr>
        <w:spacing w:before="0" w:after="0"/>
        <w:ind w:left="0" w:hanging="0"/>
        <w:contextualSpacing/>
        <w:jc w:val="center"/>
        <w:outlineLvl w:val="0"/>
        <w:rPr>
          <w:rFonts w:ascii="Arial" w:hAnsi="Arial" w:eastAsia="Times New Roman" w:cs="Arial"/>
          <w:bCs/>
          <w:sz w:val="30"/>
          <w:szCs w:val="30"/>
          <w:lang w:val="ru-RU" w:eastAsia="ru-RU"/>
        </w:rPr>
      </w:pPr>
      <w:r>
        <w:rPr>
          <w:rFonts w:eastAsia="Times New Roman" w:cs="Arial" w:ascii="Arial" w:hAnsi="Arial"/>
          <w:bCs/>
          <w:sz w:val="30"/>
          <w:szCs w:val="30"/>
          <w:lang w:val="ru-RU" w:eastAsia="ru-RU"/>
        </w:rPr>
        <w:drawing>
          <wp:anchor behindDoc="0" distT="0" distB="0" distL="114935" distR="114935" simplePos="0" locked="0" layoutInCell="0" allowOverlap="1" relativeHeight="2">
            <wp:simplePos x="0" y="0"/>
            <wp:positionH relativeFrom="page">
              <wp:align>center</wp:align>
            </wp:positionH>
            <wp:positionV relativeFrom="paragraph">
              <wp:posOffset>8890</wp:posOffset>
            </wp:positionV>
            <wp:extent cx="1664335" cy="542290"/>
            <wp:effectExtent l="0" t="0" r="0" b="0"/>
            <wp:wrapTight wrapText="bothSides">
              <wp:wrapPolygon edited="0">
                <wp:start x="-123" y="0"/>
                <wp:lineTo x="-123" y="20678"/>
                <wp:lineTo x="21426" y="20678"/>
                <wp:lineTo x="21426" y="0"/>
                <wp:lineTo x="-123" y="0"/>
              </wp:wrapPolygon>
            </wp:wrapTight>
            <wp:docPr id="1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3" t="-133" r="-43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3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widowControl w:val="false"/>
        <w:numPr>
          <w:ilvl w:val="0"/>
          <w:numId w:val="0"/>
        </w:numPr>
        <w:spacing w:before="0" w:after="0"/>
        <w:ind w:left="0" w:hanging="0"/>
        <w:contextualSpacing/>
        <w:jc w:val="center"/>
        <w:outlineLvl w:val="0"/>
        <w:rPr>
          <w:rFonts w:ascii="Arial" w:hAnsi="Arial" w:eastAsia="Times New Roman" w:cs="Arial"/>
          <w:bCs/>
          <w:sz w:val="24"/>
          <w:szCs w:val="24"/>
          <w:lang w:val="en-US"/>
        </w:rPr>
      </w:pPr>
      <w:r>
        <w:rPr>
          <w:rFonts w:eastAsia="Times New Roman" w:cs="Arial" w:ascii="Arial" w:hAnsi="Arial"/>
          <w:bCs/>
          <w:sz w:val="24"/>
          <w:szCs w:val="24"/>
          <w:lang w:val="en-US"/>
        </w:rPr>
      </w:r>
    </w:p>
    <w:p>
      <w:pPr>
        <w:pStyle w:val="Normal"/>
        <w:widowControl w:val="false"/>
        <w:numPr>
          <w:ilvl w:val="0"/>
          <w:numId w:val="0"/>
        </w:numPr>
        <w:spacing w:before="0" w:after="0"/>
        <w:ind w:left="0" w:hanging="0"/>
        <w:contextualSpacing/>
        <w:jc w:val="center"/>
        <w:outlineLvl w:val="0"/>
        <w:rPr>
          <w:rFonts w:ascii="Arial" w:hAnsi="Arial" w:eastAsia="Times New Roman" w:cs="Arial"/>
          <w:bCs/>
          <w:sz w:val="24"/>
          <w:szCs w:val="24"/>
          <w:lang w:val="en-US"/>
        </w:rPr>
      </w:pPr>
      <w:r>
        <w:rPr>
          <w:rFonts w:eastAsia="Times New Roman" w:cs="Arial" w:ascii="Arial" w:hAnsi="Arial"/>
          <w:bCs/>
          <w:sz w:val="24"/>
          <w:szCs w:val="24"/>
          <w:lang w:val="en-US"/>
        </w:rPr>
      </w:r>
    </w:p>
    <w:tbl>
      <w:tblPr>
        <w:tblW w:w="10205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5"/>
      </w:tblGrid>
      <w:tr>
        <w:trPr>
          <w:trHeight w:val="709" w:hRule="atLeast"/>
        </w:trPr>
        <w:tc>
          <w:tcPr>
            <w:tcW w:w="1020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120" w:after="0"/>
              <w:ind w:left="0" w:hanging="0"/>
              <w:jc w:val="center"/>
              <w:outlineLvl w:val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cs="Arial" w:ascii="Arial" w:hAnsi="Arial"/>
                <w:bCs/>
                <w:sz w:val="18"/>
                <w:szCs w:val="18"/>
              </w:rPr>
              <w:t>Акционерное общество «Дальневосточная распределительная сетевая компания»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0"/>
              <w:rPr>
                <w:rFonts w:ascii="Arial" w:hAnsi="Arial" w:cs="Arial"/>
                <w:bCs/>
                <w:sz w:val="6"/>
                <w:szCs w:val="6"/>
              </w:rPr>
            </w:pPr>
            <w:r>
              <w:rPr>
                <w:rFonts w:cs="Arial" w:ascii="Arial" w:hAnsi="Arial"/>
                <w:bCs/>
                <w:sz w:val="6"/>
                <w:szCs w:val="6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eastAsia="Times New Roman" w:cs="Arial"/>
                <w:b/>
                <w:bCs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sz w:val="18"/>
                <w:szCs w:val="18"/>
              </w:rPr>
              <w:t>ФИЛИАЛ «ЮЖНО-ЯКУТСКИЕ ЭЛЕКТРИЧЕСКИЕ СЕТИ»</w:t>
            </w:r>
          </w:p>
        </w:tc>
      </w:tr>
      <w:tr>
        <w:trPr>
          <w:trHeight w:val="227" w:hRule="atLeast"/>
        </w:trPr>
        <w:tc>
          <w:tcPr>
            <w:tcW w:w="10205" w:type="dxa"/>
            <w:tcBorders/>
            <w:vAlign w:val="center"/>
          </w:tcPr>
          <w:tbl>
            <w:tblPr>
              <w:tblW w:w="9989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989"/>
            </w:tblGrid>
            <w:tr>
              <w:trPr>
                <w:trHeight w:val="227" w:hRule="atLeast"/>
              </w:trPr>
              <w:tc>
                <w:tcPr>
                  <w:tcW w:w="9989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pacing w:before="120"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cs="Arial" w:ascii="Arial" w:hAnsi="Arial"/>
                      <w:sz w:val="18"/>
                      <w:szCs w:val="18"/>
                    </w:rPr>
                    <w:t xml:space="preserve">ул. Мельниченко, д. 4, г. Алдан, Республика Саха (Якутия), Российская Федерация, 678901  </w:t>
                  </w:r>
                </w:p>
              </w:tc>
            </w:tr>
            <w:tr>
              <w:trPr>
                <w:trHeight w:val="227" w:hRule="atLeast"/>
              </w:trPr>
              <w:tc>
                <w:tcPr>
                  <w:tcW w:w="9989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/>
                  </w:pPr>
                  <w:hyperlink r:id="rId3">
                    <w:r>
                      <w:rPr>
                        <w:rStyle w:val="Hyperlink"/>
                        <w:rFonts w:eastAsia="Times New Roman" w:cs="Arial" w:ascii="Arial" w:hAnsi="Arial"/>
                        <w:sz w:val="18"/>
                        <w:szCs w:val="18"/>
                        <w:lang w:val="en-US"/>
                      </w:rPr>
                      <w:t>doc</w:t>
                    </w:r>
                    <w:r>
                      <w:rPr>
                        <w:rStyle w:val="Hyperlink"/>
                        <w:rFonts w:eastAsia="Times New Roman" w:cs="Arial" w:ascii="Arial" w:hAnsi="Arial"/>
                        <w:sz w:val="18"/>
                        <w:szCs w:val="18"/>
                      </w:rPr>
                      <w:t>@</w:t>
                    </w:r>
                    <w:r>
                      <w:rPr>
                        <w:rStyle w:val="Hyperlink"/>
                        <w:rFonts w:eastAsia="Times New Roman" w:cs="Arial" w:ascii="Arial" w:hAnsi="Arial"/>
                        <w:sz w:val="18"/>
                        <w:szCs w:val="18"/>
                        <w:lang w:val="en-US"/>
                      </w:rPr>
                      <w:t>aldan</w:t>
                    </w:r>
                    <w:r>
                      <w:rPr>
                        <w:rStyle w:val="Hyperlink"/>
                        <w:rFonts w:eastAsia="Times New Roman" w:cs="Arial" w:ascii="Arial" w:hAnsi="Arial"/>
                        <w:sz w:val="18"/>
                        <w:szCs w:val="18"/>
                      </w:rPr>
                      <w:t>.</w:t>
                    </w:r>
                    <w:r>
                      <w:rPr>
                        <w:rStyle w:val="Hyperlink"/>
                        <w:rFonts w:eastAsia="Times New Roman" w:cs="Arial" w:ascii="Arial" w:hAnsi="Arial"/>
                        <w:sz w:val="18"/>
                        <w:szCs w:val="18"/>
                        <w:lang w:val="en-US"/>
                      </w:rPr>
                      <w:t>drsk</w:t>
                    </w:r>
                    <w:r>
                      <w:rPr>
                        <w:rStyle w:val="Hyperlink"/>
                        <w:rFonts w:eastAsia="Times New Roman" w:cs="Arial" w:ascii="Arial" w:hAnsi="Arial"/>
                        <w:sz w:val="18"/>
                        <w:szCs w:val="18"/>
                      </w:rPr>
                      <w:t>.</w:t>
                    </w:r>
                    <w:r>
                      <w:rPr>
                        <w:rStyle w:val="Hyperlink"/>
                        <w:rFonts w:eastAsia="Times New Roman" w:cs="Arial" w:ascii="Arial" w:hAnsi="Arial"/>
                        <w:sz w:val="18"/>
                        <w:szCs w:val="18"/>
                        <w:lang w:val="en-US"/>
                      </w:rPr>
                      <w:t>ru</w:t>
                    </w:r>
                  </w:hyperlink>
                  <w:r>
                    <w:rPr>
                      <w:rStyle w:val="Hyperlink"/>
                      <w:rFonts w:eastAsia="Times New Roman" w:cs="Arial" w:ascii="Arial" w:hAnsi="Arial"/>
                      <w:sz w:val="18"/>
                      <w:szCs w:val="18"/>
                    </w:rPr>
                    <w:t xml:space="preserve">; </w:t>
                  </w:r>
                  <w:r>
                    <w:rPr>
                      <w:rStyle w:val="Hyperlink"/>
                      <w:rFonts w:eastAsia="Times New Roman" w:cs="Arial" w:ascii="Arial" w:hAnsi="Arial"/>
                      <w:sz w:val="18"/>
                      <w:szCs w:val="18"/>
                      <w:lang w:val="en-US"/>
                    </w:rPr>
                    <w:t>http</w:t>
                  </w:r>
                  <w:r>
                    <w:rPr>
                      <w:rStyle w:val="Hyperlink"/>
                      <w:rFonts w:eastAsia="Times New Roman" w:cs="Arial" w:ascii="Arial" w:hAnsi="Arial"/>
                      <w:sz w:val="18"/>
                      <w:szCs w:val="18"/>
                    </w:rPr>
                    <w:t>://</w:t>
                  </w:r>
                  <w:r>
                    <w:rPr>
                      <w:rStyle w:val="Hyperlink"/>
                      <w:rFonts w:eastAsia="Times New Roman" w:cs="Arial" w:ascii="Arial" w:hAnsi="Arial"/>
                      <w:sz w:val="18"/>
                      <w:szCs w:val="18"/>
                      <w:lang w:val="en-US"/>
                    </w:rPr>
                    <w:t>www</w:t>
                  </w:r>
                  <w:r>
                    <w:rPr>
                      <w:rStyle w:val="Hyperlink"/>
                      <w:rFonts w:eastAsia="Times New Roman" w:cs="Arial" w:ascii="Arial" w:hAnsi="Arial"/>
                      <w:sz w:val="18"/>
                      <w:szCs w:val="18"/>
                    </w:rPr>
                    <w:t>.</w:t>
                  </w:r>
                  <w:r>
                    <w:rPr>
                      <w:rStyle w:val="Hyperlink"/>
                      <w:rFonts w:eastAsia="Times New Roman" w:cs="Arial" w:ascii="Arial" w:hAnsi="Arial"/>
                      <w:sz w:val="18"/>
                      <w:szCs w:val="18"/>
                      <w:lang w:val="en-US"/>
                    </w:rPr>
                    <w:t>drsk</w:t>
                  </w:r>
                  <w:r>
                    <w:rPr>
                      <w:rStyle w:val="Hyperlink"/>
                      <w:rFonts w:eastAsia="Times New Roman" w:cs="Arial" w:ascii="Arial" w:hAnsi="Arial"/>
                      <w:sz w:val="18"/>
                      <w:szCs w:val="18"/>
                    </w:rPr>
                    <w:t>.</w:t>
                  </w:r>
                  <w:r>
                    <w:rPr>
                      <w:rStyle w:val="Hyperlink"/>
                      <w:rFonts w:eastAsia="Times New Roman" w:cs="Arial" w:ascii="Arial" w:hAnsi="Arial"/>
                      <w:sz w:val="18"/>
                      <w:szCs w:val="18"/>
                      <w:lang w:val="en-US"/>
                    </w:rPr>
                    <w:t>ru</w:t>
                  </w:r>
                </w:p>
              </w:tc>
            </w:tr>
          </w:tbl>
          <w:p>
            <w:pPr>
              <w:pStyle w:val="Normal"/>
              <w:widowControl w:val="false"/>
              <w:spacing w:before="120" w:after="0"/>
              <w:jc w:val="center"/>
              <w:rPr>
                <w:rStyle w:val="Hyperlink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cs="Times New Roman"/>
          <w:b/>
          <w:bCs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cs="Times New Roman"/>
          <w:b/>
          <w:bCs/>
          <w:sz w:val="24"/>
          <w:szCs w:val="24"/>
          <w:u w:val="single"/>
        </w:rPr>
        <w:t>ТЕХНИЧЕСКИЕ ТРЕБОВАНИЯ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cs="Times New Roman"/>
          <w:b/>
          <w:bCs/>
          <w:sz w:val="24"/>
          <w:szCs w:val="24"/>
          <w:u w:val="single"/>
        </w:rPr>
      </w:r>
    </w:p>
    <w:p>
      <w:pPr>
        <w:pStyle w:val="Normal"/>
        <w:spacing w:before="120" w:after="0"/>
        <w:ind w:left="-360" w:right="0" w:firstLine="360"/>
        <w:jc w:val="center"/>
        <w:rPr/>
      </w:pPr>
      <w:r>
        <w:rPr>
          <w:rFonts w:eastAsia="Calibri" w:cs="Times New Roman"/>
          <w:b/>
          <w:sz w:val="24"/>
          <w:szCs w:val="24"/>
          <w:lang w:eastAsia="ru-RU"/>
        </w:rPr>
        <w:t>на закупку по лот</w:t>
      </w:r>
      <w:r>
        <w:rPr>
          <w:rFonts w:eastAsia="Calibri" w:cs="Times New Roman"/>
          <w:b/>
          <w:sz w:val="24"/>
          <w:szCs w:val="24"/>
          <w:shd w:fill="auto" w:val="clear"/>
          <w:lang w:eastAsia="ru-RU"/>
        </w:rPr>
        <w:t xml:space="preserve">у </w:t>
      </w:r>
      <w:r>
        <w:rPr>
          <w:rFonts w:eastAsia="Calibri" w:cs="Times New Roman"/>
          <w:b/>
          <w:bCs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shd w:fill="auto" w:val="clear"/>
          <w:em w:val="none"/>
          <w:lang w:eastAsia="ru-RU"/>
        </w:rPr>
        <w:t>5124.1</w:t>
      </w:r>
    </w:p>
    <w:p>
      <w:pPr>
        <w:pStyle w:val="Normal"/>
        <w:spacing w:before="120" w:after="0"/>
        <w:ind w:left="-360" w:right="0" w:firstLine="360"/>
        <w:jc w:val="center"/>
        <w:rPr>
          <w:rFonts w:ascii="Times New Roman" w:hAnsi="Times New Roman"/>
          <w:b/>
          <w:bCs/>
          <w:i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</w:pPr>
      <w:r>
        <w:rPr>
          <w:b/>
          <w:bCs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>ОКПД</w:t>
      </w:r>
      <w:r>
        <w:rPr>
          <w:b/>
          <w:bCs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>2</w:t>
      </w:r>
      <w:r>
        <w:rPr>
          <w:b/>
          <w:bCs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 xml:space="preserve"> 16.10.10.110 Поставка пиломатериалов хвойных пород для нужд филиала АО "ДРСК" "Южно-Якутские электрические сети"</w:t>
      </w:r>
    </w:p>
    <w:p>
      <w:pPr>
        <w:pStyle w:val="Normal"/>
        <w:spacing w:before="120" w:after="0"/>
        <w:ind w:left="-360" w:right="0" w:firstLine="360"/>
        <w:jc w:val="center"/>
        <w:rPr/>
      </w:pPr>
      <w:r>
        <w:rPr/>
      </w:r>
    </w:p>
    <w:p>
      <w:pPr>
        <w:pStyle w:val="Normal"/>
        <w:spacing w:lineRule="auto" w:line="240" w:before="0" w:after="0"/>
        <w:ind w:left="-360" w:right="0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-360" w:right="0" w:hanging="0"/>
        <w:jc w:val="both"/>
        <w:rPr/>
      </w:pPr>
      <w:r>
        <w:rPr>
          <w:rFonts w:cs="Times New Roman"/>
          <w:b/>
        </w:rPr>
        <w:t xml:space="preserve">  </w:t>
      </w:r>
      <w:r>
        <w:rPr>
          <w:rFonts w:cs="Times New Roman"/>
          <w:b/>
        </w:rPr>
        <w:tab/>
        <w:tab/>
        <w:tab/>
        <w:t xml:space="preserve">  1.  Общие условия: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cs="Times New Roman"/>
        </w:rPr>
        <w:t>1.1</w:t>
      </w:r>
      <w:r>
        <w:rPr>
          <w:rFonts w:cs="Times New Roman"/>
          <w:b/>
          <w:sz w:val="26"/>
          <w:szCs w:val="26"/>
        </w:rPr>
        <w:t xml:space="preserve">. </w:t>
      </w:r>
      <w:r>
        <w:rPr>
          <w:rFonts w:cs="Times New Roman"/>
          <w:sz w:val="26"/>
          <w:szCs w:val="26"/>
        </w:rPr>
        <w:t>Планируемый объем поставки составляет не более 174 200,00</w:t>
      </w:r>
      <w:r>
        <w:rPr>
          <w:rFonts w:cs="Times New Roman"/>
          <w:b w:val="false"/>
          <w:i w:val="false"/>
          <w:strike w:val="false"/>
          <w:dstrike w:val="false"/>
          <w:outline w:val="false"/>
          <w:shadow w:val="false"/>
          <w:sz w:val="26"/>
          <w:szCs w:val="26"/>
          <w:u w:val="none"/>
          <w:em w:val="none"/>
        </w:rPr>
        <w:t xml:space="preserve"> руб. </w:t>
      </w:r>
      <w:r>
        <w:rPr>
          <w:rFonts w:cs="Times New Roman"/>
          <w:sz w:val="26"/>
          <w:szCs w:val="26"/>
        </w:rPr>
        <w:t>без НДС /</w:t>
        <w:br/>
      </w:r>
      <w:r>
        <w:rPr>
          <w:rFonts w:cs="Times New Roman"/>
          <w:b w:val="false"/>
          <w:i w:val="false"/>
          <w:strike w:val="false"/>
          <w:dstrike w:val="false"/>
          <w:outline w:val="false"/>
          <w:shadow w:val="false"/>
          <w:sz w:val="26"/>
          <w:szCs w:val="26"/>
          <w:u w:val="none"/>
          <w:em w:val="none"/>
        </w:rPr>
        <w:t>212 524,00</w:t>
      </w:r>
      <w:r>
        <w:rPr>
          <w:rFonts w:cs="Times New Roman"/>
          <w:sz w:val="26"/>
          <w:szCs w:val="26"/>
        </w:rPr>
        <w:t xml:space="preserve"> руб. с НДС 22% на весь срок действия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1.2. Все цены в предложении должны включать все налоги, транспортные расходы и другие обязательные платежи. Стоимость всех сопутствующих работ (услуг), а также все скидки, предлагаемые участником.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ListParagraph"/>
        <w:tabs>
          <w:tab w:val="clear" w:pos="286"/>
          <w:tab w:val="left" w:pos="-426" w:leader="none"/>
        </w:tabs>
        <w:spacing w:lineRule="auto" w:line="240" w:before="0" w:after="0"/>
        <w:ind w:left="0" w:right="0" w:firstLine="709"/>
        <w:contextualSpacing w:val="false"/>
        <w:jc w:val="both"/>
        <w:rPr>
          <w:rFonts w:ascii="Times New Roman" w:hAnsi="Times New Roman" w:cs="Times New Roman"/>
          <w:b/>
        </w:rPr>
      </w:pPr>
      <w:r>
        <w:rPr>
          <w:rFonts w:cs="Times New Roman"/>
          <w:b/>
        </w:rPr>
        <w:t>2. Требования к продукции: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highlight w:val="none"/>
          <w:shd w:fill="FFFFFF" w:val="clear"/>
        </w:rPr>
      </w:pPr>
      <w:r>
        <w:rPr>
          <w:rFonts w:cs="Times New Roman"/>
          <w:shd w:fill="FFFFFF" w:val="clear"/>
        </w:rPr>
        <w:t>2.1. Продукция (Приложение к данным техническим требованиям) должна быть новой, не ранее 2026 г. выпуска и ранее не используемой, соответствовать техническим требованиям.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highlight w:val="none"/>
          <w:shd w:fill="FFFFFF" w:val="clear"/>
        </w:rPr>
      </w:pPr>
      <w:r>
        <w:rPr>
          <w:rFonts w:cs="Times New Roman"/>
          <w:shd w:fill="FFFFFF" w:val="clear"/>
        </w:rPr>
        <w:t>2.2. Гарантийный срок на Товар, поставляемый по Договору, должен составлять не менее двенадцати месяцев от указанного на Товаре производителем срока годности с даты подписания Сторонами накладной ТОРГ-12 или УПД (универсального передаточного документа).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</w:rPr>
      </w:pPr>
      <w:r>
        <w:rPr>
          <w:rFonts w:cs="Times New Roman"/>
        </w:rPr>
        <w:t>2.3. Поставщик должен принять во внимание, что ссылка на артикул (марку) продукции (Приложение к данным техническим требованиям), носит описательный, а не обязательный характер. В случае если Участником предлагаются эквивалент требуемой Заказчику продукции, в составе своего предложения он должен в обязательном порядке предоставить подробное техническое описание предлагаемого к поставке эквивалента, который должен соответствовать техническим требованиям предъявляемым Заказчиком. Отсутствие в составе технического предложения подробного технического описания эквивалентов продукции может являться причиной отклонения предложения Участника.</w:t>
      </w:r>
    </w:p>
    <w:p>
      <w:pPr>
        <w:pStyle w:val="Normal"/>
        <w:tabs>
          <w:tab w:val="clear" w:pos="286"/>
          <w:tab w:val="left" w:pos="567" w:leader="none"/>
        </w:tabs>
        <w:spacing w:before="0" w:after="0"/>
        <w:ind w:left="0" w:right="0" w:firstLine="709"/>
        <w:rPr>
          <w:rFonts w:ascii="Times New Roman" w:hAnsi="Times New Roman" w:cs="Times New Roman"/>
        </w:rPr>
      </w:pPr>
      <w:r>
        <w:rPr>
          <w:rFonts w:cs="Times New Roman"/>
        </w:rPr>
        <w:t>Эквивалентная продукция  - это продукция, которая по техническим и функциональным характеристикам не уступает характеристикам заявленной в конкурсной документации продукции, в том числе по гарантийным срокам.</w:t>
      </w:r>
    </w:p>
    <w:p>
      <w:pPr>
        <w:pStyle w:val="Normal"/>
        <w:tabs>
          <w:tab w:val="clear" w:pos="286"/>
          <w:tab w:val="left" w:pos="567" w:leader="none"/>
        </w:tabs>
        <w:spacing w:before="0" w:after="0"/>
        <w:ind w:left="0" w:right="0" w:firstLine="709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tabs>
          <w:tab w:val="clear" w:pos="286"/>
          <w:tab w:val="left" w:pos="567" w:leader="none"/>
        </w:tabs>
        <w:spacing w:before="0" w:after="0"/>
        <w:ind w:left="0" w:right="0" w:firstLine="709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tabs>
          <w:tab w:val="clear" w:pos="286"/>
          <w:tab w:val="left" w:pos="567" w:leader="none"/>
        </w:tabs>
        <w:spacing w:before="0" w:after="0"/>
        <w:ind w:left="0" w:right="0" w:firstLine="709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tabs>
          <w:tab w:val="clear" w:pos="286"/>
          <w:tab w:val="left" w:pos="567" w:leader="none"/>
        </w:tabs>
        <w:spacing w:before="0" w:after="0"/>
        <w:ind w:left="0" w:right="0" w:hanging="0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b/>
        </w:rPr>
      </w:pPr>
      <w:r>
        <w:rPr>
          <w:rFonts w:cs="Times New Roman"/>
          <w:b/>
        </w:rPr>
        <w:t>3. Требования к Участнику.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</w:rPr>
      </w:pPr>
      <w:r>
        <w:rPr>
          <w:rFonts w:cs="Times New Roman"/>
        </w:rPr>
        <w:t xml:space="preserve">3.1.  Участник должен указать в составе коммерческого предложения Производителя на предлагаемую продукцию, а также в случае предложения эквивалента, представить характеристики предлагаемой продукции в объеме, достаточном для оценки предлагаемой продукции (объем, состав, назначение использования).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</w:rPr>
      </w:pPr>
      <w:r>
        <w:rPr>
          <w:rFonts w:cs="Times New Roman"/>
        </w:rPr>
        <w:t>3.2 Участник в своем предложении указывает общую стоимость предложения не более начальной максимальной цены лота.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/>
        </w:rPr>
        <w:t>3.3 Участник в составе своего предложения предоставляет коммерческое предложении, на запрашиваемый Заказчиком перечень продукции, планируемой к приобретению согласно приложения к данному техническому требованию, с указанием стоимости продукции за одну единицу с НДС (либо без НДС, в случае использования Участником упрощенной системы налогообложения).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/>
        </w:rPr>
        <w:t>3.4 Участник в составе своего предложения для подтверждения соответствия предоставляет заполненное коммерческое предложение, документы и прочую информацию, подтверждающие страну происхождения товара в соответствии с требованиями Постановления Правительства Российской Федерации от 23 декабря 2024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/>
          <w:b/>
        </w:rPr>
        <w:t>4. Сроки поставки продукци</w:t>
      </w:r>
      <w:r>
        <w:rPr>
          <w:rFonts w:cs="Times New Roman"/>
          <w:b/>
          <w:shd w:fill="auto" w:val="clear"/>
        </w:rPr>
        <w:t xml:space="preserve">и: </w:t>
      </w:r>
      <w:r>
        <w:rPr>
          <w:rFonts w:cs="Times New Roman"/>
          <w:shd w:fill="auto" w:val="clear"/>
        </w:rPr>
        <w:t>с 31.08.2026 г. по 18.09.2026 г.  с правом досрочной поставки. П</w:t>
      </w:r>
      <w:r>
        <w:rPr>
          <w:rFonts w:cs="Times New Roman"/>
        </w:rPr>
        <w:t>оставка товара осуществляется на склад Покупателя силами Поставщика в г. Алдан Республика Саха (Якутия) ул Тарабукина 60А.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lineRule="auto" w:line="240" w:before="0" w:after="0"/>
        <w:ind w:left="0" w:right="0" w:hanging="0"/>
        <w:jc w:val="both"/>
        <w:rPr/>
      </w:pPr>
      <w:r>
        <w:rPr>
          <w:rFonts w:cs="Times New Roman"/>
          <w:b/>
        </w:rPr>
        <w:t xml:space="preserve"> </w:t>
      </w:r>
      <w:r>
        <w:rPr>
          <w:rFonts w:cs="Times New Roman"/>
          <w:b/>
        </w:rPr>
        <w:tab/>
        <w:tab/>
        <w:t xml:space="preserve">  5. Оплата поставленной продукции</w:t>
      </w:r>
      <w:r>
        <w:rPr>
          <w:rFonts w:cs="Times New Roman"/>
        </w:rPr>
        <w:t xml:space="preserve">: </w:t>
      </w:r>
      <w:r>
        <w:rPr>
          <w:rFonts w:cs="Times New Roman"/>
          <w:sz w:val="24"/>
          <w:szCs w:val="24"/>
        </w:rPr>
        <w:t xml:space="preserve">осуществляется в течение 20 (двадцати) календарных дней </w:t>
      </w:r>
      <w:r>
        <w:rPr>
          <w:rFonts w:cs="Times New Roman"/>
          <w:sz w:val="26"/>
          <w:szCs w:val="26"/>
        </w:rPr>
        <w:t>(если Поставщик является субъектом малого и среднего предпринимательства -</w:t>
      </w:r>
      <w:bookmarkStart w:id="0" w:name="_GoBack1"/>
      <w:bookmarkEnd w:id="0"/>
      <w:r>
        <w:rPr>
          <w:rFonts w:cs="Times New Roman"/>
          <w:sz w:val="26"/>
          <w:szCs w:val="26"/>
        </w:rPr>
        <w:t xml:space="preserve"> в течение 7 (семи) рабочих дней) с даты поставки товара и подписания Сторонами Накладной ТОРГ-12 или УПД.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 xml:space="preserve">               </w:t>
      </w:r>
    </w:p>
    <w:p>
      <w:pPr>
        <w:pStyle w:val="Normal"/>
        <w:spacing w:lineRule="auto" w:line="240" w:before="0" w:after="0"/>
        <w:ind w:left="0" w:right="0" w:hanging="0"/>
        <w:jc w:val="both"/>
        <w:rPr/>
      </w:pPr>
      <w:r>
        <w:rPr/>
      </w:r>
    </w:p>
    <w:p>
      <w:pPr>
        <w:pStyle w:val="Normal"/>
        <w:spacing w:before="120" w:after="0"/>
        <w:ind w:left="-360" w:right="0" w:firstLine="360"/>
        <w:jc w:val="center"/>
        <w:rPr>
          <w:rFonts w:ascii="Liberation Serif" w:hAnsi="Liberation Serif"/>
          <w:b/>
          <w:bCs/>
          <w:i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</w:pPr>
      <w:r>
        <w:rPr>
          <w:rFonts w:ascii="Liberation Serif" w:hAnsi="Liberation Serif"/>
          <w:b/>
          <w:bCs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</w:r>
    </w:p>
    <w:p>
      <w:pPr>
        <w:pStyle w:val="Normal"/>
        <w:jc w:val="center"/>
        <w:rPr>
          <w:rFonts w:ascii="Arial" w:hAnsi="Arial" w:cs="Arial"/>
          <w:b/>
          <w:i/>
          <w:i/>
          <w:sz w:val="22"/>
          <w:szCs w:val="22"/>
        </w:rPr>
      </w:pPr>
      <w:r>
        <w:rPr>
          <w:rFonts w:cs="Arial" w:ascii="Arial" w:hAnsi="Arial"/>
          <w:b/>
          <w:i/>
          <w:sz w:val="22"/>
          <w:szCs w:val="22"/>
        </w:rPr>
      </w:r>
    </w:p>
    <w:p>
      <w:pPr>
        <w:pStyle w:val="Normal"/>
        <w:spacing w:before="120" w:after="0"/>
        <w:ind w:left="0" w:right="0" w:firstLine="709"/>
        <w:rPr/>
      </w:pPr>
      <w:r>
        <w:rPr/>
      </w:r>
    </w:p>
    <w:p>
      <w:pPr>
        <w:pStyle w:val="PlainText"/>
        <w:spacing w:before="120" w:after="0"/>
        <w:ind w:left="0" w:right="0" w:firstLine="709"/>
        <w:rPr>
          <w:b w:val="false"/>
          <w:bCs w:val="false"/>
          <w:i/>
          <w:i/>
          <w:iCs/>
          <w:sz w:val="26"/>
          <w:szCs w:val="26"/>
        </w:rPr>
      </w:pPr>
      <w:r>
        <w:rPr>
          <w:b w:val="false"/>
          <w:bCs w:val="false"/>
          <w:i/>
          <w:iCs/>
          <w:sz w:val="26"/>
          <w:szCs w:val="26"/>
        </w:rPr>
      </w:r>
    </w:p>
    <w:p>
      <w:pPr>
        <w:pStyle w:val="Normal"/>
        <w:spacing w:before="120" w:after="0"/>
        <w:ind w:left="0" w:right="0" w:firstLine="709"/>
        <w:rPr/>
      </w:pPr>
      <w:r>
        <w:rPr/>
      </w:r>
    </w:p>
    <w:p>
      <w:pPr>
        <w:pStyle w:val="Normal"/>
        <w:spacing w:before="120" w:after="0"/>
        <w:ind w:left="0" w:right="0" w:firstLine="709"/>
        <w:rPr/>
      </w:pPr>
      <w:r>
        <w:rPr/>
      </w:r>
    </w:p>
    <w:p>
      <w:pPr>
        <w:pStyle w:val="Normal"/>
        <w:spacing w:before="120" w:after="0"/>
        <w:ind w:left="0" w:right="0" w:firstLine="709"/>
        <w:rPr/>
      </w:pPr>
      <w:r>
        <w:rPr/>
      </w:r>
    </w:p>
    <w:p>
      <w:pPr>
        <w:pStyle w:val="Normal"/>
        <w:spacing w:before="120" w:after="0"/>
        <w:ind w:left="0" w:right="0" w:firstLine="709"/>
        <w:rPr/>
      </w:pPr>
      <w:r>
        <w:rPr/>
      </w:r>
    </w:p>
    <w:p>
      <w:pPr>
        <w:pStyle w:val="Normal"/>
        <w:spacing w:before="120" w:after="0"/>
        <w:ind w:left="0" w:right="0" w:firstLine="709"/>
        <w:rPr/>
      </w:pPr>
      <w:r>
        <w:rPr/>
      </w:r>
    </w:p>
    <w:p>
      <w:pPr>
        <w:pStyle w:val="Normal"/>
        <w:spacing w:before="120" w:after="0"/>
        <w:ind w:left="0" w:right="0" w:firstLine="709"/>
        <w:rPr/>
      </w:pPr>
      <w:r>
        <w:rPr/>
      </w:r>
    </w:p>
    <w:p>
      <w:pPr>
        <w:pStyle w:val="Normal"/>
        <w:spacing w:before="120" w:after="0"/>
        <w:ind w:left="0" w:right="0" w:firstLine="709"/>
        <w:rPr/>
      </w:pPr>
      <w:r>
        <w:rPr/>
      </w:r>
    </w:p>
    <w:p>
      <w:pPr>
        <w:pStyle w:val="Normal"/>
        <w:ind w:hanging="0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0"/>
          <w:szCs w:val="20"/>
        </w:rPr>
        <w:t xml:space="preserve">Исп. </w:t>
      </w:r>
      <w:r>
        <w:rPr>
          <w:rFonts w:eastAsia="Times New Roman"/>
          <w:i/>
          <w:sz w:val="20"/>
          <w:szCs w:val="20"/>
          <w:lang w:val="ru-RU" w:eastAsia="ru-RU"/>
        </w:rPr>
        <w:t>Ураскин А.В.</w:t>
      </w:r>
    </w:p>
    <w:p>
      <w:pPr>
        <w:pStyle w:val="Normal"/>
        <w:ind w:hanging="0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0"/>
          <w:szCs w:val="20"/>
          <w:lang w:val="ru-RU" w:eastAsia="ru-RU"/>
        </w:rPr>
        <w:t>тел: (41145) 47-238 доб. 3408</w:t>
      </w:r>
    </w:p>
    <w:p>
      <w:pPr>
        <w:pStyle w:val="Normal"/>
        <w:ind w:hanging="0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0"/>
          <w:szCs w:val="20"/>
          <w:lang w:val="ru-RU" w:eastAsia="ru-RU"/>
        </w:rPr>
        <w:t>е</w:t>
      </w:r>
      <w:r>
        <w:rPr>
          <w:rFonts w:eastAsia="Times New Roman"/>
          <w:i/>
          <w:sz w:val="20"/>
          <w:szCs w:val="20"/>
          <w:lang w:val="en-US" w:eastAsia="ru-RU"/>
        </w:rPr>
        <w:t>mail</w:t>
      </w:r>
      <w:r>
        <w:rPr>
          <w:rFonts w:eastAsia="Times New Roman"/>
          <w:i/>
          <w:sz w:val="20"/>
          <w:szCs w:val="20"/>
          <w:lang w:val="ru-RU" w:eastAsia="ru-RU"/>
        </w:rPr>
        <w:t xml:space="preserve">: </w:t>
      </w:r>
      <w:r>
        <w:rPr>
          <w:rStyle w:val="Hyperlink"/>
          <w:rFonts w:eastAsia="Times New Roman"/>
          <w:i/>
          <w:sz w:val="20"/>
          <w:szCs w:val="20"/>
          <w:lang w:val="en-US" w:eastAsia="ru-RU"/>
        </w:rPr>
        <w:t>uraskin-av</w:t>
      </w:r>
      <w:hyperlink r:id="rId4">
        <w:r>
          <w:rPr>
            <w:rStyle w:val="Hyperlink"/>
            <w:rFonts w:eastAsia="Times New Roman"/>
            <w:i/>
            <w:sz w:val="20"/>
            <w:szCs w:val="20"/>
          </w:rPr>
          <w:t>@</w:t>
        </w:r>
        <w:r>
          <w:rPr>
            <w:rStyle w:val="Hyperlink"/>
            <w:rFonts w:eastAsia="Times New Roman"/>
            <w:i/>
            <w:sz w:val="20"/>
            <w:szCs w:val="20"/>
            <w:lang w:val="en-US"/>
          </w:rPr>
          <w:t>aldan</w:t>
        </w:r>
        <w:r>
          <w:rPr>
            <w:rStyle w:val="Hyperlink"/>
            <w:rFonts w:eastAsia="Times New Roman"/>
            <w:i/>
            <w:sz w:val="20"/>
            <w:szCs w:val="20"/>
          </w:rPr>
          <w:t>.</w:t>
        </w:r>
        <w:r>
          <w:rPr>
            <w:rStyle w:val="Hyperlink"/>
            <w:rFonts w:eastAsia="Times New Roman"/>
            <w:i/>
            <w:sz w:val="20"/>
            <w:szCs w:val="20"/>
            <w:lang w:val="en-US"/>
          </w:rPr>
          <w:t>drsk</w:t>
        </w:r>
        <w:r>
          <w:rPr>
            <w:rStyle w:val="Hyperlink"/>
            <w:rFonts w:eastAsia="Times New Roman"/>
            <w:i/>
            <w:sz w:val="20"/>
            <w:szCs w:val="20"/>
          </w:rPr>
          <w:t>.</w:t>
        </w:r>
        <w:r>
          <w:rPr>
            <w:rStyle w:val="Hyperlink"/>
            <w:rFonts w:eastAsia="Times New Roman"/>
            <w:i/>
            <w:sz w:val="20"/>
            <w:szCs w:val="20"/>
            <w:lang w:val="en-US"/>
          </w:rPr>
          <w:t>ru</w:t>
        </w:r>
      </w:hyperlink>
    </w:p>
    <w:sectPr>
      <w:footerReference w:type="default" r:id="rId5"/>
      <w:footerReference w:type="first" r:id="rId6"/>
      <w:type w:val="nextPage"/>
      <w:pgSz w:w="11906" w:h="16838"/>
      <w:pgMar w:left="1134" w:right="567" w:gutter="0" w:header="0" w:top="1134" w:footer="1134" w:bottom="1559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286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 Sharp" w:cs="Lohit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both"/>
    </w:pPr>
    <w:rPr>
      <w:rFonts w:ascii="Times New Roman" w:hAnsi="Times New Roman" w:eastAsia="Calibri" w:cs="Times New Roman"/>
      <w:color w:val="auto"/>
      <w:kern w:val="0"/>
      <w:sz w:val="26"/>
      <w:szCs w:val="26"/>
      <w:lang w:val="ru-RU" w:eastAsia="zh-CN" w:bidi="ar-SA"/>
    </w:rPr>
  </w:style>
  <w:style w:type="character" w:styleId="Style9">
    <w:name w:val="Основной шрифт абзаца"/>
    <w:qFormat/>
    <w:rPr/>
  </w:style>
  <w:style w:type="character" w:styleId="Style10">
    <w:name w:val="Текст выноски Знак"/>
    <w:qFormat/>
    <w:rPr>
      <w:rFonts w:ascii="Tahoma" w:hAnsi="Tahoma" w:eastAsia="Calibri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styleId="Style11">
    <w:name w:val="Верхний колонтитул Знак"/>
    <w:qFormat/>
    <w:rPr>
      <w:rFonts w:ascii="Times New Roman" w:hAnsi="Times New Roman" w:eastAsia="Calibri" w:cs="Times New Roman"/>
      <w:sz w:val="26"/>
      <w:szCs w:val="26"/>
    </w:rPr>
  </w:style>
  <w:style w:type="character" w:styleId="Style12">
    <w:name w:val="Нижний колонтитул Знак"/>
    <w:qFormat/>
    <w:rPr>
      <w:rFonts w:ascii="Times New Roman" w:hAnsi="Times New Roman" w:eastAsia="Calibri" w:cs="Times New Roman"/>
      <w:sz w:val="26"/>
      <w:szCs w:val="26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Lohit Devanagari"/>
    </w:rPr>
  </w:style>
  <w:style w:type="paragraph" w:styleId="Style15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16">
    <w:name w:val="Колонтитул"/>
    <w:basedOn w:val="Normal"/>
    <w:qFormat/>
    <w:pPr>
      <w:suppressLineNumbers/>
      <w:tabs>
        <w:tab w:val="clear" w:pos="286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Style17">
    <w:name w:val="Содержимое таблицы"/>
    <w:basedOn w:val="Normal"/>
    <w:qFormat/>
    <w:pPr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paragraph" w:styleId="ListParagraph">
    <w:name w:val="List Paragraph"/>
    <w:basedOn w:val="Normal"/>
    <w:qFormat/>
    <w:pPr>
      <w:spacing w:before="0" w:after="160"/>
      <w:ind w:left="720" w:right="0" w:hanging="0"/>
      <w:contextualSpacing/>
    </w:pPr>
    <w:rPr/>
  </w:style>
  <w:style w:type="paragraph" w:styleId="PlainText">
    <w:name w:val="Plain Text"/>
    <w:basedOn w:val="Normal"/>
    <w:qFormat/>
    <w:pPr>
      <w:jc w:val="left"/>
    </w:pPr>
    <w:rPr>
      <w:rFonts w:eastAsia="Calibri" w:cs="Lohit Devanagari"/>
      <w:sz w:val="28"/>
      <w:szCs w:val="21"/>
      <w:lang w:eastAsia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doc@aldan.drsk.ru" TargetMode="External"/><Relationship Id="rId4" Type="http://schemas.openxmlformats.org/officeDocument/2006/relationships/hyperlink" Target="mailto:fedotov@aldan.drsk.ru" TargetMode="Externa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290</TotalTime>
  <Application>AlterOffice/2025.3.1.0$Linux_X86_64 LibreOffice_project/431cd1b79110582f53535c95ed0a2449aadc8bf9</Application>
  <AppVersion>15.0000</AppVersion>
  <Pages>2</Pages>
  <Words>487</Words>
  <Characters>3456</Characters>
  <CharactersWithSpaces>3952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2023-08-01T11:05:00Z</dcterms:created>
  <dc:creator>Фоменко Светлана Анатольевна</dc:creator>
  <dc:description/>
  <dc:language>ru-RU</dc:language>
  <cp:lastModifiedBy>uraskin_av</cp:lastModifiedBy>
  <cp:lastPrinted>2026-01-15T14:23:38Z</cp:lastPrinted>
  <dcterms:modified xsi:type="dcterms:W3CDTF">2026-08-11T10:57:56Z</dcterms:modified>
  <cp:revision>72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