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bookmarkStart w:id="0" w:name="_Toc124846883"/>
      <w:bookmarkStart w:id="1" w:name="_Toc124591877"/>
      <w:bookmarkStart w:id="2" w:name="_Toc124592000"/>
      <w:r>
        <w:rPr>
          <w:b/>
          <w:sz w:val="24"/>
          <w:szCs w:val="24"/>
        </w:rPr>
        <w:t>ТЕХНИЧЕСКИЕ ТРЕБОВАНИЯ</w:t>
      </w:r>
      <w:bookmarkEnd w:id="0"/>
      <w:bookmarkEnd w:id="1"/>
      <w:bookmarkEnd w:id="2"/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ОКПД2 30.11.50.150 Поставка буев </w:t>
      </w:r>
      <w:r>
        <w:rPr>
          <w:b/>
          <w:sz w:val="24"/>
          <w:szCs w:val="24"/>
        </w:rPr>
        <w:t>плавучих ледовых</w:t>
      </w:r>
      <w:r>
        <w:br w:type="page"/>
      </w:r>
    </w:p>
    <w:p>
      <w:pPr>
        <w:pStyle w:val="Normal"/>
        <w:keepNext w:val="true"/>
        <w:keepLines/>
        <w:suppressAutoHyphens w:val="true"/>
        <w:ind w:right="121" w:hanging="0"/>
        <w:jc w:val="center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 xml:space="preserve">СОДЕРЖАНИЕ 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uppressAutoHyphens w:val="true"/>
            <w:spacing w:before="120" w:after="0"/>
            <w:rPr>
              <w:rFonts w:eastAsia="新細明體" w:eastAsiaTheme="minorEastAsia"/>
              <w:b/>
              <w:sz w:val="24"/>
              <w:szCs w:val="24"/>
            </w:rPr>
          </w:pPr>
          <w:r>
            <w:fldChar w:fldCharType="begin"/>
          </w:r>
          <w:r>
            <w:rPr>
              <w:webHidden/>
              <w:rStyle w:val="Style16"/>
              <w:sz w:val="24"/>
              <w:b/>
              <w:szCs w:val="24"/>
              <w:bCs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6"/>
              <w:sz w:val="24"/>
              <w:b/>
              <w:szCs w:val="24"/>
              <w:bCs/>
              <w:vanish w:val="false"/>
              <w:rFonts w:eastAsia="Calibri"/>
            </w:rPr>
            <w:fldChar w:fldCharType="separate"/>
          </w:r>
          <w:hyperlink w:anchor="_Toc207014873">
            <w:r>
              <w:rPr>
                <w:webHidden/>
                <w:rStyle w:val="Style16"/>
                <w:rFonts w:eastAsia="Calibri"/>
                <w:b/>
                <w:bCs/>
                <w:vanish w:val="false"/>
                <w:sz w:val="24"/>
                <w:szCs w:val="24"/>
              </w:rPr>
              <w:t>1.</w:t>
            </w:r>
            <w:r>
              <w:rPr>
                <w:rStyle w:val="Style16"/>
                <w:rFonts w:eastAsia="新細明體" w:eastAsiaTheme="minorEastAsia"/>
                <w:b/>
                <w:sz w:val="24"/>
                <w:szCs w:val="24"/>
              </w:rPr>
              <w:tab/>
            </w:r>
            <w:r>
              <w:rPr>
                <w:rStyle w:val="Style16"/>
                <w:rFonts w:eastAsia="Calibri"/>
                <w:b/>
                <w:bCs/>
                <w:sz w:val="24"/>
                <w:szCs w:val="2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_Toc207014873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b/>
                <w:bCs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uppressAutoHyphens w:val="true"/>
            <w:spacing w:before="120" w:after="0"/>
            <w:rPr>
              <w:rFonts w:eastAsia="新細明體" w:eastAsiaTheme="minorEastAsia"/>
              <w:b/>
              <w:sz w:val="24"/>
              <w:szCs w:val="24"/>
              <w:lang w:val="en-US"/>
            </w:rPr>
          </w:pPr>
          <w:hyperlink w:anchor="_Toc207014879">
            <w:r>
              <w:rPr>
                <w:webHidden/>
                <w:rStyle w:val="Style16"/>
                <w:rFonts w:eastAsia="Calibri"/>
                <w:b/>
                <w:bCs/>
                <w:caps/>
                <w:vanish w:val="false"/>
                <w:sz w:val="24"/>
                <w:szCs w:val="24"/>
              </w:rPr>
              <w:t>2.</w:t>
            </w:r>
            <w:r>
              <w:rPr>
                <w:rStyle w:val="Style16"/>
                <w:rFonts w:eastAsia="新細明體" w:eastAsiaTheme="minorEastAsia"/>
                <w:b/>
                <w:sz w:val="24"/>
                <w:szCs w:val="24"/>
              </w:rPr>
              <w:tab/>
            </w:r>
            <w:r>
              <w:rPr>
                <w:rStyle w:val="Style16"/>
                <w:rFonts w:eastAsia="Calibri"/>
                <w:b/>
                <w:bCs/>
                <w:sz w:val="24"/>
                <w:szCs w:val="24"/>
              </w:rPr>
              <w:t>Требования к продукции</w:t>
            </w:r>
            <w:r>
              <w:rPr>
                <w:rStyle w:val="Style16"/>
                <w:b/>
                <w:bCs/>
                <w:sz w:val="24"/>
                <w:szCs w:val="24"/>
              </w:rPr>
              <w:tab/>
            </w:r>
          </w:hyperlink>
          <w:r>
            <w:rPr>
              <w:b/>
              <w:bCs/>
              <w:sz w:val="24"/>
              <w:szCs w:val="24"/>
              <w:lang w:val="en-US"/>
            </w:rPr>
            <w:t>4</w:t>
          </w:r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uppressAutoHyphens w:val="true"/>
            <w:spacing w:before="120" w:after="0"/>
            <w:rPr>
              <w:rFonts w:eastAsia="新細明體" w:eastAsiaTheme="minorEastAsia"/>
              <w:b/>
              <w:sz w:val="24"/>
              <w:szCs w:val="24"/>
              <w:lang w:val="en-US"/>
            </w:rPr>
          </w:pPr>
          <w:r>
            <w:rPr>
              <w:b/>
              <w:bCs/>
              <w:sz w:val="24"/>
              <w:szCs w:val="24"/>
              <w:lang w:val="en-US"/>
            </w:rPr>
            <w:t xml:space="preserve">3.     </w:t>
          </w:r>
          <w:hyperlink w:anchor="_Toc207014882">
            <w:r>
              <w:rPr>
                <w:webHidden/>
                <w:rStyle w:val="Style16"/>
                <w:rFonts w:eastAsia="Calibri"/>
                <w:b/>
                <w:bCs/>
                <w:vanish w:val="false"/>
                <w:sz w:val="24"/>
                <w:szCs w:val="24"/>
              </w:rPr>
              <w:t xml:space="preserve">Таблица 1.1 Перечень и объем закупаемых продукции </w:t>
            </w:r>
            <w:r>
              <w:rPr>
                <w:rStyle w:val="Style16"/>
                <w:b/>
                <w:bCs/>
                <w:sz w:val="24"/>
                <w:szCs w:val="24"/>
              </w:rPr>
              <w:tab/>
            </w:r>
          </w:hyperlink>
          <w:r>
            <w:rPr>
              <w:b/>
              <w:bCs/>
              <w:sz w:val="24"/>
              <w:szCs w:val="24"/>
              <w:lang w:val="en-US"/>
            </w:rPr>
            <w:t>4</w:t>
          </w:r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uppressAutoHyphens w:val="true"/>
            <w:spacing w:before="120" w:after="0"/>
            <w:rPr>
              <w:rFonts w:eastAsia="新細明體" w:eastAsiaTheme="minorEastAsia"/>
              <w:b/>
              <w:sz w:val="24"/>
              <w:szCs w:val="24"/>
              <w:lang w:val="en-US"/>
            </w:rPr>
          </w:pPr>
          <w:r>
            <w:rPr>
              <w:b/>
              <w:bCs/>
              <w:sz w:val="24"/>
              <w:szCs w:val="24"/>
              <w:lang w:val="en-US"/>
            </w:rPr>
            <w:t xml:space="preserve">         </w:t>
          </w:r>
          <w:hyperlink w:anchor="_Toc207014883">
            <w:r>
              <w:rPr>
                <w:webHidden/>
                <w:rStyle w:val="Style16"/>
                <w:rFonts w:eastAsia="Calibri"/>
                <w:b/>
                <w:bCs/>
                <w:vanish w:val="false"/>
                <w:sz w:val="24"/>
                <w:szCs w:val="24"/>
              </w:rPr>
              <w:t>Таблица 1.2 Перечень и объем закупаемых сопутствующих услуг</w:t>
            </w:r>
            <w:r>
              <w:rPr>
                <w:rStyle w:val="Style16"/>
                <w:b/>
                <w:bCs/>
                <w:sz w:val="24"/>
                <w:szCs w:val="24"/>
              </w:rPr>
              <w:tab/>
            </w:r>
          </w:hyperlink>
          <w:r>
            <w:rPr>
              <w:b/>
              <w:bCs/>
              <w:sz w:val="24"/>
              <w:szCs w:val="24"/>
              <w:lang w:val="en-US"/>
            </w:rPr>
            <w:t>4</w:t>
          </w:r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uppressAutoHyphens w:val="true"/>
            <w:spacing w:before="120" w:after="0"/>
            <w:rPr>
              <w:rFonts w:eastAsia="新細明體" w:eastAsiaTheme="minorEastAsia"/>
              <w:b/>
              <w:sz w:val="24"/>
              <w:szCs w:val="24"/>
            </w:rPr>
          </w:pPr>
          <w:r>
            <w:rPr>
              <w:b/>
              <w:bCs/>
              <w:sz w:val="24"/>
              <w:szCs w:val="24"/>
              <w:lang w:val="en-US"/>
            </w:rPr>
            <w:t xml:space="preserve">         </w:t>
          </w:r>
          <w:hyperlink w:anchor="_Toc207014885">
            <w:r>
              <w:rPr>
                <w:webHidden/>
                <w:rStyle w:val="Style16"/>
                <w:rFonts w:eastAsia="Calibri"/>
                <w:b/>
                <w:bCs/>
                <w:vanish w:val="false"/>
                <w:sz w:val="24"/>
                <w:szCs w:val="24"/>
              </w:rPr>
              <w:t>Таблица 2.2</w:t>
            </w:r>
            <w:r>
              <w:rPr>
                <w:rStyle w:val="Style16"/>
                <w:sz w:val="24"/>
                <w:szCs w:val="24"/>
              </w:rPr>
              <w:t xml:space="preserve"> </w:t>
            </w:r>
            <w:r>
              <w:rPr>
                <w:rStyle w:val="Style16"/>
                <w:b/>
                <w:sz w:val="24"/>
                <w:szCs w:val="24"/>
              </w:rPr>
              <w:t>Требования к качеству продукции</w:t>
            </w:r>
            <w:r>
              <w:rPr>
                <w:rStyle w:val="Style16"/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_Toc207014885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b/>
                <w:bCs/>
                <w:sz w:val="24"/>
                <w:szCs w:val="2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uppressAutoHyphens w:val="true"/>
            <w:spacing w:before="120" w:after="0"/>
            <w:rPr>
              <w:rFonts w:eastAsia="新細明體" w:eastAsiaTheme="minorEastAsia"/>
              <w:b/>
              <w:sz w:val="24"/>
              <w:szCs w:val="24"/>
              <w:lang w:val="en-US"/>
            </w:rPr>
          </w:pPr>
          <w:r>
            <w:rPr>
              <w:b/>
              <w:bCs/>
              <w:sz w:val="24"/>
              <w:szCs w:val="24"/>
              <w:lang w:val="en-US"/>
            </w:rPr>
            <w:t xml:space="preserve">         </w:t>
          </w:r>
          <w:hyperlink w:anchor="_Toc207014889">
            <w:r>
              <w:rPr>
                <w:webHidden/>
                <w:rStyle w:val="Style16"/>
                <w:rFonts w:eastAsia="Calibri"/>
                <w:b/>
                <w:bCs/>
                <w:vanish w:val="false"/>
                <w:sz w:val="24"/>
                <w:szCs w:val="24"/>
                <w:lang w:val="x-none" w:eastAsia="x-none"/>
              </w:rPr>
              <w:t>Таблица </w:t>
            </w:r>
            <w:r>
              <w:rPr>
                <w:rStyle w:val="Style16"/>
                <w:rFonts w:eastAsia="Calibri"/>
                <w:b/>
                <w:bCs/>
                <w:sz w:val="24"/>
                <w:szCs w:val="24"/>
                <w:lang w:eastAsia="x-none"/>
              </w:rPr>
              <w:t>3</w:t>
            </w:r>
            <w:r>
              <w:rPr>
                <w:rStyle w:val="Style16"/>
                <w:rFonts w:eastAsia="Calibri"/>
                <w:b/>
                <w:bCs/>
                <w:sz w:val="24"/>
                <w:szCs w:val="24"/>
                <w:lang w:val="x-none" w:eastAsia="x-none"/>
              </w:rPr>
              <w:t>. Условия гарантийных обязательств</w:t>
            </w:r>
            <w:r>
              <w:rPr>
                <w:rStyle w:val="Style16"/>
                <w:b/>
                <w:bCs/>
                <w:sz w:val="24"/>
                <w:szCs w:val="24"/>
              </w:rPr>
              <w:tab/>
            </w:r>
          </w:hyperlink>
          <w:r>
            <w:rPr>
              <w:b/>
              <w:bCs/>
              <w:sz w:val="24"/>
              <w:szCs w:val="24"/>
              <w:lang w:val="en-US"/>
            </w:rPr>
            <w:t>19</w:t>
          </w:r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uppressAutoHyphens w:val="true"/>
            <w:spacing w:before="120" w:after="0"/>
            <w:rPr>
              <w:rFonts w:eastAsia="新細明體" w:eastAsiaTheme="minorEastAsia"/>
              <w:b/>
              <w:sz w:val="24"/>
              <w:szCs w:val="24"/>
            </w:rPr>
          </w:pPr>
          <w:hyperlink w:anchor="_Toc207014891">
            <w:r>
              <w:rPr>
                <w:webHidden/>
                <w:rStyle w:val="Style16"/>
                <w:rFonts w:eastAsia="Calibri"/>
                <w:b/>
                <w:bCs/>
                <w:vanish w:val="false"/>
                <w:sz w:val="24"/>
                <w:szCs w:val="24"/>
              </w:rPr>
              <w:t>4.</w:t>
            </w:r>
            <w:r>
              <w:rPr>
                <w:rStyle w:val="Style16"/>
                <w:rFonts w:eastAsia="新細明體" w:eastAsiaTheme="minorEastAsia"/>
                <w:b/>
                <w:sz w:val="24"/>
                <w:szCs w:val="24"/>
              </w:rPr>
              <w:tab/>
            </w:r>
            <w:r>
              <w:rPr>
                <w:rStyle w:val="Style16"/>
                <w:rFonts w:eastAsia="Calibri"/>
                <w:b/>
                <w:bCs/>
                <w:sz w:val="24"/>
                <w:szCs w:val="24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_Toc207014891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b/>
                <w:bCs/>
                <w:sz w:val="24"/>
                <w:szCs w:val="24"/>
              </w:rPr>
              <w:tab/>
              <w:t>32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6"/>
              <w:sz w:val="24"/>
              <w:b/>
              <w:szCs w:val="24"/>
              <w:bCs/>
            </w:rPr>
            <w:fldChar w:fldCharType="end"/>
          </w:r>
        </w:p>
      </w:sdtContent>
    </w:sdt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14"/>
        </w:numPr>
        <w:rPr>
          <w:sz w:val="24"/>
          <w:szCs w:val="24"/>
        </w:rPr>
      </w:pPr>
      <w:bookmarkStart w:id="3" w:name="_Toc124846884"/>
      <w:r>
        <w:rPr>
          <w:iCs/>
          <w:sz w:val="24"/>
          <w:szCs w:val="24"/>
        </w:rPr>
        <w:t>Общие</w:t>
      </w:r>
      <w:r>
        <w:rPr>
          <w:sz w:val="24"/>
          <w:szCs w:val="24"/>
        </w:rPr>
        <w:t xml:space="preserve"> сведения</w:t>
      </w:r>
      <w:bookmarkEnd w:id="3"/>
      <w:r>
        <w:rPr>
          <w:sz w:val="24"/>
          <w:szCs w:val="24"/>
          <w:lang w:val="en-US"/>
        </w:rPr>
        <w:t xml:space="preserve"> </w:t>
      </w:r>
    </w:p>
    <w:p>
      <w:pPr>
        <w:pStyle w:val="Heading1"/>
        <w:numPr>
          <w:ilvl w:val="0"/>
        </w:numPr>
        <w:ind w:left="0" w:hanging="0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ru-RU"/>
        </w:rPr>
        <w:t>1.1.   Обозначения и сокращения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ind w:left="56" w:right="296" w:hanging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ПАО «РусГидро», Красноярский край, г. Красноярск, Филиал ПАО «РусГидро» - «Саратовская ГЭС» РФ, 413840, Саратовская обл., г. Балаково.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Покупатель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ind w:left="56" w:right="296" w:hanging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shd w:fill="FFFFFF" w:val="clear"/>
              </w:rPr>
              <w:t>Филиал ПАО «РусГидро» - «Саратовская ГЭС» РФ, 413840, Саратовская обл., г. Балаково.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Поставщик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ind w:left="56" w:right="296" w:hanging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Поставщик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ind w:left="56" w:right="296" w:hanging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Технические требования</w:t>
            </w:r>
            <w:r>
              <w:rPr>
                <w:b/>
                <w:bCs/>
                <w:iCs/>
                <w:sz w:val="24"/>
                <w:szCs w:val="24"/>
                <w:shd w:fill="FFFF99" w:val="clear"/>
              </w:rPr>
              <w:t xml:space="preserve"> 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ind w:left="56" w:right="296" w:hanging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Стандарт организации</w:t>
            </w:r>
            <w:r>
              <w:rPr>
                <w:b/>
                <w:bCs/>
                <w:iCs/>
                <w:sz w:val="24"/>
                <w:szCs w:val="24"/>
                <w:shd w:fill="FFFF99" w:val="clear"/>
              </w:rPr>
              <w:t xml:space="preserve"> 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НБ и ВБ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ind w:left="56" w:right="296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Нижний и верхний бьеф акватории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ИТСФЗ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ind w:left="56" w:right="296" w:hanging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Инженерно-технические средства защиты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ind w:left="56" w:right="296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Нормативно-технический документ</w:t>
            </w:r>
          </w:p>
        </w:tc>
      </w:tr>
    </w:tbl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p>
      <w:pPr>
        <w:pStyle w:val="Heading4"/>
        <w:numPr>
          <w:ilvl w:val="1"/>
          <w:numId w:val="15"/>
        </w:numPr>
        <w:rPr/>
      </w:pPr>
      <w:bookmarkStart w:id="4" w:name="_Toc75446568"/>
      <w:bookmarkStart w:id="5" w:name="_Toc46743506"/>
      <w:r>
        <w:rPr/>
        <w:t>Наименование закупаемой продукции</w:t>
      </w:r>
      <w:bookmarkEnd w:id="4"/>
      <w:bookmarkEnd w:id="5"/>
    </w:p>
    <w:p>
      <w:pPr>
        <w:pStyle w:val="Normal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ОКПД2 30.11.50.150 Поставка буев </w:t>
      </w:r>
      <w:r>
        <w:rPr>
          <w:sz w:val="24"/>
          <w:szCs w:val="24"/>
        </w:rPr>
        <w:t>плавучих ледовых</w:t>
      </w:r>
      <w:r>
        <w:rPr>
          <w:sz w:val="24"/>
          <w:szCs w:val="24"/>
        </w:rPr>
        <w:t xml:space="preserve"> </w:t>
      </w:r>
      <w:bookmarkStart w:id="6" w:name="_Toc75446569"/>
      <w:bookmarkStart w:id="7" w:name="_Toc46743507"/>
    </w:p>
    <w:p>
      <w:pPr>
        <w:pStyle w:val="Heading4"/>
        <w:numPr>
          <w:ilvl w:val="1"/>
          <w:numId w:val="16"/>
        </w:numPr>
        <w:ind w:left="709" w:hanging="709"/>
        <w:rPr/>
      </w:pPr>
      <w:r>
        <w:rPr/>
        <w:t xml:space="preserve">Цель </w:t>
      </w:r>
      <w:bookmarkEnd w:id="7"/>
      <w:r>
        <w:rPr/>
        <w:t xml:space="preserve">использования закупаемой продукции </w:t>
      </w:r>
      <w:bookmarkEnd w:id="6"/>
    </w:p>
    <w:p>
      <w:pPr>
        <w:pStyle w:val="Normal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Для установки в акватории ВБ и НБ Саратовской ГЭС</w:t>
      </w:r>
    </w:p>
    <w:p>
      <w:pPr>
        <w:pStyle w:val="Normal"/>
        <w:shd w:val="clear" w:color="auto" w:fill="FFFFFF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Heading1"/>
        <w:numPr>
          <w:ilvl w:val="0"/>
          <w:numId w:val="17"/>
        </w:numPr>
        <w:rPr>
          <w:iCs/>
          <w:sz w:val="24"/>
          <w:szCs w:val="24"/>
        </w:rPr>
      </w:pPr>
      <w:bookmarkStart w:id="8" w:name="_Toc124846885"/>
      <w:bookmarkStart w:id="9" w:name="_Toc75446573"/>
      <w:bookmarkStart w:id="10" w:name="_Toc51339693"/>
      <w:r>
        <w:rPr>
          <w:iCs/>
          <w:sz w:val="24"/>
          <w:szCs w:val="24"/>
        </w:rPr>
        <w:t>Требования к продукции</w:t>
      </w:r>
      <w:bookmarkEnd w:id="8"/>
      <w:bookmarkEnd w:id="9"/>
      <w:bookmarkEnd w:id="10"/>
    </w:p>
    <w:p>
      <w:pPr>
        <w:pStyle w:val="Heading4"/>
        <w:numPr>
          <w:ilvl w:val="1"/>
          <w:numId w:val="18"/>
        </w:numPr>
        <w:ind w:left="709" w:hanging="709"/>
        <w:rPr/>
      </w:pPr>
      <w:bookmarkStart w:id="11" w:name="_Toc75446574"/>
      <w:r>
        <w:rPr/>
        <w:t xml:space="preserve">Требования к объёмам и срокам </w:t>
      </w:r>
      <w:r>
        <w:rPr>
          <w:lang w:val="ru-RU"/>
        </w:rPr>
        <w:t>поставки</w:t>
      </w:r>
      <w:bookmarkEnd w:id="11"/>
    </w:p>
    <w:p>
      <w:pPr>
        <w:pStyle w:val="Heading3"/>
        <w:numPr>
          <w:ilvl w:val="2"/>
          <w:numId w:val="19"/>
        </w:numPr>
        <w:ind w:left="709" w:hanging="709"/>
        <w:rPr/>
      </w:pPr>
      <w:bookmarkStart w:id="12" w:name="_Toc124846886"/>
      <w:bookmarkStart w:id="13" w:name="_Toc75446575"/>
      <w:r>
        <w:rPr/>
        <w:t>Перечень и объем закупаемой продукции</w:t>
      </w:r>
      <w:bookmarkEnd w:id="12"/>
      <w:bookmarkEnd w:id="13"/>
    </w:p>
    <w:p>
      <w:pPr>
        <w:pStyle w:val="Heading1"/>
        <w:numPr>
          <w:ilvl w:val="0"/>
        </w:numPr>
        <w:ind w:left="0" w:hanging="0"/>
        <w:rPr>
          <w:sz w:val="24"/>
          <w:szCs w:val="24"/>
        </w:rPr>
      </w:pPr>
      <w:bookmarkStart w:id="14" w:name="_Toc124846887"/>
      <w:bookmarkStart w:id="15" w:name="_Toc124591881"/>
      <w:bookmarkStart w:id="16" w:name="_Toc124591777"/>
      <w:bookmarkStart w:id="17" w:name="_Toc75446576"/>
      <w:bookmarkStart w:id="18" w:name="_Toc51339695"/>
      <w:r>
        <w:rPr>
          <w:sz w:val="24"/>
          <w:szCs w:val="24"/>
        </w:rPr>
        <w:t xml:space="preserve">Таблица 1.1 Перечень </w:t>
      </w:r>
      <w:bookmarkEnd w:id="18"/>
      <w:r>
        <w:rPr>
          <w:sz w:val="24"/>
          <w:szCs w:val="24"/>
        </w:rPr>
        <w:t>и объем закупаемой продукции</w:t>
      </w:r>
      <w:bookmarkStart w:id="19" w:name="_Toc75446578"/>
      <w:bookmarkStart w:id="20" w:name="_Toc51339696"/>
      <w:bookmarkEnd w:id="14"/>
      <w:bookmarkEnd w:id="15"/>
      <w:bookmarkEnd w:id="16"/>
      <w:bookmarkEnd w:id="17"/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tbl>
      <w:tblPr>
        <w:tblW w:w="992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7"/>
        <w:gridCol w:w="4710"/>
        <w:gridCol w:w="1559"/>
        <w:gridCol w:w="1134"/>
        <w:gridCol w:w="1843"/>
      </w:tblGrid>
      <w:tr>
        <w:trPr>
          <w:trHeight w:val="641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оборудования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К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олич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н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. изм.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Примечание</w:t>
            </w:r>
          </w:p>
        </w:tc>
      </w:tr>
      <w:tr>
        <w:trPr>
          <w:trHeight w:val="163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Буй ледовый несветящийся Н2, НАДЕ 305446.010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Приложение №1. Эскиз буя ледового несветящегося Н2</w:t>
            </w:r>
          </w:p>
        </w:tc>
      </w:tr>
      <w:tr>
        <w:trPr>
          <w:trHeight w:val="163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Якорная цепь (ГОСТ 288-79) калибра 22, длина 50 метров в комплекте верт-люг, звено кентера с контрфорсом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  <w:tr>
        <w:trPr>
          <w:trHeight w:val="163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Якорь ЖБ массой 1500кг.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</w:tc>
      </w:tr>
    </w:tbl>
    <w:p>
      <w:pPr>
        <w:pStyle w:val="Heading3"/>
        <w:numPr>
          <w:ilvl w:val="2"/>
          <w:numId w:val="20"/>
        </w:numPr>
        <w:spacing w:before="120" w:afterAutospacing="1"/>
        <w:ind w:left="709" w:hanging="709"/>
        <w:rPr/>
      </w:pPr>
      <w:bookmarkStart w:id="21" w:name="_Toc124846888"/>
      <w:r>
        <w:rPr/>
        <w:t xml:space="preserve">Требования </w:t>
      </w:r>
      <w:bookmarkEnd w:id="20"/>
      <w:r>
        <w:rPr/>
        <w:t>к срокам поставки продукции</w:t>
      </w:r>
      <w:bookmarkEnd w:id="21"/>
      <w:r>
        <w:rPr/>
        <w:t xml:space="preserve"> </w:t>
      </w:r>
      <w:bookmarkEnd w:id="19"/>
    </w:p>
    <w:p>
      <w:pPr>
        <w:pStyle w:val="Heading1"/>
        <w:numPr>
          <w:ilvl w:val="0"/>
        </w:numPr>
        <w:ind w:left="0" w:hanging="0"/>
        <w:rPr>
          <w:sz w:val="24"/>
          <w:szCs w:val="24"/>
          <w:lang w:val="ru-RU"/>
        </w:rPr>
      </w:pPr>
      <w:bookmarkStart w:id="22" w:name="_Toc124846889"/>
      <w:bookmarkStart w:id="23" w:name="_Toc124591779"/>
      <w:bookmarkStart w:id="24" w:name="_Toc75446579"/>
      <w:bookmarkStart w:id="25" w:name="_Toc124591883"/>
      <w:bookmarkStart w:id="26" w:name="_Toc51339697"/>
      <w:bookmarkStart w:id="27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8" w:name="_Hlk50465284"/>
      <w:r>
        <w:rPr>
          <w:sz w:val="24"/>
          <w:szCs w:val="24"/>
        </w:rPr>
        <w:t xml:space="preserve">Требования по срокам </w:t>
      </w:r>
      <w:bookmarkEnd w:id="26"/>
      <w:bookmarkEnd w:id="27"/>
      <w:bookmarkEnd w:id="28"/>
      <w:r>
        <w:rPr>
          <w:sz w:val="24"/>
          <w:szCs w:val="24"/>
          <w:lang w:val="ru-RU"/>
        </w:rPr>
        <w:t>поставки продукции</w:t>
      </w:r>
      <w:bookmarkEnd w:id="22"/>
      <w:bookmarkEnd w:id="23"/>
      <w:bookmarkEnd w:id="24"/>
      <w:bookmarkEnd w:id="25"/>
      <w:r>
        <w:rPr>
          <w:sz w:val="24"/>
          <w:szCs w:val="24"/>
          <w:lang w:val="ru-RU"/>
        </w:rPr>
        <w:t xml:space="preserve"> </w:t>
      </w:r>
    </w:p>
    <w:tbl>
      <w:tblPr>
        <w:tblW w:w="994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4"/>
        <w:gridCol w:w="4618"/>
        <w:gridCol w:w="2237"/>
        <w:gridCol w:w="2240"/>
      </w:tblGrid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1172" w:hRule="atLeast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в соответствии с таблицей 1.1 “Перечень и объем закупаемой продукции”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70 (семьдесят) календарных дней c даты подписания договора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29" w:name="_Toc46743510"/>
            <w:bookmarkStart w:id="30" w:name="_Toc50125126"/>
            <w:bookmarkStart w:id="31" w:name="_Toc46743510"/>
            <w:bookmarkStart w:id="32" w:name="_Toc50125126"/>
            <w:bookmarkEnd w:id="31"/>
            <w:bookmarkEnd w:id="32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680" w:top="1134" w:footer="737" w:bottom="851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  <w:bookmarkStart w:id="33" w:name="_Toc46743510"/>
      <w:bookmarkStart w:id="34" w:name="_Toc50125126"/>
      <w:bookmarkStart w:id="35" w:name="_Toc50125131"/>
      <w:bookmarkStart w:id="36" w:name="_Toc51339698"/>
      <w:bookmarkStart w:id="37" w:name="_Toc75446581"/>
      <w:bookmarkStart w:id="38" w:name="_Toc46743511"/>
      <w:bookmarkStart w:id="39" w:name="_Toc46743510_Копия_1"/>
      <w:bookmarkStart w:id="40" w:name="_Toc50125126_Копия_1"/>
      <w:bookmarkStart w:id="41" w:name="_Toc46743510"/>
      <w:bookmarkStart w:id="42" w:name="_Toc50125126"/>
      <w:bookmarkStart w:id="43" w:name="_Toc50125131"/>
      <w:bookmarkStart w:id="44" w:name="_Toc51339698"/>
      <w:bookmarkStart w:id="45" w:name="_Toc75446581"/>
      <w:bookmarkStart w:id="46" w:name="_Toc46743511"/>
      <w:bookmarkStart w:id="47" w:name="_Toc46743510_Копия_1"/>
      <w:bookmarkStart w:id="48" w:name="_Toc50125126_Копия_1"/>
      <w:bookmarkEnd w:id="41"/>
      <w:bookmarkEnd w:id="42"/>
      <w:bookmarkEnd w:id="47"/>
      <w:bookmarkEnd w:id="48"/>
    </w:p>
    <w:p>
      <w:pPr>
        <w:pStyle w:val="Heading4"/>
        <w:numPr>
          <w:ilvl w:val="0"/>
        </w:numPr>
        <w:tabs>
          <w:tab w:val="clear" w:pos="0"/>
        </w:tabs>
        <w:ind w:left="0" w:hanging="0"/>
        <w:rPr>
          <w:b w:val="false"/>
          <w:bCs w:val="false"/>
          <w:iCs/>
        </w:rPr>
      </w:pPr>
      <w:r>
        <w:rPr>
          <w:lang w:val="ru-RU"/>
        </w:rPr>
        <w:t xml:space="preserve">2.2 </w:t>
      </w:r>
      <w:r>
        <w:rPr/>
        <w:t xml:space="preserve">Требования к </w:t>
      </w:r>
      <w:bookmarkEnd w:id="46"/>
      <w:r>
        <w:rPr/>
        <w:t>качеству продукции</w:t>
      </w:r>
      <w:bookmarkStart w:id="49" w:name="_Toc124591884"/>
      <w:bookmarkStart w:id="50" w:name="_Toc75446582"/>
      <w:bookmarkEnd w:id="43"/>
      <w:bookmarkEnd w:id="44"/>
      <w:bookmarkEnd w:id="45"/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Таблица 3. Требования к продукции</w:t>
      </w:r>
      <w:bookmarkEnd w:id="49"/>
      <w:bookmarkEnd w:id="50"/>
    </w:p>
    <w:p>
      <w:pPr>
        <w:pStyle w:val="Normal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(позиции № 1-3 Таблицы 1.1. «Перечень и объем закупаемой продукции»): </w:t>
      </w:r>
      <w:r>
        <w:rPr>
          <w:rFonts w:eastAsia="Calibri"/>
          <w:b/>
          <w:sz w:val="24"/>
          <w:szCs w:val="24"/>
          <w:lang w:eastAsia="en-US"/>
        </w:rPr>
        <w:t>Поставка плавучих буев</w:t>
      </w:r>
    </w:p>
    <w:tbl>
      <w:tblPr>
        <w:tblStyle w:val="affff8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8"/>
        <w:gridCol w:w="3404"/>
        <w:gridCol w:w="5391"/>
        <w:gridCol w:w="3120"/>
        <w:gridCol w:w="2376"/>
      </w:tblGrid>
      <w:tr>
        <w:trPr>
          <w:tblHeader w:val="true"/>
        </w:trPr>
        <w:tc>
          <w:tcPr>
            <w:tcW w:w="98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40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Наименование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параметра</w:t>
            </w:r>
          </w:p>
        </w:tc>
        <w:tc>
          <w:tcPr>
            <w:tcW w:w="539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Требование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заказчика</w:t>
            </w:r>
          </w:p>
        </w:tc>
        <w:tc>
          <w:tcPr>
            <w:tcW w:w="54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Способ подтверждения участником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соответствия требованиям</w:t>
            </w:r>
          </w:p>
        </w:tc>
      </w:tr>
      <w:tr>
        <w:trPr>
          <w:tblHeader w:val="true"/>
        </w:trPr>
        <w:tc>
          <w:tcPr>
            <w:tcW w:w="98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0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3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12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3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1.</w:t>
            </w:r>
          </w:p>
        </w:tc>
        <w:tc>
          <w:tcPr>
            <w:tcW w:w="87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12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37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87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Буй ледовый несветящийся Н2, НАДЕ 305446.010</w:t>
            </w:r>
          </w:p>
        </w:tc>
        <w:tc>
          <w:tcPr>
            <w:tcW w:w="31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1.1.1.</w:t>
            </w:r>
          </w:p>
        </w:tc>
        <w:tc>
          <w:tcPr>
            <w:tcW w:w="34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Наименование</w:t>
            </w:r>
          </w:p>
        </w:tc>
        <w:tc>
          <w:tcPr>
            <w:tcW w:w="539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Буй ледовый несветящийся Н2, НАДЕ 305446.010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1.1.2.</w:t>
            </w:r>
          </w:p>
        </w:tc>
        <w:tc>
          <w:tcPr>
            <w:tcW w:w="34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Габаритная длина буя, м</w:t>
            </w:r>
          </w:p>
        </w:tc>
        <w:tc>
          <w:tcPr>
            <w:tcW w:w="539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bookmarkStart w:id="51" w:name="_GoBack"/>
            <w:bookmarkEnd w:id="51"/>
            <w:r>
              <w:rPr>
                <w:rFonts w:eastAsia="Times New Roman" w:cs="Times New Roman"/>
                <w:kern w:val="0"/>
                <w:sz w:val="24"/>
                <w:szCs w:val="24"/>
                <w:highlight w:val="yellow"/>
                <w:lang w:val="ru-RU" w:eastAsia="ru-RU" w:bidi="ar-SA"/>
              </w:rPr>
              <w:t>4,10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1.1.3.</w:t>
            </w:r>
          </w:p>
        </w:tc>
        <w:tc>
          <w:tcPr>
            <w:tcW w:w="34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Цвет буя</w:t>
            </w:r>
          </w:p>
        </w:tc>
        <w:tc>
          <w:tcPr>
            <w:tcW w:w="539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красный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1.1.4.</w:t>
            </w:r>
          </w:p>
        </w:tc>
        <w:tc>
          <w:tcPr>
            <w:tcW w:w="34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Высота надводной части при осадке буя (мак-симальной), м</w:t>
            </w:r>
          </w:p>
        </w:tc>
        <w:tc>
          <w:tcPr>
            <w:tcW w:w="539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2,0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1.1.5.</w:t>
            </w:r>
          </w:p>
        </w:tc>
        <w:tc>
          <w:tcPr>
            <w:tcW w:w="34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Диаметр корпуса буя, м</w:t>
            </w:r>
          </w:p>
        </w:tc>
        <w:tc>
          <w:tcPr>
            <w:tcW w:w="539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highlight w:val="yellow"/>
                <w:lang w:val="ru-RU" w:eastAsia="ru-RU" w:bidi="ar-SA"/>
              </w:rPr>
              <w:t>0,95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87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Якорная цепь (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x-none" w:bidi="ar-SA"/>
              </w:rPr>
              <w:t>ГОСТ 288-79) калибра 22, длина 50 метров в комплекте вертлюг, звено кентера с контрфорсом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1.2.1.</w:t>
            </w:r>
          </w:p>
        </w:tc>
        <w:tc>
          <w:tcPr>
            <w:tcW w:w="34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Наименование</w:t>
            </w:r>
          </w:p>
        </w:tc>
        <w:tc>
          <w:tcPr>
            <w:tcW w:w="539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Якорная цепь (ГОСТ 288-79) калибра 22, длина 50 метров в комплекте верт-люг, звено кентера с контрфорсом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1.2.2.</w:t>
            </w:r>
          </w:p>
        </w:tc>
        <w:tc>
          <w:tcPr>
            <w:tcW w:w="340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Длина цепи, м</w:t>
            </w:r>
          </w:p>
        </w:tc>
        <w:tc>
          <w:tcPr>
            <w:tcW w:w="539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50,0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1.2.3</w:t>
            </w:r>
          </w:p>
        </w:tc>
        <w:tc>
          <w:tcPr>
            <w:tcW w:w="34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Калибр цепи, мм</w:t>
            </w:r>
          </w:p>
        </w:tc>
        <w:tc>
          <w:tcPr>
            <w:tcW w:w="539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44" w:hanging="0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22,0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1.2.4.</w:t>
            </w:r>
          </w:p>
        </w:tc>
        <w:tc>
          <w:tcPr>
            <w:tcW w:w="34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Комплектация</w:t>
            </w:r>
          </w:p>
        </w:tc>
        <w:tc>
          <w:tcPr>
            <w:tcW w:w="539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44" w:hanging="0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вертлюг; звено кертера с контрфорсом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45" w:hRule="atLeast"/>
        </w:trPr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jc w:val="center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  <w:t>1.3.</w:t>
            </w:r>
          </w:p>
        </w:tc>
        <w:tc>
          <w:tcPr>
            <w:tcW w:w="87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44" w:hanging="0"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Якорь ЖБ массой 1500 кг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0" w:hRule="atLeast"/>
        </w:trPr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1.3.1.</w:t>
            </w:r>
          </w:p>
        </w:tc>
        <w:tc>
          <w:tcPr>
            <w:tcW w:w="34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44" w:hanging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Наименование</w:t>
            </w:r>
          </w:p>
        </w:tc>
        <w:tc>
          <w:tcPr>
            <w:tcW w:w="5391" w:type="dxa"/>
            <w:tcBorders/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Якорь ЖБ массой 1500 кг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7" w:hRule="atLeast"/>
        </w:trPr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1.3.2.</w:t>
            </w:r>
          </w:p>
        </w:tc>
        <w:tc>
          <w:tcPr>
            <w:tcW w:w="34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44" w:hanging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Конструкция</w:t>
            </w:r>
          </w:p>
        </w:tc>
        <w:tc>
          <w:tcPr>
            <w:tcW w:w="5391" w:type="dxa"/>
            <w:tcBorders/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железобетонный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01" w:hRule="atLeast"/>
        </w:trPr>
        <w:tc>
          <w:tcPr>
            <w:tcW w:w="988" w:type="dxa"/>
            <w:tcBorders/>
            <w:vAlign w:val="center"/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1.3.3.</w:t>
            </w:r>
          </w:p>
        </w:tc>
        <w:tc>
          <w:tcPr>
            <w:tcW w:w="34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44" w:hanging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Масса, кг</w:t>
            </w:r>
          </w:p>
        </w:tc>
        <w:tc>
          <w:tcPr>
            <w:tcW w:w="5391" w:type="dxa"/>
            <w:tcBorders/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1500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61" w:hRule="atLeast"/>
        </w:trPr>
        <w:tc>
          <w:tcPr>
            <w:tcW w:w="98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-115" w:hanging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2</w:t>
            </w:r>
          </w:p>
        </w:tc>
        <w:tc>
          <w:tcPr>
            <w:tcW w:w="87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упаковке, транспортировке, перемещению, условиям хранения, приемке и испытаниям</w:t>
            </w:r>
          </w:p>
        </w:tc>
        <w:tc>
          <w:tcPr>
            <w:tcW w:w="312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65" w:hRule="atLeast"/>
        </w:trPr>
        <w:tc>
          <w:tcPr>
            <w:tcW w:w="98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-115" w:hanging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2.1.</w:t>
            </w:r>
          </w:p>
        </w:tc>
        <w:tc>
          <w:tcPr>
            <w:tcW w:w="340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Место поставки</w:t>
            </w:r>
          </w:p>
        </w:tc>
        <w:tc>
          <w:tcPr>
            <w:tcW w:w="539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120" w:after="120"/>
              <w:ind w:left="56" w:right="296" w:hanging="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shd w:fill="FFFFFF" w:val="clear"/>
                <w:lang w:val="en-US"/>
              </w:rPr>
              <w:t>Филиал ПАО «РусГидро» - «Саратовская ГЭС» РФ, 413840, Саратовская обл., г. Балаково</w:t>
            </w:r>
          </w:p>
        </w:tc>
        <w:tc>
          <w:tcPr>
            <w:tcW w:w="312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65" w:hRule="atLeast"/>
        </w:trPr>
        <w:tc>
          <w:tcPr>
            <w:tcW w:w="98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-115" w:hanging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2.2.</w:t>
            </w:r>
          </w:p>
        </w:tc>
        <w:tc>
          <w:tcPr>
            <w:tcW w:w="340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упаковке и доставке</w:t>
            </w:r>
          </w:p>
        </w:tc>
        <w:tc>
          <w:tcPr>
            <w:tcW w:w="539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Вся продукция должна быть упакована, и защищена, надлежащим образом для транспортировки. Способ упаковки продукции должна отвечать требованиям Завода-изготовителя и должен гарантировать, что   продукция не будет повреждена, деформирована или утеряна во время транспортировки. 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Упаковка продукции должна соответствовать способу транспортировки и выдерживать, без каких-либо ограничений, интенсивную подъёмно-транспортную обработку и воздействие экстремальных температур, соли, осадков во время транспортировки, а также открытого хранения. Поставщик несёт ответственность за качество упаковки.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Поставщик должен обеспечить поставку, разгрузку продукции собственными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Заказчиком за неисполнение или ненадлежащее исполнение обязательств привлеченными к исполнению договора третьими лицами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 Поставка производится в город Балаково в рабочие дни: с 8-00 до 12-00 и с 13-00 до 16-00 (по местному времени) в пятницу с 8-00 до 12-00 и с 13-00 до 15-00 (по местному времени).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 Предоставление информации о транспорте, на котором осуществляется доставка: не позднее, чем за 2 рабочих дня, предшествующих дню поставки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 Автотранспорт:  с обязательной верхней разгрузкой.</w:t>
            </w:r>
          </w:p>
        </w:tc>
        <w:tc>
          <w:tcPr>
            <w:tcW w:w="312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65" w:hRule="atLeast"/>
        </w:trPr>
        <w:tc>
          <w:tcPr>
            <w:tcW w:w="98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-115" w:hanging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2.3.</w:t>
            </w:r>
          </w:p>
        </w:tc>
        <w:tc>
          <w:tcPr>
            <w:tcW w:w="340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Маркировка</w:t>
            </w:r>
          </w:p>
        </w:tc>
        <w:tc>
          <w:tcPr>
            <w:tcW w:w="539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каждой упаковке полное наименование и количество продукции, транспортировочная маркировка. Стоимость тары и упаковки включена в Цену Договора. Тара и упаковка возврату не подлежат.</w:t>
            </w:r>
          </w:p>
        </w:tc>
        <w:tc>
          <w:tcPr>
            <w:tcW w:w="312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090" w:hRule="atLeast"/>
        </w:trPr>
        <w:tc>
          <w:tcPr>
            <w:tcW w:w="98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-115" w:hanging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2.4.</w:t>
            </w:r>
          </w:p>
        </w:tc>
        <w:tc>
          <w:tcPr>
            <w:tcW w:w="340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Приёмка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39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продукции и представленных документов договору и техническим требованиям. Поставляемая продукция должна быть новой, не бывшей в употреблении, не восстановленной, не являться выставочными образцами, свободная от прав третьих лиц.</w:t>
            </w:r>
          </w:p>
        </w:tc>
        <w:tc>
          <w:tcPr>
            <w:tcW w:w="312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3.</w:t>
            </w:r>
          </w:p>
        </w:tc>
        <w:tc>
          <w:tcPr>
            <w:tcW w:w="8795" w:type="dxa"/>
            <w:gridSpan w:val="2"/>
            <w:tcBorders/>
          </w:tcPr>
          <w:p>
            <w:pPr>
              <w:pStyle w:val="Normal"/>
              <w:widowControl w:val="fals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1629" w:hRule="atLeast"/>
        </w:trPr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ind w:left="-113" w:hanging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3.1.</w:t>
            </w:r>
          </w:p>
        </w:tc>
        <w:tc>
          <w:tcPr>
            <w:tcW w:w="34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Продукцию устанавливается гарантийный срок, равный 36 (тридцати шести) месяцам, исчисляемый с даты ввода Продукции в эксплуатацию, но не более 40 (сорока) месяцев с даты подписания Сторонами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специалистов.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23" w:hRule="atLeast"/>
        </w:trPr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4.</w:t>
            </w:r>
          </w:p>
        </w:tc>
        <w:tc>
          <w:tcPr>
            <w:tcW w:w="87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1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51" w:hRule="atLeast"/>
        </w:trPr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ind w:left="-113" w:hanging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4.1.</w:t>
            </w:r>
          </w:p>
        </w:tc>
        <w:tc>
          <w:tcPr>
            <w:tcW w:w="34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right="314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 о качестве продукции (сертификат качества, паспорт и руководство по эксплуатации), действующий на территории РФ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Предоставляется на русском языке при поставке каждой партии (с каждым автомобилем, доставляющим продукцию к месту производства работ либо на склад), с указанием: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производителя и поставщика, адрес;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вид продукции, условные обозначения изделия, соответствие стандартам, габаритные размеры, вес;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дата испытаний, поверка (месяц, год);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паспорт изделия;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инструкция по транспортировке и хранению с указанием конкретных мероприятий и их видов (в т.ч. требования по сохранению гарантийных обязательств производителя);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инструкция по монтажу с указанием конкретных работ и их видов (варианты монтажа и требования по сохранению гарантийных обязательств производителя при выполнении монтажных работ);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инструкция по эксплуатации (Обязательно наличие конкретных/четких перечней действий/мероприятий, работ и их видов, проводимых в рамках подготовки к осенне-зимнему, весенне-летному сезону эксплуатации, а также в рамках текущего обслуживания (в т.ч. четкие инструкции с указанием конкретных способов и воздействий по обколке льда). Обязательное указание конкретных объемов и периодичностей эксплуатационных воздействий для сохранения гарантийных обязательств производителя);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сертификат соответствия;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гарантийный талон или другой документ, выполнение требований которого является условием выполнения гарантийных обязательств производителя или поставщика;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объем материала в партии;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дата и время отгрузки; 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отметки о проверке ОТК.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551" w:hRule="atLeast"/>
        </w:trPr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ind w:left="-113" w:hanging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4.2.</w:t>
            </w:r>
          </w:p>
        </w:tc>
        <w:tc>
          <w:tcPr>
            <w:tcW w:w="34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right="314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Комплектация единицы продукции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Поставка продукции выполняется в таком объеме, которая позволяет начать его использование без доработки и закупки дополнительных комплектующих, расходных материалов и изделий.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1" w:hRule="atLeast"/>
        </w:trPr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ind w:left="-113" w:hanging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87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продукции: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1" w:hRule="atLeast"/>
        </w:trPr>
        <w:tc>
          <w:tcPr>
            <w:tcW w:w="988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ind w:left="-113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340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right="314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Дополнительные требования к продукции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соответствовать климатическим/речным условиям эксплуатации в акваториях верхнего и нижнего бьефов Саратовской ГЭС и поддерживать гарантийные требования завода изготовителя.</w:t>
            </w:r>
          </w:p>
          <w:p>
            <w:pPr>
              <w:pStyle w:val="Normal"/>
              <w:widowControl w:val="false"/>
              <w:spacing w:before="0" w:after="0"/>
              <w:ind w:left="31" w:right="1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период ледохода, при движении ледовых полей/масс, конструкция буев должна обеспечивать его погружение под лед/воду, препятствующее смещению якоря, или отрыву удерживающей цепи.</w:t>
            </w:r>
          </w:p>
        </w:tc>
        <w:tc>
          <w:tcPr>
            <w:tcW w:w="312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orient="landscape" w:w="16838" w:h="11906"/>
          <w:pgMar w:left="992" w:right="567" w:gutter="0" w:header="680" w:top="737" w:footer="737" w:bottom="794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2"/>
        <w:numPr>
          <w:ilvl w:val="0"/>
        </w:numPr>
        <w:tabs>
          <w:tab w:val="clear" w:pos="0"/>
        </w:tabs>
        <w:suppressAutoHyphens w:val="true"/>
        <w:spacing w:before="120" w:after="120"/>
        <w:ind w:left="0" w:hanging="0"/>
        <w:jc w:val="center"/>
        <w:rPr/>
      </w:pPr>
      <w:r>
        <w:rPr>
          <w:lang w:val="ru-RU"/>
        </w:rPr>
        <w:t>3. Требования к документации по ценообразованию</w:t>
      </w:r>
    </w:p>
    <w:p>
      <w:pPr>
        <w:pStyle w:val="Normal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52" w:name="_Hlk88325985"/>
      <w:r>
        <w:rPr>
          <w:bCs/>
          <w:iCs/>
          <w:sz w:val="24"/>
          <w:szCs w:val="24"/>
        </w:rPr>
        <w:t>(с учётом прилагаемой к ней инструкции по заполнению)</w:t>
      </w:r>
      <w:bookmarkEnd w:id="52"/>
      <w:r>
        <w:rPr>
          <w:bCs/>
          <w:iCs/>
          <w:sz w:val="24"/>
          <w:szCs w:val="24"/>
        </w:rPr>
        <w:t>, приведённой в Документации о закупке.</w:t>
      </w:r>
    </w:p>
    <w:p>
      <w:pPr>
        <w:pStyle w:val="Normal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3.2.</w:t>
      </w:r>
      <w:r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Дополнительные документы по ценообразованию в состав заявки не включаются.</w:t>
      </w:r>
    </w:p>
    <w:p>
      <w:pPr>
        <w:pStyle w:val="NoSpacing"/>
        <w:spacing w:lineRule="auto" w:line="240"/>
        <w:ind w:left="720" w:hanging="0"/>
        <w:jc w:val="both"/>
        <w:rPr>
          <w:b/>
        </w:rPr>
      </w:pPr>
      <w:r>
        <w:rPr>
          <w:b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ing1"/>
        <w:numPr>
          <w:ilvl w:val="0"/>
        </w:numPr>
        <w:ind w:left="0" w:hanging="0"/>
        <w:rPr>
          <w:sz w:val="24"/>
          <w:szCs w:val="24"/>
          <w:shd w:fill="FFFF99" w:val="clear"/>
          <w:lang w:val="ru-RU"/>
        </w:rPr>
      </w:pPr>
      <w:r>
        <w:rPr>
          <w:sz w:val="24"/>
          <w:szCs w:val="24"/>
          <w:shd w:fill="FFFF99" w:val="clear"/>
          <w:lang w:val="ru-RU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/>
      </w:r>
    </w:p>
    <w:sectPr>
      <w:headerReference w:type="default" r:id="rId10"/>
      <w:headerReference w:type="first" r:id="rId11"/>
      <w:footerReference w:type="default" r:id="rId12"/>
      <w:footerReference w:type="first" r:id="rId13"/>
      <w:type w:val="nextPage"/>
      <w:pgSz w:w="11906" w:h="16838"/>
      <w:pgMar w:left="1134" w:right="851" w:gutter="0" w:header="680" w:top="1134" w:footer="737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20282271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61847292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0127458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0F7537B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F7537B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6"/>
    <w:lvlOverride w:ilvl="0">
      <w:startOverride w:val="1"/>
    </w:lvlOverride>
  </w:num>
  <w:num w:numId="15">
    <w:abstractNumId w:val="6"/>
    <w:lvlOverride w:ilvl="0">
      <w:startOverride w:val="1"/>
    </w:lvlOverride>
    <w:lvlOverride w:ilvl="1">
      <w:startOverride w:val="2"/>
    </w:lvlOverride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363e1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  <w:numId w:val="0"/>
      </w:numPr>
      <w:ind w:left="709" w:hanging="709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2e7945"/>
    <w:pPr>
      <w:keepNext w:val="true"/>
      <w:numPr>
        <w:ilvl w:val="2"/>
        <w:numId w:val="3"/>
      </w:numPr>
      <w:spacing w:before="120" w:after="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2e7945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7b286f"/>
    <w:rPr>
      <w:rFonts w:ascii="Calibri" w:hAnsi="Calibri" w:eastAsia="Calibri" w:cs="Arial" w:cstheme="minorBidi" w:eastAsiaTheme="minorHAnsi"/>
      <w:sz w:val="22"/>
      <w:szCs w:val="21"/>
      <w:lang w:eastAsia="en-US"/>
    </w:rPr>
  </w:style>
  <w:style w:type="character" w:styleId="WW8Num1z1" w:customStyle="1">
    <w:name w:val="WW8Num1z1"/>
    <w:qFormat/>
    <w:rsid w:val="006c3582"/>
    <w:rPr>
      <w:b w:val="false"/>
    </w:rPr>
  </w:style>
  <w:style w:type="character" w:styleId="Style15" w:customStyle="1">
    <w:name w:val="Нижний колонтитул Знак"/>
    <w:basedOn w:val="DefaultParagraphFont"/>
    <w:uiPriority w:val="99"/>
    <w:qFormat/>
    <w:rsid w:val="00cb27d7"/>
    <w:rPr>
      <w:sz w:val="28"/>
      <w:szCs w:val="28"/>
    </w:rPr>
  </w:style>
  <w:style w:type="character" w:styleId="Style16" w:customStyle="1">
    <w:name w:val="Ссылка указателя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andard" w:customStyle="1">
    <w:name w:val="Standard"/>
    <w:qFormat/>
    <w:rsid w:val="002a3b6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Default" w:customStyle="1">
    <w:name w:val="Default"/>
    <w:qFormat/>
    <w:rsid w:val="0072001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MS Mincho" w:cs="Times New Roman"/>
      <w:color w:val="000000"/>
      <w:kern w:val="0"/>
      <w:sz w:val="24"/>
      <w:szCs w:val="24"/>
      <w:lang w:val="ru-RU" w:eastAsia="ru-RU" w:bidi="ar-SA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7b286f"/>
    <w:pPr/>
    <w:rPr>
      <w:rFonts w:ascii="Calibri" w:hAnsi="Calibri" w:eastAsia="Calibri" w:cs="Arial" w:cstheme="minorBidi" w:eastAsiaTheme="minorHAnsi"/>
      <w:sz w:val="22"/>
      <w:szCs w:val="21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27BDE-B934-44FB-9516-413319DBC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AlterOffice/3.4.0.9$Linux_X86_64 LibreOffice_project/b8daf9e823b1a5463a2f48435ddc2e8696e7d4fc</Application>
  <AppVersion>15.0000</AppVersion>
  <Pages>11</Pages>
  <Words>1133</Words>
  <Characters>7617</Characters>
  <CharactersWithSpaces>8621</CharactersWithSpaces>
  <Paragraphs>180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2026-03-31T13:13:00Z</dcterms:created>
  <dc:creator>Быстров Олег Геннадьевич</dc:creator>
  <dc:description/>
  <dc:language>ru-RU</dc:language>
  <cp:lastModifiedBy>tretyakovkv@corp.gidroogk.com</cp:lastModifiedBy>
  <cp:lastPrinted>2023-01-14T04:55:00Z</cp:lastPrinted>
  <dcterms:modified xsi:type="dcterms:W3CDTF">2026-08-11T08:10:05Z</dcterms:modified>
  <cp:revision>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