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header5.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ind w:firstLine="709"/>
        <w:jc w:val="center"/>
        <w:rPr>
          <w:b/>
          <w:bCs/>
          <w:sz w:val="24"/>
          <w:szCs w:val="24"/>
        </w:rPr>
      </w:pPr>
      <w:r>
        <w:rPr>
          <w:bCs/>
          <w:sz w:val="22"/>
          <w:szCs w:val="22"/>
        </w:rPr>
        <w:t xml:space="preserve">                        </w:t>
      </w:r>
    </w:p>
    <w:p>
      <w:pPr>
        <w:pStyle w:val="Normal"/>
        <w:shd w:val="clear" w:color="auto" w:fill="FFFFFF"/>
        <w:tabs>
          <w:tab w:val="clear" w:pos="708"/>
          <w:tab w:val="left" w:pos="6926" w:leader="none"/>
        </w:tabs>
        <w:jc w:val="center"/>
        <w:rPr>
          <w:b/>
          <w:sz w:val="24"/>
          <w:szCs w:val="24"/>
        </w:rPr>
      </w:pPr>
      <w:r>
        <w:rPr>
          <w:b/>
          <w:bCs/>
          <w:sz w:val="24"/>
          <w:szCs w:val="24"/>
        </w:rPr>
        <w:t>Договор поставки</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Биробиджан</w:t>
        <w:tab/>
        <w:t xml:space="preserve">   «___» _________ 2026 г.</w:t>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bCs/>
          <w:spacing w:val="4"/>
          <w:sz w:val="24"/>
          <w:szCs w:val="24"/>
        </w:rPr>
        <w:t>Акционерное общество «Дальневосточная распределительная сетевая компания» (АО «ДРСК»)</w:t>
      </w:r>
      <w:r>
        <w:rPr>
          <w:spacing w:val="4"/>
          <w:sz w:val="24"/>
          <w:szCs w:val="24"/>
        </w:rPr>
        <w:t xml:space="preserve"> (далее – «Покупатель»), в лице директора филиала АО «ДРСК» «ЭС ЕАО» </w:t>
      </w:r>
      <w:r>
        <w:rPr>
          <w:b/>
          <w:bCs/>
          <w:spacing w:val="4"/>
          <w:sz w:val="24"/>
          <w:szCs w:val="24"/>
        </w:rPr>
        <w:t>Демьянова Антона Васильевича</w:t>
      </w:r>
      <w:r>
        <w:rPr>
          <w:spacing w:val="4"/>
          <w:sz w:val="24"/>
          <w:szCs w:val="24"/>
        </w:rPr>
        <w:t xml:space="preserve">, действующего на основании доверенности от 01.01.2026г. №8, с одной стороны, и </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0" w:leader="none"/>
        </w:tabs>
        <w:overflowPunct w:val="false"/>
        <w:ind w:left="0" w:firstLine="709"/>
        <w:jc w:val="both"/>
        <w:textAlignment w:val="baseline"/>
        <w:rPr>
          <w:highlight w:val="none"/>
          <w:shd w:fill="FFFF00" w:val="clear"/>
        </w:rPr>
      </w:pPr>
      <w:r>
        <w:rPr>
          <w:b/>
          <w:bCs/>
          <w:sz w:val="24"/>
          <w:szCs w:val="24"/>
          <w:shd w:fill="FFFF00" w:val="clear"/>
          <w:lang w:eastAsia="en-US"/>
        </w:rPr>
        <w:t xml:space="preserve">«Банк» </w:t>
      </w:r>
      <w:r>
        <w:rPr>
          <w:sz w:val="24"/>
          <w:szCs w:val="24"/>
          <w:shd w:fill="FFFF00" w:val="clear"/>
          <w:lang w:eastAsia="en-US"/>
        </w:rPr>
        <w:t>- «Газпромбанк» (Акционерное общество) (Банк ГПБ (АО)), адрес юридического лица:117420, г.Москва, ул.Наметкина, д.15,корпус 1, ОГРН:1027700167110, ИНН 7744001497</w:t>
      </w:r>
    </w:p>
    <w:p>
      <w:pPr>
        <w:pStyle w:val="ListParagraph"/>
        <w:shd w:val="clear" w:color="auto" w:fill="FFFFFF"/>
        <w:tabs>
          <w:tab w:val="clear" w:pos="708"/>
          <w:tab w:val="left" w:pos="567" w:leader="none"/>
          <w:tab w:val="left" w:pos="1134" w:leader="none"/>
        </w:tabs>
        <w:overflowPunct w:val="true"/>
        <w:ind w:left="0" w:firstLine="709"/>
        <w:jc w:val="both"/>
        <w:textAlignment w:val="baseline"/>
        <w:rPr>
          <w:highlight w:val="none"/>
          <w:shd w:fill="FFFFFE" w:val="clear"/>
        </w:rPr>
      </w:pPr>
      <w:r>
        <w:rPr>
          <w:b/>
          <w:sz w:val="24"/>
          <w:szCs w:val="24"/>
          <w:shd w:fill="FFFFFE" w:val="clear"/>
          <w:lang w:eastAsia="en-US"/>
        </w:rPr>
        <w:t>«Гарантийный срок»</w:t>
      </w:r>
      <w:r>
        <w:rPr>
          <w:sz w:val="24"/>
          <w:szCs w:val="24"/>
          <w:shd w:fill="FFFFFE" w:val="clear"/>
        </w:rPr>
        <w:t xml:space="preserve"> </w:t>
      </w:r>
      <w:r>
        <w:rPr>
          <w:sz w:val="24"/>
          <w:szCs w:val="24"/>
          <w:shd w:fill="FFFFFE" w:val="clear"/>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по количеству, </w:t>
      </w:r>
      <w:r>
        <w:rPr>
          <w:sz w:val="24"/>
          <w:szCs w:val="24"/>
          <w:shd w:fill="auto" w:val="clear"/>
          <w:lang w:eastAsia="en-US"/>
        </w:rPr>
        <w:t>качеству и комплектности.</w:t>
      </w:r>
    </w:p>
    <w:p>
      <w:pPr>
        <w:pStyle w:val="ListParagraph"/>
        <w:shd w:val="clear" w:color="auto" w:fill="FFFFFF"/>
        <w:tabs>
          <w:tab w:val="clear" w:pos="708"/>
          <w:tab w:val="left" w:pos="0" w:leader="none"/>
        </w:tabs>
        <w:overflowPunct w:val="true"/>
        <w:ind w:left="0" w:firstLine="709"/>
        <w:jc w:val="both"/>
        <w:textAlignment w:val="baseline"/>
        <w:rPr>
          <w:highlight w:val="none"/>
          <w:shd w:fill="auto" w:val="clear"/>
        </w:rPr>
      </w:pPr>
      <w:r>
        <w:rPr>
          <w:rFonts w:ascii="Liberation Serif" w:hAnsi="Liberation Serif"/>
          <w:b w:val="false"/>
          <w:bCs w:val="false"/>
          <w:i w:val="false"/>
          <w:iCs w:val="false"/>
          <w:caps w:val="false"/>
          <w:smallCaps w:val="false"/>
          <w:sz w:val="24"/>
          <w:szCs w:val="24"/>
          <w:shd w:fill="auto" w:val="clear"/>
          <w:lang w:eastAsia="en-US"/>
        </w:rPr>
        <w:t>При использовании Сторонами электронного документооборота, Стороны по договору вместо ТОРГ-12  оформляют УПД. В этом случае условия Договора в отношении ТОРГ-12 применяются в равной степени к УПД.</w:t>
      </w:r>
    </w:p>
    <w:p>
      <w:pPr>
        <w:pStyle w:val="ListParagraph"/>
        <w:shd w:val="clear" w:color="auto" w:fill="FFFFFF"/>
        <w:tabs>
          <w:tab w:val="clear" w:pos="708"/>
          <w:tab w:val="left" w:pos="0" w:leader="none"/>
        </w:tabs>
        <w:overflowPunct w:val="false"/>
        <w:ind w:left="0" w:firstLine="709"/>
        <w:jc w:val="both"/>
        <w:textAlignment w:val="baseline"/>
        <w:rPr>
          <w:highlight w:val="none"/>
          <w:shd w:fill="FFFF00" w:val="clear"/>
        </w:rPr>
      </w:pPr>
      <w:r>
        <w:rPr>
          <w:rFonts w:ascii="Liberation Serif" w:hAnsi="Liberation Serif"/>
          <w:b/>
          <w:bCs/>
          <w:i w:val="false"/>
          <w:iCs w:val="false"/>
          <w:caps w:val="false"/>
          <w:smallCaps w:val="false"/>
          <w:sz w:val="24"/>
          <w:szCs w:val="24"/>
          <w:shd w:fill="FFFF00" w:val="clear"/>
          <w:lang w:eastAsia="en-US"/>
        </w:rPr>
        <w:t>«ОБС»</w:t>
      </w:r>
      <w:r>
        <w:rPr>
          <w:rFonts w:ascii="Liberation Serif" w:hAnsi="Liberation Serif"/>
          <w:b w:val="false"/>
          <w:bCs w:val="false"/>
          <w:i w:val="false"/>
          <w:iCs w:val="false"/>
          <w:caps w:val="false"/>
          <w:smallCaps w:val="false"/>
          <w:sz w:val="24"/>
          <w:szCs w:val="24"/>
          <w:shd w:fill="FFFF00" w:val="clear"/>
          <w:lang w:eastAsia="en-US"/>
        </w:rPr>
        <w:t>-обособленный банковский счет, открытый в банке, имеющий целевой характер и предназначенный для расчетов, производимых в рамках Работ, производимых по договору. В раздел «Предмет Договора» (для Покупателя)»</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shd w:fill="auto" w:val="clear"/>
          <w:lang w:eastAsia="en-US"/>
        </w:rPr>
        <w:t xml:space="preserve">«Отказ от Договора» </w:t>
      </w:r>
      <w:r>
        <w:rPr>
          <w:sz w:val="24"/>
          <w:szCs w:val="24"/>
          <w:shd w:fill="auto" w:val="clear"/>
          <w:lang w:eastAsia="en-US"/>
        </w:rPr>
        <w:t>– односторонний внесудебный отказ от исполнения Договора, совершенный Стороной в соответствии со статьей 450.1 ГК</w:t>
      </w:r>
      <w:r>
        <w:rPr>
          <w:sz w:val="24"/>
          <w:szCs w:val="24"/>
          <w:lang w:eastAsia="en-US"/>
        </w:rPr>
        <w:t xml:space="preserve">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00000A"/>
          <w:sz w:val="24"/>
          <w:szCs w:val="24"/>
          <w:lang w:val="ru-RU" w:eastAsia="en-US"/>
        </w:rPr>
      </w:pPr>
      <w:r>
        <w:rPr>
          <w:rFonts w:ascii="Times New Roman" w:hAnsi="Times New Roman"/>
          <w:color w:val="00000A"/>
          <w:sz w:val="24"/>
          <w:szCs w:val="24"/>
          <w:lang w:eastAsia="en-US"/>
        </w:rPr>
        <w:t xml:space="preserve">«Партия Товара» </w:t>
      </w:r>
      <w:r>
        <w:rPr>
          <w:rFonts w:ascii="Times New Roman" w:hAnsi="Times New Roman"/>
          <w:b w:val="false"/>
          <w:color w:val="00000A"/>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00000A"/>
          <w:sz w:val="24"/>
          <w:szCs w:val="24"/>
          <w:lang w:val="ru-RU" w:eastAsia="en-US"/>
        </w:rPr>
        <w:t>характеристики</w:t>
      </w:r>
      <w:r>
        <w:rPr>
          <w:rFonts w:ascii="Times New Roman" w:hAnsi="Times New Roman"/>
          <w:b w:val="false"/>
          <w:color w:val="00000A"/>
          <w:sz w:val="24"/>
          <w:szCs w:val="24"/>
          <w:lang w:eastAsia="en-US"/>
        </w:rPr>
        <w:t xml:space="preserve"> которой определя</w:t>
      </w:r>
      <w:r>
        <w:rPr>
          <w:rFonts w:ascii="Times New Roman" w:hAnsi="Times New Roman"/>
          <w:b w:val="false"/>
          <w:color w:val="00000A"/>
          <w:sz w:val="24"/>
          <w:szCs w:val="24"/>
          <w:lang w:val="ru-RU" w:eastAsia="en-US"/>
        </w:rPr>
        <w:t>ю</w:t>
      </w:r>
      <w:r>
        <w:rPr>
          <w:rFonts w:ascii="Times New Roman" w:hAnsi="Times New Roman"/>
          <w:b w:val="false"/>
          <w:color w:val="00000A"/>
          <w:sz w:val="24"/>
          <w:szCs w:val="24"/>
          <w:lang w:eastAsia="en-US"/>
        </w:rPr>
        <w:t xml:space="preserve">тся </w:t>
      </w:r>
      <w:r>
        <w:rPr>
          <w:rFonts w:ascii="Times New Roman" w:hAnsi="Times New Roman"/>
          <w:b w:val="false"/>
          <w:color w:val="00000A"/>
          <w:sz w:val="24"/>
          <w:szCs w:val="24"/>
          <w:lang w:val="ru-RU" w:eastAsia="en-US"/>
        </w:rPr>
        <w:t xml:space="preserve">Заявкой Покупателя в соответствии со </w:t>
      </w:r>
      <w:r>
        <w:rPr>
          <w:rFonts w:ascii="Times New Roman" w:hAnsi="Times New Roman"/>
          <w:b w:val="false"/>
          <w:color w:val="00000A"/>
          <w:sz w:val="24"/>
          <w:szCs w:val="24"/>
          <w:lang w:eastAsia="en-US"/>
        </w:rPr>
        <w:t>Спецификацией, являющейся приложением к Договору.</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00000A"/>
          <w:sz w:val="24"/>
          <w:szCs w:val="24"/>
          <w:lang w:val="ru-RU" w:eastAsia="en-US"/>
        </w:rPr>
      </w:pPr>
      <w:r>
        <w:rPr>
          <w:rFonts w:ascii="Times New Roman" w:hAnsi="Times New Roman"/>
          <w:color w:val="00000A"/>
          <w:sz w:val="24"/>
          <w:szCs w:val="24"/>
          <w:lang w:val="ru-RU" w:eastAsia="en-US"/>
        </w:rPr>
        <w:t>«Применимое право»</w:t>
      </w:r>
      <w:r>
        <w:rPr>
          <w:rFonts w:ascii="Times New Roman" w:hAnsi="Times New Roman"/>
          <w:b w:val="false"/>
          <w:color w:val="00000A"/>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00000A"/>
          <w:sz w:val="24"/>
          <w:szCs w:val="24"/>
          <w:lang w:val="ru-RU" w:eastAsia="en-US"/>
        </w:rPr>
      </w:pPr>
      <w:r>
        <w:rPr>
          <w:rFonts w:ascii="Times New Roman" w:hAnsi="Times New Roman"/>
          <w:color w:val="00000A"/>
          <w:sz w:val="24"/>
          <w:szCs w:val="24"/>
          <w:lang w:val="ru-RU" w:eastAsia="en-US"/>
        </w:rPr>
        <w:t>«Цена Договора»</w:t>
      </w:r>
      <w:r>
        <w:rPr>
          <w:rFonts w:ascii="Times New Roman" w:hAnsi="Times New Roman"/>
          <w:b w:val="false"/>
          <w:color w:val="00000A"/>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left="0" w:firstLine="709"/>
        <w:jc w:val="both"/>
        <w:rPr>
          <w:highlight w:val="none"/>
          <w:shd w:fill="FFFF00" w:val="clear"/>
        </w:rPr>
      </w:pPr>
      <w:r>
        <w:rPr>
          <w:bCs/>
          <w:sz w:val="24"/>
          <w:szCs w:val="24"/>
          <w:shd w:fill="FFFF00" w:val="clear"/>
        </w:rPr>
        <w:t>Настоящий договор заключается в целях исполнения обязательств Покупателя по технологическому присоединению энергопринимающих устройств объекта заявителя ОГБУ «Служба заказчика (застройщика) ЕАО»- «ЭПУ на земельном участке для электроснабжения объекта капитального строительства (Строительство внеплощадочных сетей водотведения для обеспечения водоотведением площадки «ДВ Квартал» (ТОР «Амуро-Хинганская» г. Биробиджан)», расположенного (который будет располагаться) по адресу: Еврейская Аобл., г. Биробиджан, 270 м на юго-запад от дома 8 по пер. Коттеджному, кадастровый номер земельного участка 79:01:0300038:598</w:t>
      </w:r>
    </w:p>
    <w:p>
      <w:pPr>
        <w:pStyle w:val="Normal"/>
        <w:numPr>
          <w:ilvl w:val="1"/>
          <w:numId w:val="2"/>
        </w:numPr>
        <w:shd w:val="clear" w:color="auto" w:fill="FFFFFF"/>
        <w:tabs>
          <w:tab w:val="clear" w:pos="708"/>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
          <w:bCs/>
          <w:i w:val="false"/>
          <w:iCs w:val="false"/>
          <w:sz w:val="24"/>
          <w:szCs w:val="24"/>
          <w:shd w:fill="FFFFFE" w:val="clear"/>
          <w:lang w:eastAsia="en-US"/>
        </w:rPr>
        <w:t>кабель силовой бронированный</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АО «ДРСК» «ЭС ЕАО».</w:t>
      </w:r>
    </w:p>
    <w:p>
      <w:pPr>
        <w:pStyle w:val="Normal"/>
        <w:numPr>
          <w:ilvl w:val="1"/>
          <w:numId w:val="2"/>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Начало – с даты подписания договора;</w:t>
      </w:r>
    </w:p>
    <w:p>
      <w:pPr>
        <w:pStyle w:val="Normal"/>
        <w:numPr>
          <w:ilvl w:val="2"/>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Окончание –  в течении 60 календарных дней с момента заключения договора.</w:t>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shd w:fill="FFFFFE" w:val="clear"/>
        </w:rPr>
        <w:t>Производство и / или</w:t>
      </w:r>
      <w:r>
        <w:rPr>
          <w:bCs/>
          <w:sz w:val="24"/>
          <w:szCs w:val="24"/>
        </w:rPr>
        <w:t xml:space="preserve"> приобретение Товара;</w:t>
      </w:r>
    </w:p>
    <w:p>
      <w:pPr>
        <w:pStyle w:val="ListParagraph"/>
        <w:numPr>
          <w:ilvl w:val="2"/>
          <w:numId w:val="8"/>
        </w:numPr>
        <w:shd w:val="clear" w:color="auto" w:fill="FFFFFF"/>
        <w:tabs>
          <w:tab w:val="clear" w:pos="708"/>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 xml:space="preserve">Оплата по Договору осуществляется Покупателем в течение 20 (двадцати) календарных дней /   7 (семи) рабочих дней с даты подписания Сторонами </w:t>
      </w:r>
      <w:r>
        <w:rPr>
          <w:sz w:val="24"/>
          <w:szCs w:val="24"/>
          <w:shd w:fill="auto" w:val="clear"/>
        </w:rPr>
        <w:t>Накладной ТОРГ-12/УПД на осн</w:t>
      </w:r>
      <w:r>
        <w:rPr>
          <w:sz w:val="24"/>
          <w:szCs w:val="24"/>
        </w:rPr>
        <w:t>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8"/>
          <w:tab w:val="left" w:pos="0" w:leader="none"/>
          <w:tab w:val="left" w:pos="1134" w:leader="none"/>
          <w:tab w:val="left" w:pos="1276" w:leader="none"/>
        </w:tabs>
        <w:ind w:left="0" w:firstLine="709"/>
        <w:jc w:val="both"/>
        <w:rPr>
          <w:sz w:val="24"/>
          <w:szCs w:val="24"/>
        </w:rPr>
      </w:pPr>
      <w:r>
        <w:rPr>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w:t>
      </w:r>
      <w:r>
        <w:rPr>
          <w:sz w:val="24"/>
          <w:szCs w:val="24"/>
          <w:shd w:fill="auto" w:val="clear"/>
        </w:rPr>
        <w:t>чем за 10 (десят</w:t>
      </w:r>
      <w:bookmarkStart w:id="0" w:name="_GoBack"/>
      <w:bookmarkEnd w:id="0"/>
      <w:r>
        <w:rPr>
          <w:sz w:val="24"/>
          <w:szCs w:val="24"/>
          <w:shd w:fill="auto" w:val="clear"/>
        </w:rPr>
        <w:t xml:space="preserve">ь) </w:t>
      </w:r>
      <w:r>
        <w:rPr>
          <w:sz w:val="24"/>
          <w:szCs w:val="24"/>
        </w:rPr>
        <w:t>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highlight w:val="none"/>
          <w:shd w:fill="FFFF00" w:val="clear"/>
        </w:rPr>
      </w:pPr>
      <w:r>
        <w:rPr>
          <w:bCs/>
          <w:sz w:val="24"/>
          <w:szCs w:val="24"/>
          <w:shd w:fill="FFFF00" w:val="clear"/>
        </w:rPr>
        <w:t>Расчеты по Договору осуществляются в валюте Российской Федерации. Оплата производится Покупателем путем перечисления денежных средств на ОБС Поставщика, открытый в Банк ГПБ (АО) согласно п.2.12.2 Договора. Обязательство Покупателя по осуществлению платежа считается исполненным с даты списания денежных средств с ОБС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highlight w:val="lightGray"/>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 в течение 3 (трех)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8"/>
          <w:tab w:val="left" w:pos="1134" w:leader="none"/>
        </w:tabs>
        <w:ind w:left="0" w:firstLine="709"/>
        <w:jc w:val="both"/>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sz w:val="24"/>
          <w:szCs w:val="24"/>
          <w:shd w:fill="auto" w:val="clear"/>
        </w:rPr>
        <w:t>Товара, поставленного Поставщиком.</w:t>
      </w:r>
    </w:p>
    <w:p>
      <w:pPr>
        <w:pStyle w:val="Normal"/>
        <w:shd w:val="clear" w:color="auto" w:fill="FFFFFF"/>
        <w:tabs>
          <w:tab w:val="clear" w:pos="708"/>
          <w:tab w:val="left" w:pos="1134" w:leader="none"/>
        </w:tabs>
        <w:ind w:left="0" w:firstLine="709"/>
        <w:jc w:val="both"/>
        <w:rPr>
          <w:highlight w:val="yellow"/>
        </w:rPr>
      </w:pPr>
      <w:r>
        <w:rPr>
          <w:sz w:val="24"/>
          <w:szCs w:val="24"/>
          <w:shd w:fill="auto" w:val="clear"/>
        </w:rPr>
        <w:t>Покупатель направляет Поставщику уведомление о проведении сальдо взаимных обязательств Сторон по Договору.</w:t>
      </w:r>
    </w:p>
    <w:p>
      <w:pPr>
        <w:pStyle w:val="Normal"/>
        <w:shd w:val="clear" w:color="auto" w:fill="FFFFFF"/>
        <w:tabs>
          <w:tab w:val="clear" w:pos="708"/>
          <w:tab w:val="left" w:pos="1134" w:leader="none"/>
        </w:tabs>
        <w:ind w:left="0" w:firstLine="709"/>
        <w:jc w:val="both"/>
        <w:rPr>
          <w:highlight w:val="none"/>
          <w:shd w:fill="FFFF00" w:val="clear"/>
        </w:rPr>
      </w:pPr>
      <w:r>
        <w:rPr>
          <w:b/>
          <w:bCs/>
          <w:sz w:val="24"/>
          <w:szCs w:val="24"/>
          <w:shd w:fill="FFFF00" w:val="clear"/>
        </w:rPr>
        <w:t>2.12</w:t>
      </w:r>
      <w:r>
        <w:rPr>
          <w:sz w:val="24"/>
          <w:szCs w:val="24"/>
          <w:shd w:fill="FFFF00" w:val="clear"/>
        </w:rPr>
        <w:t xml:space="preserve"> В целяых исполнения п.1.1 и 2.7 Договора, Поставщик обязан:</w:t>
      </w:r>
    </w:p>
    <w:p>
      <w:pPr>
        <w:pStyle w:val="Normal"/>
        <w:shd w:val="clear" w:color="auto" w:fill="FFFFFF"/>
        <w:tabs>
          <w:tab w:val="clear" w:pos="708"/>
          <w:tab w:val="left" w:pos="1134" w:leader="none"/>
        </w:tabs>
        <w:ind w:left="0" w:firstLine="709"/>
        <w:jc w:val="both"/>
        <w:rPr>
          <w:highlight w:val="none"/>
          <w:shd w:fill="FFFF00" w:val="clear"/>
        </w:rPr>
      </w:pPr>
      <w:r>
        <w:rPr>
          <w:sz w:val="24"/>
          <w:szCs w:val="24"/>
          <w:shd w:fill="FFFF00" w:val="clear"/>
        </w:rPr>
        <w:t>2.12.1. Обеспечить целевое использование полученных от Покупателя по Договору денежных средств, в соответствии с условиями настоящего Договора;</w:t>
      </w:r>
    </w:p>
    <w:p>
      <w:pPr>
        <w:pStyle w:val="Normal"/>
        <w:shd w:val="clear" w:color="auto" w:fill="FFFFFF"/>
        <w:tabs>
          <w:tab w:val="clear" w:pos="708"/>
          <w:tab w:val="left" w:pos="1134" w:leader="none"/>
        </w:tabs>
        <w:ind w:left="0" w:firstLine="709"/>
        <w:jc w:val="both"/>
        <w:rPr>
          <w:highlight w:val="none"/>
          <w:shd w:fill="FFFF00" w:val="clear"/>
        </w:rPr>
      </w:pPr>
      <w:r>
        <w:rPr>
          <w:sz w:val="24"/>
          <w:szCs w:val="24"/>
          <w:shd w:fill="FFFF00" w:val="clear"/>
        </w:rPr>
        <w:t>2.12.2. В течение 5 (пяти) рабочих дней с даты заключения Договора:</w:t>
      </w:r>
    </w:p>
    <w:p>
      <w:pPr>
        <w:pStyle w:val="Normal"/>
        <w:shd w:val="clear" w:color="auto" w:fill="FFFFFF"/>
        <w:tabs>
          <w:tab w:val="clear" w:pos="708"/>
          <w:tab w:val="left" w:pos="1134" w:leader="none"/>
        </w:tabs>
        <w:ind w:left="0" w:firstLine="709"/>
        <w:jc w:val="both"/>
        <w:rPr>
          <w:highlight w:val="none"/>
          <w:shd w:fill="FFFF00" w:val="clear"/>
        </w:rPr>
      </w:pPr>
      <w:r>
        <w:rPr>
          <w:sz w:val="24"/>
          <w:szCs w:val="24"/>
          <w:shd w:fill="FFFF00" w:val="clear"/>
        </w:rPr>
        <w:t xml:space="preserve">2.12.2.1. Открыть в Банке обособленный банковский счет (по тексту Договора- «ОБС», используемый исключительно для расчетов между Покупателем и Посиавщиком по Договору, а также обеспечить аналогичную обязанность в договорах, заключаемыхПоставщиком с Субпоставщиками (соисполнителями) по всем установленным уровням кооперации.Открытие в Банке ОБС осуществляется Поставщиком путем подписания с Банком оферты по форме </w:t>
      </w:r>
      <w:r>
        <w:rPr>
          <w:sz w:val="24"/>
          <w:szCs w:val="24"/>
          <w:shd w:fill="auto" w:val="clear"/>
        </w:rPr>
        <w:t>Приложения №</w:t>
      </w:r>
      <w:r>
        <w:rPr>
          <w:sz w:val="24"/>
          <w:szCs w:val="24"/>
          <w:shd w:fill="auto" w:val="clear"/>
        </w:rPr>
        <w:t>5</w:t>
      </w:r>
      <w:r>
        <w:rPr>
          <w:sz w:val="24"/>
          <w:szCs w:val="24"/>
          <w:shd w:fill="FFFF00" w:val="clear"/>
        </w:rPr>
        <w:t xml:space="preserve"> к настоящему договору;</w:t>
      </w:r>
    </w:p>
    <w:p>
      <w:pPr>
        <w:pStyle w:val="Normal"/>
        <w:shd w:val="clear" w:color="auto" w:fill="FFFFFF"/>
        <w:tabs>
          <w:tab w:val="clear" w:pos="708"/>
          <w:tab w:val="left" w:pos="1134" w:leader="none"/>
        </w:tabs>
        <w:ind w:left="0" w:firstLine="709"/>
        <w:jc w:val="both"/>
        <w:rPr>
          <w:highlight w:val="none"/>
          <w:shd w:fill="FFFF00" w:val="clear"/>
        </w:rPr>
      </w:pPr>
      <w:r>
        <w:rPr>
          <w:sz w:val="24"/>
          <w:szCs w:val="24"/>
          <w:shd w:fill="FFFF00" w:val="clear"/>
        </w:rPr>
        <w:t>2.12.2.2. Предоставить Покупателю реквизиты ОБС.</w:t>
      </w:r>
    </w:p>
    <w:p>
      <w:pPr>
        <w:pStyle w:val="Normal"/>
        <w:shd w:val="clear" w:color="auto" w:fill="FFFFFF"/>
        <w:tabs>
          <w:tab w:val="clear" w:pos="708"/>
          <w:tab w:val="left" w:pos="1134" w:leader="none"/>
        </w:tabs>
        <w:ind w:left="0" w:firstLine="709"/>
        <w:jc w:val="both"/>
        <w:rPr>
          <w:highlight w:val="none"/>
          <w:shd w:fill="FFFF00" w:val="clear"/>
        </w:rPr>
      </w:pPr>
      <w:r>
        <w:rPr>
          <w:sz w:val="24"/>
          <w:szCs w:val="24"/>
          <w:shd w:fill="FFFF00" w:val="clear"/>
        </w:rPr>
        <w:t>2.12.3. Предоставить полномочия (права) Банку сообщать Покупателю любую информацию о ходе исполнения Договора, о наличии, статусе, движении денежных средств по счетам Поставщика открытым в Банке, а также предусмотреть аналогичные обязанности при заключении договоров Поставщика с Субпоставщиками (соисполнителями) по всем установленным уровням кооперации.</w:t>
      </w:r>
    </w:p>
    <w:p>
      <w:pPr>
        <w:pStyle w:val="Normal"/>
        <w:shd w:val="clear" w:color="auto" w:fill="FFFFFF"/>
        <w:tabs>
          <w:tab w:val="clear" w:pos="708"/>
          <w:tab w:val="left" w:pos="1134" w:leader="none"/>
        </w:tabs>
        <w:ind w:left="0" w:firstLine="709"/>
        <w:jc w:val="both"/>
        <w:rPr>
          <w:highlight w:val="none"/>
          <w:shd w:fill="FFFF00" w:val="clear"/>
        </w:rPr>
      </w:pPr>
      <w:r>
        <w:rPr>
          <w:sz w:val="24"/>
          <w:szCs w:val="24"/>
          <w:shd w:fill="FFFF00" w:val="clear"/>
        </w:rPr>
        <w:t>2.12.4. По письменному требованию Банка предоставлятьсведения и документы, составленные по формам, не противоречащим Применимому праву, установленным договором ОБС и подтверждающие факт установления гражданских прав и обязанностей, выполнения работ/услуг, связанных с исполнением Договора ( в том числе о привлекаемых Поставщиком в рамках исполнения обязательств по Договору субпоставщиках(соисполнителях)), а именно: полное наименование, местонахождение (почтовый адрес),телефоны руководителя и главного бухгалтера, идентификационный номер налогоплательщика и код причины постановки на учет), необходимых для осуществления Банком банковсого сопровождения. Обеспечить аналогичную обязанность, указанную в настоящем пункте, при заключении договоров Поставщиком с субпоставщиками (соисполнителями) по всем установленным уровням кооперации.</w:t>
      </w:r>
    </w:p>
    <w:p>
      <w:pPr>
        <w:pStyle w:val="Normal"/>
        <w:shd w:val="clear" w:color="auto" w:fill="FFFFFF"/>
        <w:tabs>
          <w:tab w:val="clear" w:pos="708"/>
          <w:tab w:val="left" w:pos="1134" w:leader="none"/>
        </w:tabs>
        <w:ind w:left="0" w:firstLine="709"/>
        <w:jc w:val="both"/>
        <w:rPr>
          <w:highlight w:val="none"/>
          <w:shd w:fill="FFFF00" w:val="clear"/>
        </w:rPr>
      </w:pPr>
      <w:r>
        <w:rPr>
          <w:sz w:val="24"/>
          <w:szCs w:val="24"/>
          <w:shd w:fill="FFFF00" w:val="clear"/>
        </w:rPr>
        <w:t>2.12.5. Осуществлять расчеты, связанные с исполнением обязательств по договору, исключительно через ОБС, а также обеспечить включение аналогичной обязанности в договоры, заключаемые Поставщиком с субпоставщиками (соисполнителями) по всем установленным уровням кооперации.</w:t>
      </w:r>
    </w:p>
    <w:p>
      <w:pPr>
        <w:pStyle w:val="Normal"/>
        <w:shd w:val="clear" w:color="auto" w:fill="FFFFFF"/>
        <w:tabs>
          <w:tab w:val="clear" w:pos="708"/>
          <w:tab w:val="left" w:pos="1134" w:leader="none"/>
        </w:tabs>
        <w:ind w:left="0" w:firstLine="709"/>
        <w:jc w:val="both"/>
        <w:rPr>
          <w:highlight w:val="none"/>
          <w:shd w:fill="FFFF00" w:val="clear"/>
        </w:rPr>
      </w:pPr>
      <w:r>
        <w:rPr>
          <w:shd w:fill="FFFF00" w:val="clear"/>
        </w:rPr>
      </w:r>
    </w:p>
    <w:p>
      <w:pPr>
        <w:pStyle w:val="Normal"/>
        <w:shd w:val="clear" w:color="auto" w:fill="FFFFFF"/>
        <w:tabs>
          <w:tab w:val="clear" w:pos="708"/>
          <w:tab w:val="left" w:pos="1134" w:leader="none"/>
        </w:tabs>
        <w:ind w:left="0"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2"/>
        </w:numPr>
        <w:tabs>
          <w:tab w:val="clear" w:pos="708"/>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2"/>
        </w:numPr>
        <w:tabs>
          <w:tab w:val="clear" w:pos="708"/>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8"/>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8"/>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3.1.5.2. Расторгнуть Договор в порядке, установленном пунктом 11.2 Договора.</w:t>
      </w:r>
    </w:p>
    <w:p>
      <w:pPr>
        <w:pStyle w:val="ListParagraph"/>
        <w:widowControl/>
        <w:numPr>
          <w:ilvl w:val="2"/>
          <w:numId w:val="2"/>
        </w:numPr>
        <w:tabs>
          <w:tab w:val="clear" w:pos="708"/>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w:t>
      </w:r>
      <w:r>
        <w:rPr>
          <w:bCs/>
          <w:sz w:val="24"/>
          <w:szCs w:val="24"/>
          <w:shd w:fill="auto" w:val="clear"/>
        </w:rPr>
        <w:t xml:space="preserve">оответствовать Заявке, требованиям Договора, </w:t>
      </w:r>
      <w:r>
        <w:rPr>
          <w:b/>
          <w:bCs/>
          <w:sz w:val="24"/>
          <w:szCs w:val="24"/>
          <w:shd w:fill="auto" w:val="clear"/>
        </w:rPr>
        <w:t xml:space="preserve"> </w:t>
      </w:r>
      <w:r>
        <w:rPr>
          <w:bCs/>
          <w:sz w:val="24"/>
          <w:szCs w:val="24"/>
          <w:shd w:fill="auto" w:val="clear"/>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8"/>
          <w:tab w:val="left" w:pos="1134" w:leader="none"/>
        </w:tabs>
        <w:ind w:firstLine="709"/>
        <w:jc w:val="both"/>
        <w:rPr>
          <w:highlight w:val="none"/>
          <w:shd w:fill="auto" w:val="clear"/>
        </w:rPr>
      </w:pPr>
      <w:r>
        <w:rPr>
          <w:bCs/>
          <w:sz w:val="24"/>
          <w:szCs w:val="24"/>
          <w:shd w:fill="auto" w:val="clear"/>
        </w:rPr>
        <w:t>Поставщик не вправе производить замену Товара, содержащегося в одном из реестров, предусмотренных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иной Товар, не включенный в такие реестры.</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shd w:fill="auto" w:val="clear"/>
        </w:rPr>
        <w:t>Поставляемый Товар дол</w:t>
      </w:r>
      <w:r>
        <w:rPr>
          <w:bCs/>
          <w:sz w:val="24"/>
          <w:szCs w:val="24"/>
        </w:rPr>
        <w:t>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3"/>
        </w:numPr>
        <w:tabs>
          <w:tab w:val="clear" w:pos="708"/>
          <w:tab w:val="left" w:pos="1418" w:leader="none"/>
        </w:tabs>
        <w:ind w:left="0" w:firstLine="709"/>
        <w:jc w:val="both"/>
        <w:rPr>
          <w:sz w:val="24"/>
          <w:szCs w:val="24"/>
        </w:rPr>
      </w:pPr>
      <w:r>
        <w:rPr>
          <w:sz w:val="24"/>
          <w:szCs w:val="24"/>
        </w:rPr>
        <w:t>сертификат качеств</w:t>
      </w:r>
      <w:r>
        <w:rPr>
          <w:sz w:val="24"/>
          <w:szCs w:val="24"/>
          <w:shd w:fill="FFFFFF" w:val="clear"/>
        </w:rPr>
        <w:t>а в 1 (один) экз.;</w:t>
      </w:r>
    </w:p>
    <w:p>
      <w:pPr>
        <w:pStyle w:val="Normal"/>
        <w:numPr>
          <w:ilvl w:val="0"/>
          <w:numId w:val="3"/>
        </w:numPr>
        <w:tabs>
          <w:tab w:val="clear" w:pos="708"/>
          <w:tab w:val="left" w:pos="1418" w:leader="none"/>
        </w:tabs>
        <w:ind w:left="0" w:firstLine="709"/>
        <w:jc w:val="both"/>
        <w:rPr>
          <w:highlight w:val="none"/>
          <w:shd w:fill="FFFFFF" w:val="clear"/>
        </w:rPr>
      </w:pPr>
      <w:r>
        <w:rPr>
          <w:sz w:val="24"/>
          <w:szCs w:val="24"/>
          <w:shd w:fill="FFFFFF" w:val="clear"/>
        </w:rPr>
        <w:t>технический паспорт на русском языке в 1 (один) экз.;</w:t>
      </w:r>
    </w:p>
    <w:p>
      <w:pPr>
        <w:pStyle w:val="Normal"/>
        <w:numPr>
          <w:ilvl w:val="0"/>
          <w:numId w:val="3"/>
        </w:numPr>
        <w:tabs>
          <w:tab w:val="clear" w:pos="708"/>
          <w:tab w:val="left" w:pos="1418" w:leader="none"/>
        </w:tabs>
        <w:ind w:left="0" w:firstLine="709"/>
        <w:jc w:val="both"/>
        <w:rPr>
          <w:highlight w:val="none"/>
          <w:shd w:fill="FFFFFF" w:val="clear"/>
        </w:rPr>
      </w:pPr>
      <w:r>
        <w:rPr>
          <w:sz w:val="24"/>
          <w:szCs w:val="24"/>
          <w:shd w:fill="FFFFFF" w:val="clear"/>
        </w:rPr>
        <w:t>инструкция по эксплуатации на русском языке в 1 (один) экз.;</w:t>
      </w:r>
    </w:p>
    <w:p>
      <w:pPr>
        <w:pStyle w:val="Normal"/>
        <w:numPr>
          <w:ilvl w:val="0"/>
          <w:numId w:val="3"/>
        </w:numPr>
        <w:tabs>
          <w:tab w:val="clear" w:pos="708"/>
          <w:tab w:val="left" w:pos="1418" w:leader="none"/>
        </w:tabs>
        <w:ind w:left="0" w:firstLine="709"/>
        <w:jc w:val="both"/>
        <w:rPr>
          <w:highlight w:val="none"/>
          <w:shd w:fill="FFFFFF" w:val="clear"/>
        </w:rPr>
      </w:pPr>
      <w:r>
        <w:rPr>
          <w:sz w:val="24"/>
          <w:szCs w:val="24"/>
          <w:shd w:fill="FFFFFF" w:val="clear"/>
        </w:rPr>
        <w:t>упаковочный лист в 1 (один) экз.;</w:t>
      </w:r>
    </w:p>
    <w:p>
      <w:pPr>
        <w:pStyle w:val="Normal"/>
        <w:numPr>
          <w:ilvl w:val="0"/>
          <w:numId w:val="3"/>
        </w:numPr>
        <w:tabs>
          <w:tab w:val="clear" w:pos="708"/>
          <w:tab w:val="left" w:pos="1418" w:leader="none"/>
        </w:tabs>
        <w:ind w:left="0" w:firstLine="709"/>
        <w:jc w:val="both"/>
        <w:rPr>
          <w:highlight w:val="none"/>
          <w:shd w:fill="FFFFFF" w:val="clear"/>
        </w:rPr>
      </w:pPr>
      <w:r>
        <w:rPr>
          <w:sz w:val="24"/>
          <w:szCs w:val="24"/>
          <w:shd w:fill="FFFFFF" w:val="clear"/>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Pr>
          <w:color w:val="000000"/>
          <w:sz w:val="24"/>
          <w:szCs w:val="24"/>
          <w:shd w:fill="FFFFFF" w:val="clear"/>
        </w:rPr>
        <w:t xml:space="preserve">сертификат о происхождении товара </w:t>
      </w:r>
      <w:r>
        <w:rPr>
          <w:sz w:val="24"/>
          <w:szCs w:val="24"/>
          <w:shd w:fill="FFFFFF" w:val="clear"/>
        </w:rPr>
        <w:t>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left="0" w:firstLine="709"/>
        <w:jc w:val="both"/>
        <w:rPr>
          <w:highlight w:val="none"/>
          <w:shd w:fill="FFFFFF" w:val="clear"/>
        </w:rPr>
      </w:pPr>
      <w:r>
        <w:rPr>
          <w:sz w:val="24"/>
          <w:szCs w:val="24"/>
          <w:shd w:fill="FFFFFF" w:val="clear"/>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(два) экз.;</w:t>
      </w:r>
    </w:p>
    <w:p>
      <w:pPr>
        <w:pStyle w:val="Normal"/>
        <w:numPr>
          <w:ilvl w:val="0"/>
          <w:numId w:val="3"/>
        </w:numPr>
        <w:shd w:val="clear" w:color="auto" w:fill="FFFFFF"/>
        <w:tabs>
          <w:tab w:val="clear" w:pos="708"/>
          <w:tab w:val="left" w:pos="1418" w:leader="none"/>
        </w:tabs>
        <w:ind w:left="0" w:firstLine="709"/>
        <w:jc w:val="both"/>
        <w:rPr>
          <w:highlight w:val="none"/>
          <w:shd w:fill="FFFFFE" w:val="clear"/>
        </w:rPr>
      </w:pPr>
      <w:r>
        <w:rPr>
          <w:sz w:val="24"/>
          <w:szCs w:val="24"/>
          <w:shd w:fill="FFFFFE" w:val="clear"/>
        </w:rPr>
        <w:t>накладная ТОРГ-12/ УПД в 2 (два) экз.</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bookmarkStart w:id="2" w:name="_Ref361396594"/>
      <w:r>
        <w:rPr>
          <w:sz w:val="24"/>
          <w:szCs w:val="24"/>
        </w:rPr>
        <w:t>Датой поставки Товара является дата подписания Сторонами Накладной</w:t>
        <w:br/>
      </w:r>
      <w:r>
        <w:rPr>
          <w:sz w:val="24"/>
          <w:szCs w:val="24"/>
          <w:shd w:fill="FFFFFE" w:val="clear"/>
        </w:rPr>
        <w:t>ТОРГ-12 / УПД.</w:t>
      </w:r>
      <w:bookmarkEnd w:id="2"/>
      <w:r>
        <w:rPr>
          <w:sz w:val="24"/>
          <w:szCs w:val="24"/>
          <w:shd w:fill="FFFFFE" w:val="clear"/>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по осуществляется Покупателем в дату поставки Товара. </w:t>
      </w:r>
    </w:p>
    <w:p>
      <w:pPr>
        <w:pStyle w:val="ListParagraph"/>
        <w:numPr>
          <w:ilvl w:val="1"/>
          <w:numId w:val="2"/>
        </w:numPr>
        <w:tabs>
          <w:tab w:val="clear" w:pos="708"/>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w:t>
      </w:r>
      <w:r>
        <w:rPr>
          <w:sz w:val="24"/>
          <w:szCs w:val="24"/>
          <w:shd w:fill="auto" w:val="clear"/>
        </w:rPr>
        <w:t>-12 / УПД.</w:t>
      </w:r>
    </w:p>
    <w:p>
      <w:pPr>
        <w:pStyle w:val="ListParagraph"/>
        <w:numPr>
          <w:ilvl w:val="1"/>
          <w:numId w:val="2"/>
        </w:numPr>
        <w:tabs>
          <w:tab w:val="clear" w:pos="708"/>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bookmarkStart w:id="3" w:name="_Ref361408232"/>
      <w:bookmarkEnd w:id="3"/>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p>
    <w:p>
      <w:pPr>
        <w:pStyle w:val="ListParagraph"/>
        <w:numPr>
          <w:ilvl w:val="1"/>
          <w:numId w:val="2"/>
        </w:numPr>
        <w:shd w:val="clear" w:color="auto" w:fill="FFFFFF"/>
        <w:tabs>
          <w:tab w:val="clear" w:pos="708"/>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3.12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w:t>
      </w:r>
      <w:r>
        <w:rPr>
          <w:sz w:val="24"/>
          <w:szCs w:val="24"/>
          <w:shd w:fill="auto" w:val="clear"/>
        </w:rPr>
        <w:t>ереходит от Поставщика к Покупателю с момента подписания Сторонами Накладной ТОРГ-12 / УПД.</w:t>
      </w:r>
    </w:p>
    <w:p>
      <w:pPr>
        <w:pStyle w:val="ListParagraph"/>
        <w:numPr>
          <w:ilvl w:val="1"/>
          <w:numId w:val="2"/>
        </w:numPr>
        <w:tabs>
          <w:tab w:val="clear" w:pos="708"/>
          <w:tab w:val="left" w:pos="1418" w:leader="none"/>
        </w:tabs>
        <w:ind w:left="0" w:firstLine="709"/>
        <w:jc w:val="both"/>
        <w:rPr>
          <w:sz w:val="24"/>
          <w:szCs w:val="24"/>
        </w:rPr>
      </w:pPr>
      <w:r>
        <w:rPr>
          <w:sz w:val="24"/>
          <w:szCs w:val="24"/>
        </w:rPr>
        <w:t>Поставщик обязан не более чем за 5 рабочих дней до даты начала отгрузки Товара (Оборудования) в адрес Покупателя (Грузополучателя), направить Покупателю письменное уведомление с указанием Грузоотправителя Товара и Транспортной компании, обеспечивающей доставку Товара (Оборудования) до места поставки. Уведомление составляется по форме приложения №4 к настоящему договору.</w:t>
      </w:r>
    </w:p>
    <w:p>
      <w:pPr>
        <w:pStyle w:val="Normal"/>
        <w:ind w:firstLine="709"/>
        <w:jc w:val="both"/>
        <w:rPr>
          <w:sz w:val="24"/>
          <w:szCs w:val="24"/>
        </w:rPr>
      </w:pPr>
      <w:r>
        <w:rPr>
          <w:sz w:val="24"/>
          <w:szCs w:val="24"/>
        </w:rPr>
        <w:t>В случае поступления на склад Грузополучателя Товара (Оборудования) без вышеуказанного уведомления, Покупатель вправе:</w:t>
      </w:r>
    </w:p>
    <w:p>
      <w:pPr>
        <w:pStyle w:val="Normal"/>
        <w:ind w:firstLine="709"/>
        <w:jc w:val="both"/>
        <w:rPr>
          <w:sz w:val="24"/>
          <w:szCs w:val="24"/>
        </w:rPr>
      </w:pPr>
      <w:r>
        <w:rPr>
          <w:sz w:val="24"/>
          <w:szCs w:val="24"/>
        </w:rPr>
        <w:t>- принять Товар (Оборудование) на ответственное хранение и считается, что Поставщик не исполнил свои обязательства по поставке Товара (Оборудования) до момента поступления таких документов;</w:t>
      </w:r>
    </w:p>
    <w:p>
      <w:pPr>
        <w:pStyle w:val="Normal"/>
        <w:ind w:firstLine="709"/>
        <w:jc w:val="both"/>
        <w:rPr>
          <w:sz w:val="24"/>
          <w:szCs w:val="24"/>
        </w:rPr>
      </w:pPr>
      <w:r>
        <w:rPr>
          <w:sz w:val="24"/>
          <w:szCs w:val="24"/>
        </w:rPr>
        <w:t>либо</w:t>
      </w:r>
    </w:p>
    <w:p>
      <w:pPr>
        <w:pStyle w:val="Normal"/>
        <w:ind w:firstLine="709"/>
        <w:jc w:val="both"/>
        <w:rPr>
          <w:color w:val="000000"/>
          <w:sz w:val="24"/>
          <w:szCs w:val="24"/>
        </w:rPr>
      </w:pPr>
      <w:r>
        <w:rPr>
          <w:sz w:val="24"/>
          <w:szCs w:val="24"/>
        </w:rPr>
        <w:t xml:space="preserve">- принять Товар (Оборудование) в соответствии с условиями договора и предъявить Поставщику требование об уплате штрафа в размере 20% от стоимости поставленного Товара (Оборудования). Удержание штрафа, подлежащего уплате Поставщиком, может быть произведено, по усмотрению Покупателя, путем вычета суммы штрафа из подлежащей оплате стоимости поставленного Покупателю Товара (Оборудования). </w:t>
      </w:r>
    </w:p>
    <w:p>
      <w:pPr>
        <w:pStyle w:val="Normal"/>
        <w:ind w:firstLine="709"/>
        <w:jc w:val="both"/>
        <w:rPr>
          <w:bCs/>
          <w:sz w:val="24"/>
          <w:szCs w:val="24"/>
        </w:rPr>
      </w:pPr>
      <w:r>
        <w:rPr>
          <w:bCs/>
          <w:sz w:val="24"/>
          <w:szCs w:val="24"/>
        </w:rPr>
        <w:t xml:space="preserve">В случае предъявления налоговыми органами претензий и требований к Покупателю, связанных с предоставлением Поставщиком недостоверных сведений о </w:t>
      </w:r>
      <w:r>
        <w:rPr>
          <w:sz w:val="24"/>
          <w:szCs w:val="24"/>
        </w:rPr>
        <w:t>Грузоотправителя Товара и Транспортной компании</w:t>
      </w:r>
      <w:r>
        <w:rPr>
          <w:bCs/>
          <w:sz w:val="24"/>
          <w:szCs w:val="24"/>
        </w:rPr>
        <w:t>, Поставщик обязан компенсировать все убытки Покупателя, вызванные такими претензиями и требованиями.</w:t>
      </w:r>
    </w:p>
    <w:p>
      <w:pPr>
        <w:pStyle w:val="ListParagraph"/>
        <w:numPr>
          <w:ilvl w:val="0"/>
          <w:numId w:val="2"/>
        </w:numPr>
        <w:shd w:val="clear" w:color="auto" w:fill="FFFFFF"/>
        <w:ind w:left="0" w:hanging="0"/>
        <w:jc w:val="center"/>
        <w:rPr>
          <w:highlight w:val="none"/>
          <w:shd w:fill="FFFFFE" w:val="clear"/>
        </w:rPr>
      </w:pPr>
      <w:r>
        <w:rPr>
          <w:b/>
          <w:sz w:val="24"/>
          <w:szCs w:val="24"/>
          <w:shd w:fill="FFFFFE" w:val="clear"/>
        </w:rPr>
        <w:t>Гарантийный срок</w:t>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Гарантийный срок на Товар, </w:t>
      </w:r>
      <w:r>
        <w:rPr>
          <w:sz w:val="24"/>
          <w:szCs w:val="24"/>
          <w:shd w:fill="FFFFFE" w:val="clear"/>
        </w:rPr>
        <w:t xml:space="preserve">поставленный по Договору, </w:t>
      </w:r>
      <w:r>
        <w:rPr>
          <w:sz w:val="24"/>
          <w:szCs w:val="24"/>
        </w:rPr>
        <w:t xml:space="preserve">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w:t>
      </w:r>
      <w:r>
        <w:rPr>
          <w:sz w:val="24"/>
          <w:szCs w:val="24"/>
          <w:shd w:fill="auto" w:val="clear"/>
        </w:rPr>
        <w:t>2 / УПД.</w:t>
      </w:r>
      <w:r>
        <w:rPr>
          <w:sz w:val="24"/>
          <w:szCs w:val="24"/>
        </w:rPr>
        <w:t xml:space="preserve">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widowControl/>
        <w:shd w:val="clear" w:color="auto" w:fill="FFFFFF"/>
        <w:tabs>
          <w:tab w:val="clear" w:pos="708"/>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w:t>
      </w:r>
      <w:r>
        <w:rPr>
          <w:sz w:val="24"/>
          <w:szCs w:val="24"/>
        </w:rPr>
        <w:t>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ind w:left="-15" w:right="135" w:firstLine="724"/>
        <w:rPr>
          <w:sz w:val="24"/>
          <w:szCs w:val="24"/>
        </w:rPr>
      </w:pPr>
      <w:r>
        <w:rPr>
          <w:sz w:val="24"/>
          <w:szCs w:val="24"/>
        </w:rPr>
        <w:t xml:space="preserve">В случае несвоевременного устранения Поставщиком выявленных недостатков товара, Покупатель вправе потребовать уплаты Поставщиком: </w:t>
      </w:r>
    </w:p>
    <w:p>
      <w:pPr>
        <w:pStyle w:val="Normal"/>
        <w:widowControl/>
        <w:numPr>
          <w:ilvl w:val="0"/>
          <w:numId w:val="12"/>
        </w:numPr>
        <w:tabs>
          <w:tab w:val="clear" w:pos="708"/>
          <w:tab w:val="left" w:pos="993" w:leader="none"/>
        </w:tabs>
        <w:spacing w:lineRule="auto" w:line="247" w:before="0" w:after="5"/>
        <w:ind w:right="135" w:firstLine="700"/>
        <w:jc w:val="both"/>
        <w:rPr>
          <w:sz w:val="24"/>
          <w:szCs w:val="24"/>
        </w:rPr>
      </w:pPr>
      <w:r>
        <w:rPr>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 </w:t>
      </w:r>
    </w:p>
    <w:p>
      <w:pPr>
        <w:pStyle w:val="Normal"/>
        <w:widowControl/>
        <w:numPr>
          <w:ilvl w:val="0"/>
          <w:numId w:val="12"/>
        </w:numPr>
        <w:tabs>
          <w:tab w:val="clear" w:pos="708"/>
          <w:tab w:val="left" w:pos="993" w:leader="none"/>
        </w:tabs>
        <w:spacing w:lineRule="auto" w:line="247" w:before="0" w:after="5"/>
        <w:ind w:right="135" w:firstLine="700"/>
        <w:jc w:val="both"/>
        <w:rPr>
          <w:sz w:val="24"/>
          <w:szCs w:val="24"/>
        </w:rPr>
      </w:pPr>
      <w:r>
        <w:rPr>
          <w:sz w:val="24"/>
          <w:szCs w:val="24"/>
        </w:rPr>
        <w:t xml:space="preserve">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 </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8"/>
          <w:tab w:val="left" w:pos="1276" w:leader="none"/>
        </w:tabs>
        <w:ind w:left="0" w:firstLine="709"/>
        <w:jc w:val="both"/>
        <w:rPr>
          <w:highlight w:val="none"/>
          <w:shd w:fill="FFFFFE" w:val="clear"/>
        </w:rPr>
      </w:pPr>
      <w:r>
        <w:rPr>
          <w:bCs/>
          <w:sz w:val="24"/>
          <w:szCs w:val="24"/>
          <w:shd w:fill="FFFFFE" w:val="clear"/>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2"/>
      </w:r>
      <w:r>
        <w:rPr>
          <w:bCs/>
          <w:sz w:val="24"/>
          <w:szCs w:val="24"/>
        </w:rPr>
        <w:t>.</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sz w:val="24"/>
          <w:szCs w:val="24"/>
        </w:rPr>
        <w:t>Удержание пени и штрафов, подлежащих уплате Поставщиком, может быть произведено, по усмотрению Покупателя, путем вычета суммы пени (штрафа) из подлежащей оплате стоимости поставленного Покупателю оборудования. Уплата (удержание) неустойки не освобождает стороны от исполнения своего обязательства в натуре</w:t>
      </w:r>
      <w:r>
        <w:rPr>
          <w:bCs/>
          <w:sz w:val="24"/>
          <w:szCs w:val="24"/>
        </w:rPr>
        <w:t>.</w:t>
      </w:r>
    </w:p>
    <w:p>
      <w:pPr>
        <w:pStyle w:val="ListParagraph"/>
        <w:widowControl/>
        <w:shd w:val="clear" w:color="auto" w:fill="FFFFFF"/>
        <w:tabs>
          <w:tab w:val="clear" w:pos="708"/>
          <w:tab w:val="left" w:pos="1134" w:leader="none"/>
          <w:tab w:val="left" w:pos="1418" w:leader="none"/>
        </w:tabs>
        <w:ind w:left="0" w:firstLine="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bookmarkStart w:id="7" w:name="_Ref361337832"/>
      <w:bookmarkEnd w:id="7"/>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bookmarkStart w:id="8" w:name="_Ref361337863"/>
      <w:bookmarkEnd w:id="8"/>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jc w:val="center"/>
        <w:rPr>
          <w:b/>
          <w:bCs/>
          <w:sz w:val="24"/>
          <w:szCs w:val="24"/>
        </w:rPr>
      </w:pPr>
      <w:r>
        <w:rPr>
          <w:b/>
          <w:bCs/>
          <w:sz w:val="24"/>
          <w:szCs w:val="24"/>
        </w:rPr>
        <w:t>Антикоррупционная оговорка</w:t>
      </w:r>
    </w:p>
    <w:p>
      <w:pPr>
        <w:pStyle w:val="ListParagraph"/>
        <w:widowControl/>
        <w:numPr>
          <w:ilvl w:val="1"/>
          <w:numId w:val="11"/>
        </w:numPr>
        <w:shd w:val="clear" w:color="auto" w:fill="FFFFFF"/>
        <w:tabs>
          <w:tab w:val="clear" w:pos="708"/>
          <w:tab w:val="left" w:pos="1418"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11"/>
        </w:numPr>
        <w:shd w:val="clear" w:color="auto" w:fill="FFFFFF"/>
        <w:tabs>
          <w:tab w:val="clear" w:pos="708"/>
          <w:tab w:val="left" w:pos="1418" w:leader="none"/>
        </w:tabs>
        <w:ind w:left="0" w:firstLine="709"/>
        <w:jc w:val="both"/>
        <w:rPr>
          <w:bCs/>
          <w:color w:val="000000"/>
          <w:sz w:val="24"/>
          <w:szCs w:val="24"/>
        </w:rPr>
      </w:pPr>
      <w:r>
        <w:rPr>
          <w:bCs/>
          <w:color w:val="000000"/>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w:t>
      </w:r>
      <w:r>
        <w:rPr>
          <w:bCs/>
          <w:color w:val="000000"/>
          <w:sz w:val="24"/>
          <w:szCs w:val="24"/>
          <w:shd w:fill="auto" w:val="clear"/>
        </w:rPr>
        <w:t>Применимым правом</w:t>
      </w:r>
      <w:r>
        <w:rPr>
          <w:bCs/>
          <w:color w:val="000000"/>
          <w:sz w:val="24"/>
          <w:szCs w:val="24"/>
        </w:rPr>
        <w:t xml:space="preserve">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1"/>
        </w:numPr>
        <w:shd w:val="clear" w:color="auto" w:fill="FFFFFF"/>
        <w:tabs>
          <w:tab w:val="clear" w:pos="708"/>
          <w:tab w:val="left" w:pos="1418" w:leader="none"/>
        </w:tabs>
        <w:ind w:left="0" w:firstLine="709"/>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1"/>
        </w:numPr>
        <w:shd w:val="clear" w:color="auto" w:fill="FFFFFF"/>
        <w:tabs>
          <w:tab w:val="clear" w:pos="708"/>
          <w:tab w:val="left" w:pos="1418" w:leader="none"/>
        </w:tabs>
        <w:ind w:left="0" w:firstLine="709"/>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1"/>
        </w:numPr>
        <w:shd w:val="clear" w:color="auto" w:fill="FFFFFF"/>
        <w:tabs>
          <w:tab w:val="clear" w:pos="708"/>
          <w:tab w:val="left" w:pos="1418" w:leader="none"/>
        </w:tabs>
        <w:ind w:left="0" w:firstLine="709"/>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11"/>
        </w:numPr>
        <w:shd w:val="clear" w:color="auto" w:fill="FFFFFF"/>
        <w:tabs>
          <w:tab w:val="clear" w:pos="708"/>
          <w:tab w:val="left" w:pos="1418" w:leader="none"/>
        </w:tabs>
        <w:ind w:left="0" w:firstLine="709"/>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11"/>
        </w:numPr>
        <w:shd w:val="clear" w:color="auto" w:fill="FFFFFF"/>
        <w:tabs>
          <w:tab w:val="clear" w:pos="708"/>
          <w:tab w:val="left" w:pos="567" w:leader="none"/>
          <w:tab w:val="left" w:pos="1418" w:leader="none"/>
        </w:tabs>
        <w:ind w:left="0" w:firstLine="709"/>
        <w:jc w:val="both"/>
        <w:rPr>
          <w:color w:val="000000"/>
          <w:sz w:val="24"/>
          <w:szCs w:val="24"/>
        </w:rPr>
      </w:pPr>
      <w:r>
        <w:rPr>
          <w:color w:val="000000"/>
          <w:sz w:val="24"/>
          <w:szCs w:val="24"/>
        </w:rPr>
        <w:t xml:space="preserve">Каналы связи Линия доверия Группы РусГидро: </w:t>
      </w:r>
    </w:p>
    <w:p>
      <w:pPr>
        <w:pStyle w:val="ListParagraph"/>
        <w:numPr>
          <w:ilvl w:val="2"/>
          <w:numId w:val="11"/>
        </w:numPr>
        <w:shd w:val="clear" w:color="auto" w:fill="FFFFFF"/>
        <w:tabs>
          <w:tab w:val="clear" w:pos="708"/>
          <w:tab w:val="left" w:pos="567" w:leader="none"/>
          <w:tab w:val="left" w:pos="1418" w:leader="none"/>
        </w:tabs>
        <w:ind w:left="0" w:firstLine="709"/>
        <w:jc w:val="both"/>
        <w:rPr>
          <w:sz w:val="24"/>
          <w:szCs w:val="24"/>
        </w:rPr>
      </w:pPr>
      <w:r>
        <w:rPr>
          <w:sz w:val="24"/>
          <w:szCs w:val="24"/>
        </w:rPr>
        <w:t>Электронная почта: ld@rushydro.ru.</w:t>
      </w:r>
    </w:p>
    <w:p>
      <w:pPr>
        <w:pStyle w:val="ListParagraph"/>
        <w:numPr>
          <w:ilvl w:val="2"/>
          <w:numId w:val="11"/>
        </w:numPr>
        <w:shd w:val="clear" w:color="auto" w:fill="FFFFFF"/>
        <w:tabs>
          <w:tab w:val="clear" w:pos="708"/>
          <w:tab w:val="left" w:pos="567" w:leader="none"/>
          <w:tab w:val="left" w:pos="1418" w:leader="none"/>
        </w:tabs>
        <w:ind w:left="0" w:firstLine="709"/>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1"/>
        </w:numPr>
        <w:tabs>
          <w:tab w:val="clear" w:pos="708"/>
          <w:tab w:val="left" w:pos="1418" w:leader="none"/>
        </w:tabs>
        <w:spacing w:lineRule="auto" w:line="259" w:before="0" w:after="160"/>
        <w:ind w:left="0" w:firstLine="709"/>
        <w:contextualSpacing/>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11"/>
        </w:numPr>
        <w:shd w:val="clear" w:color="auto" w:fill="FFFFFF"/>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1"/>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11"/>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1"/>
        </w:numPr>
        <w:shd w:val="clear" w:color="auto" w:fill="FFFFFF"/>
        <w:tabs>
          <w:tab w:val="clear" w:pos="708"/>
          <w:tab w:val="left" w:pos="0" w:leader="none"/>
          <w:tab w:val="left" w:pos="568" w:leader="none"/>
        </w:tabs>
        <w:ind w:left="0" w:firstLine="709"/>
        <w:jc w:val="both"/>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sz w:val="24"/>
            <w:szCs w:val="24"/>
          </w:rPr>
          <w:t>№ 18162/09</w:t>
        </w:r>
      </w:hyperlink>
      <w:r>
        <w:rPr>
          <w:bCs/>
          <w:sz w:val="24"/>
          <w:szCs w:val="24"/>
        </w:rPr>
        <w:t xml:space="preserve"> и от 25.05.2010 </w:t>
      </w:r>
      <w:hyperlink r:id="rId3">
        <w:r>
          <w:rPr>
            <w:rStyle w:val="Hyperlink"/>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11"/>
        </w:numPr>
        <w:shd w:val="clear" w:color="auto" w:fill="FFFFFF"/>
        <w:tabs>
          <w:tab w:val="clear" w:pos="708"/>
          <w:tab w:val="left" w:pos="0" w:leader="none"/>
          <w:tab w:val="left" w:pos="56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ListParagraph"/>
        <w:widowControl/>
        <w:numPr>
          <w:ilvl w:val="1"/>
          <w:numId w:val="11"/>
        </w:numPr>
        <w:shd w:val="clear" w:color="auto" w:fill="FFFFFF"/>
        <w:tabs>
          <w:tab w:val="clear" w:pos="708"/>
          <w:tab w:val="left" w:pos="0" w:leader="none"/>
          <w:tab w:val="left" w:pos="568" w:leader="none"/>
        </w:tabs>
        <w:ind w:left="0" w:firstLine="709"/>
        <w:jc w:val="both"/>
        <w:rPr>
          <w:bCs/>
          <w:sz w:val="24"/>
          <w:szCs w:val="24"/>
        </w:rPr>
      </w:pPr>
      <w:r>
        <w:rPr>
          <w:bCs/>
          <w:sz w:val="24"/>
          <w:szCs w:val="24"/>
        </w:rPr>
        <w:t>В случае нарушения Поставщиком обязательств, установленных пунктами 9.1, 9.2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1"/>
        </w:numPr>
        <w:shd w:val="clear" w:color="auto" w:fill="FFFFFF"/>
        <w:tabs>
          <w:tab w:val="clear" w:pos="708"/>
          <w:tab w:val="left" w:pos="0" w:leader="none"/>
          <w:tab w:val="left" w:pos="56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p>
    <w:p>
      <w:pPr>
        <w:pStyle w:val="ListParagraph"/>
        <w:widowControl/>
        <w:numPr>
          <w:ilvl w:val="1"/>
          <w:numId w:val="11"/>
        </w:numPr>
        <w:shd w:val="clear" w:color="auto" w:fill="FFFFFF"/>
        <w:tabs>
          <w:tab w:val="clear" w:pos="708"/>
          <w:tab w:val="left" w:pos="0" w:leader="none"/>
          <w:tab w:val="left" w:pos="568" w:leader="none"/>
        </w:tabs>
        <w:ind w:left="0" w:firstLine="709"/>
        <w:jc w:val="both"/>
        <w:rPr>
          <w:bCs/>
          <w:sz w:val="24"/>
          <w:szCs w:val="24"/>
        </w:rPr>
      </w:pPr>
      <w:r>
        <w:rPr>
          <w:bCs/>
          <w:sz w:val="24"/>
          <w:szCs w:val="24"/>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9.3 Договора.</w:t>
      </w:r>
    </w:p>
    <w:p>
      <w:pPr>
        <w:pStyle w:val="ListParagraph"/>
        <w:widowControl/>
        <w:numPr>
          <w:ilvl w:val="1"/>
          <w:numId w:val="11"/>
        </w:numPr>
        <w:shd w:val="clear" w:color="auto" w:fill="FFFFFF"/>
        <w:tabs>
          <w:tab w:val="clear" w:pos="708"/>
          <w:tab w:val="left" w:pos="142" w:leader="none"/>
          <w:tab w:val="left" w:pos="56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11"/>
        </w:numPr>
        <w:shd w:val="clear" w:color="auto" w:fill="FFFFFF"/>
        <w:tabs>
          <w:tab w:val="clear" w:pos="708"/>
          <w:tab w:val="left" w:pos="142" w:leader="none"/>
          <w:tab w:val="left" w:pos="568" w:leader="none"/>
        </w:tabs>
        <w:ind w:left="0" w:firstLine="709"/>
        <w:jc w:val="both"/>
        <w:rPr>
          <w:bCs/>
          <w:sz w:val="24"/>
          <w:szCs w:val="24"/>
        </w:rPr>
      </w:pPr>
      <w:r>
        <w:rPr>
          <w:bCs/>
          <w:sz w:val="24"/>
          <w:szCs w:val="24"/>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sz w:val="24"/>
          <w:szCs w:val="24"/>
        </w:rPr>
      </w:pPr>
      <w:r>
        <w:rPr>
          <w:bCs/>
          <w:sz w:val="24"/>
          <w:szCs w:val="24"/>
        </w:rPr>
      </w:r>
    </w:p>
    <w:p>
      <w:pPr>
        <w:pStyle w:val="ListParagraph"/>
        <w:widowControl/>
        <w:numPr>
          <w:ilvl w:val="0"/>
          <w:numId w:val="11"/>
        </w:numPr>
        <w:shd w:val="clear" w:color="auto" w:fill="FFFFFF"/>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11"/>
        </w:numPr>
        <w:shd w:val="clear" w:color="auto" w:fill="FFFFFF"/>
        <w:tabs>
          <w:tab w:val="clear" w:pos="708"/>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11"/>
        </w:numPr>
        <w:shd w:val="clear" w:color="auto" w:fill="FFFFFF"/>
        <w:tabs>
          <w:tab w:val="clear" w:pos="708"/>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11"/>
        </w:numPr>
        <w:tabs>
          <w:tab w:val="clear" w:pos="708"/>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11"/>
        </w:numPr>
        <w:shd w:val="clear" w:color="auto" w:fill="FFFFFF"/>
        <w:tabs>
          <w:tab w:val="clear" w:pos="708"/>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1"/>
        </w:numPr>
        <w:shd w:val="clear" w:color="auto" w:fill="FFFFFF"/>
        <w:tabs>
          <w:tab w:val="clear" w:pos="708"/>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0" w:firstLine="709"/>
        <w:jc w:val="both"/>
        <w:rPr>
          <w:sz w:val="24"/>
          <w:szCs w:val="24"/>
        </w:rPr>
      </w:pPr>
      <w:r>
        <w:rPr>
          <w:sz w:val="24"/>
          <w:szCs w:val="24"/>
        </w:rPr>
      </w:r>
    </w:p>
    <w:p>
      <w:pPr>
        <w:pStyle w:val="ListParagraph"/>
        <w:widowControl/>
        <w:numPr>
          <w:ilvl w:val="0"/>
          <w:numId w:val="11"/>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11"/>
        </w:numPr>
        <w:shd w:val="clear" w:color="auto" w:fill="FFFFFF"/>
        <w:tabs>
          <w:tab w:val="clear" w:pos="708"/>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11"/>
        </w:numPr>
        <w:shd w:val="clear" w:color="auto" w:fill="FFFFFF"/>
        <w:tabs>
          <w:tab w:val="clear" w:pos="708"/>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1"/>
        </w:numPr>
        <w:shd w:val="clear" w:color="auto" w:fill="FFFFFF"/>
        <w:tabs>
          <w:tab w:val="clear" w:pos="708"/>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8"/>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0"/>
        </w:numPr>
        <w:tabs>
          <w:tab w:val="clear" w:pos="708"/>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0"/>
        </w:numPr>
        <w:tabs>
          <w:tab w:val="clear" w:pos="708"/>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0"/>
        </w:numPr>
        <w:tabs>
          <w:tab w:val="clear" w:pos="708"/>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0"/>
        </w:numPr>
        <w:tabs>
          <w:tab w:val="clear" w:pos="708"/>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ListParagraph"/>
        <w:widowControl/>
        <w:numPr>
          <w:ilvl w:val="1"/>
          <w:numId w:val="9"/>
        </w:numPr>
        <w:shd w:val="clear" w:color="auto" w:fill="FFFFFF"/>
        <w:tabs>
          <w:tab w:val="clear" w:pos="708"/>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11.2,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9"/>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9"/>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shd w:val="clear" w:color="auto" w:fill="FFFFFF"/>
        <w:tabs>
          <w:tab w:val="clear" w:pos="708"/>
          <w:tab w:val="left" w:pos="1134" w:leader="none"/>
        </w:tabs>
        <w:ind w:left="0" w:firstLine="709"/>
        <w:jc w:val="both"/>
        <w:rPr>
          <w:sz w:val="24"/>
          <w:szCs w:val="24"/>
        </w:rPr>
      </w:pPr>
      <w:r>
        <w:rPr>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pPr>
      <w:r>
        <w:rPr>
          <w:bCs/>
          <w:sz w:val="24"/>
          <w:szCs w:val="24"/>
        </w:rPr>
        <w:t xml:space="preserve">Споры, указанные в пункте 12.1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ListParagraph"/>
        <w:widowControl/>
        <w:shd w:val="clear" w:color="auto" w:fill="FFFFFF"/>
        <w:tabs>
          <w:tab w:val="clear" w:pos="708"/>
          <w:tab w:val="left" w:pos="142" w:leader="none"/>
        </w:tabs>
        <w:ind w:left="0" w:hanging="0"/>
        <w:jc w:val="both"/>
        <w:rPr>
          <w:bCs/>
          <w:sz w:val="24"/>
          <w:szCs w:val="24"/>
        </w:rPr>
      </w:pPr>
      <w:r>
        <w:rPr>
          <w:bCs/>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13.7 Договора.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13.8 Договора. Использование </w:t>
      </w:r>
      <w:r>
        <w:rPr>
          <w:sz w:val="24"/>
          <w:szCs w:val="24"/>
          <w:shd w:fill="auto" w:val="clear"/>
        </w:rPr>
        <w:t xml:space="preserve">средств электронной связи </w:t>
      </w:r>
      <w:r>
        <w:rPr>
          <w:sz w:val="24"/>
          <w:szCs w:val="24"/>
        </w:rPr>
        <w:t>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bookmarkStart w:id="10" w:name="_Ref361338019"/>
      <w:bookmarkEnd w:id="10"/>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w:t>
      </w:r>
      <w:r>
        <w:rPr>
          <w:sz w:val="24"/>
          <w:szCs w:val="24"/>
          <w:shd w:fill="auto" w:val="clear"/>
        </w:rPr>
        <w:t>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shd w:fill="auto" w:val="clear"/>
        </w:rPr>
        <w:t xml:space="preserve"> будет считаться полученным</w:t>
      </w:r>
      <w:r>
        <w:rPr>
          <w:sz w:val="24"/>
          <w:szCs w:val="24"/>
          <w:shd w:fill="auto" w:val="clear"/>
        </w:rPr>
        <w:t xml:space="preserve">: </w:t>
      </w:r>
    </w:p>
    <w:p>
      <w:pPr>
        <w:pStyle w:val="ListParagraph"/>
        <w:numPr>
          <w:ilvl w:val="2"/>
          <w:numId w:val="11"/>
        </w:numPr>
        <w:ind w:left="0" w:firstLine="709"/>
        <w:jc w:val="both"/>
        <w:rPr>
          <w:highlight w:val="none"/>
          <w:shd w:fill="auto" w:val="clear"/>
        </w:rPr>
      </w:pPr>
      <w:r>
        <w:rPr>
          <w:bCs/>
          <w:sz w:val="24"/>
          <w:szCs w:val="24"/>
          <w:shd w:fill="auto" w:val="clear"/>
        </w:rPr>
        <w:t xml:space="preserve">Заказным почтовым отправлением с уведомлением о вручении – </w:t>
      </w:r>
      <w:r>
        <w:rPr>
          <w:sz w:val="24"/>
          <w:szCs w:val="24"/>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1"/>
        </w:numPr>
        <w:ind w:left="0" w:firstLine="709"/>
        <w:jc w:val="both"/>
        <w:rPr>
          <w:highlight w:val="none"/>
          <w:shd w:fill="auto" w:val="clear"/>
        </w:rPr>
      </w:pPr>
      <w:bookmarkStart w:id="11" w:name="_Ref3613380191"/>
      <w:bookmarkEnd w:id="11"/>
      <w:r>
        <w:rPr>
          <w:bCs/>
          <w:sz w:val="24"/>
          <w:szCs w:val="24"/>
          <w:shd w:fill="auto"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bookmarkStart w:id="12" w:name="_Ref361338032"/>
      <w:r>
        <w:rPr>
          <w:sz w:val="24"/>
          <w:szCs w:val="24"/>
          <w:shd w:fill="auto" w:val="clear"/>
        </w:rPr>
        <w:t xml:space="preserve">; </w:t>
      </w:r>
    </w:p>
    <w:p>
      <w:pPr>
        <w:pStyle w:val="ListParagraph"/>
        <w:ind w:left="0" w:firstLine="720"/>
        <w:jc w:val="both"/>
        <w:rPr>
          <w:highlight w:val="none"/>
          <w:shd w:fill="auto" w:val="clear"/>
        </w:rPr>
      </w:pPr>
      <w:r>
        <w:rPr>
          <w:bCs/>
          <w:sz w:val="24"/>
          <w:szCs w:val="24"/>
          <w:shd w:fill="auto" w:val="clear"/>
        </w:rPr>
        <w:t xml:space="preserve">13.8.3. </w:t>
      </w:r>
      <w:bookmarkEnd w:id="12"/>
      <w:r>
        <w:rPr>
          <w:bCs/>
          <w:sz w:val="24"/>
          <w:szCs w:val="24"/>
          <w:shd w:fill="auto" w:val="clear"/>
        </w:rPr>
        <w:t>Посредством электронной почты (</w:t>
      </w:r>
      <w:r>
        <w:rPr>
          <w:bCs/>
          <w:sz w:val="24"/>
          <w:szCs w:val="24"/>
          <w:shd w:fill="auto" w:val="clear"/>
          <w:lang w:val="en-US"/>
        </w:rPr>
        <w:t>e</w:t>
      </w:r>
      <w:r>
        <w:rPr>
          <w:bCs/>
          <w:sz w:val="24"/>
          <w:szCs w:val="24"/>
          <w:shd w:fill="auto" w:val="clear"/>
        </w:rPr>
        <w:t>-</w:t>
      </w:r>
      <w:r>
        <w:rPr>
          <w:bCs/>
          <w:sz w:val="24"/>
          <w:szCs w:val="24"/>
          <w:shd w:fill="auto" w:val="clear"/>
          <w:lang w:val="en-US"/>
        </w:rPr>
        <w:t>mail</w:t>
      </w:r>
      <w:r>
        <w:rPr>
          <w:bCs/>
          <w:sz w:val="24"/>
          <w:szCs w:val="24"/>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sz w:val="24"/>
          <w:szCs w:val="24"/>
        </w:rPr>
      </w:pPr>
      <w:r>
        <w:rPr>
          <w:bCs/>
          <w:sz w:val="24"/>
          <w:szCs w:val="24"/>
          <w:shd w:fill="auto" w:val="clear"/>
        </w:rPr>
        <w:t>Оригиналы документ</w:t>
      </w:r>
      <w:r>
        <w:rPr>
          <w:bCs/>
          <w:sz w:val="24"/>
          <w:szCs w:val="24"/>
        </w:rPr>
        <w:t>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bCs/>
          <w:iCs/>
          <w:color w:val="000000"/>
          <w:sz w:val="24"/>
          <w:szCs w:val="24"/>
        </w:rPr>
      </w:pPr>
      <w:r>
        <w:rPr>
          <w:bCs/>
          <w:sz w:val="24"/>
          <w:szCs w:val="24"/>
        </w:rPr>
        <w:t xml:space="preserve">В случае заключения Соглашения, согласно которому </w:t>
      </w:r>
      <w:r>
        <w:rPr>
          <w:sz w:val="24"/>
          <w:szCs w:val="24"/>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z w:val="24"/>
          <w:szCs w:val="24"/>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ListParagraph"/>
        <w:widowControl/>
        <w:numPr>
          <w:ilvl w:val="1"/>
          <w:numId w:val="11"/>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ListParagraph"/>
        <w:widowControl/>
        <w:numPr>
          <w:ilvl w:val="1"/>
          <w:numId w:val="11"/>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s>
        <w:ind w:left="0" w:firstLine="709"/>
        <w:jc w:val="both"/>
        <w:rPr>
          <w:sz w:val="24"/>
          <w:szCs w:val="24"/>
        </w:rPr>
      </w:pPr>
      <w:r>
        <w:rPr>
          <w:sz w:val="24"/>
        </w:rPr>
        <w:t xml:space="preserve">Со стороны Покупателя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«Электрические сети ЕАО» расположенный по адресу: 679011, Еврейская АО, г. Биробиджан, ул. Черноморская, д.6 ИНН 2801108200, КПП 790102001,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tabs>
          <w:tab w:val="clear" w:pos="708"/>
          <w:tab w:val="left" w:pos="993" w:leader="none"/>
        </w:tabs>
        <w:ind w:right="-2" w:firstLine="709"/>
        <w:jc w:val="both"/>
        <w:rPr>
          <w:bCs/>
          <w:iCs/>
          <w:sz w:val="24"/>
        </w:rPr>
      </w:pPr>
      <w:r>
        <w:rPr>
          <w:bCs/>
          <w:iCs/>
          <w:sz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филиала АО «ДРСК».</w:t>
      </w:r>
    </w:p>
    <w:p>
      <w:pPr>
        <w:pStyle w:val="Normal"/>
        <w:shd w:val="clear" w:color="auto" w:fill="FFFFFF"/>
        <w:tabs>
          <w:tab w:val="clear" w:pos="708"/>
          <w:tab w:val="left" w:pos="1134" w:leader="none"/>
        </w:tabs>
        <w:ind w:firstLine="709"/>
        <w:jc w:val="both"/>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филиала АО «ДРСК». В случае отсутствия контактной информации поступившие документы не считаются поступившими в филиал АО «ДРСК.</w:t>
      </w:r>
    </w:p>
    <w:p>
      <w:pPr>
        <w:pStyle w:val="ListParagraph"/>
        <w:widowControl/>
        <w:shd w:val="clear" w:color="auto" w:fill="FFFFFF"/>
        <w:tabs>
          <w:tab w:val="clear" w:pos="708"/>
          <w:tab w:val="left" w:pos="0" w:leader="none"/>
          <w:tab w:val="left" w:pos="1418" w:leader="none"/>
        </w:tabs>
        <w:ind w:left="0" w:firstLine="709"/>
        <w:jc w:val="both"/>
        <w:rPr>
          <w:sz w:val="24"/>
          <w:szCs w:val="24"/>
        </w:rPr>
      </w:pPr>
      <w:r>
        <w:rPr>
          <w:sz w:val="24"/>
          <w:szCs w:val="24"/>
        </w:rPr>
      </w:r>
    </w:p>
    <w:p>
      <w:pPr>
        <w:pStyle w:val="Normal"/>
        <w:widowControl/>
        <w:numPr>
          <w:ilvl w:val="0"/>
          <w:numId w:val="11"/>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suppressAutoHyphens w:val="true"/>
        <w:ind w:firstLine="709"/>
        <w:jc w:val="both"/>
        <w:rPr>
          <w:sz w:val="24"/>
          <w:szCs w:val="24"/>
          <w:lang w:eastAsia="x-none"/>
        </w:rPr>
      </w:pPr>
      <w:bookmarkStart w:id="13" w:name="sub_1"/>
      <w:r>
        <w:rPr>
          <w:sz w:val="24"/>
          <w:szCs w:val="24"/>
          <w:lang w:eastAsia="x-none"/>
        </w:rPr>
        <w:t>Приложение № 2 –</w:t>
      </w:r>
      <w:bookmarkEnd w:id="13"/>
      <w:r>
        <w:rPr>
          <w:rFonts w:eastAsia="Calibri"/>
          <w:sz w:val="24"/>
          <w:szCs w:val="24"/>
          <w:lang w:eastAsia="en-US"/>
        </w:rPr>
        <w:t xml:space="preserve"> Форма Заявки на поставку Товара;</w:t>
      </w:r>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t>Приложение № 4 – Уведомление (форма).</w:t>
      </w:r>
    </w:p>
    <w:p>
      <w:pPr>
        <w:pStyle w:val="Normal"/>
        <w:ind w:firstLine="709"/>
        <w:jc w:val="both"/>
        <w:rPr>
          <w:bCs/>
          <w:sz w:val="24"/>
          <w:szCs w:val="24"/>
        </w:rPr>
      </w:pPr>
      <w:r>
        <w:rPr>
          <w:bCs/>
          <w:sz w:val="24"/>
          <w:szCs w:val="24"/>
        </w:rPr>
        <w:t>Приложение № 5-Оферта Банка</w:t>
      </w:r>
    </w:p>
    <w:p>
      <w:pPr>
        <w:pStyle w:val="Normal"/>
        <w:ind w:firstLine="709"/>
        <w:jc w:val="both"/>
        <w:rPr>
          <w:bCs/>
          <w:sz w:val="24"/>
          <w:szCs w:val="24"/>
        </w:rPr>
      </w:pPr>
      <w:r>
        <w:rPr>
          <w:bCs/>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left="0" w:firstLine="709"/>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65"/>
        <w:gridCol w:w="163"/>
        <w:gridCol w:w="4615"/>
        <w:gridCol w:w="347"/>
      </w:tblGrid>
      <w:tr>
        <w:trPr/>
        <w:tc>
          <w:tcPr>
            <w:tcW w:w="4928" w:type="dxa"/>
            <w:gridSpan w:val="2"/>
            <w:tcBorders/>
            <w:shd w:fill="auto" w:val="clear"/>
          </w:tcPr>
          <w:p>
            <w:pPr>
              <w:pStyle w:val="Normal"/>
              <w:widowControl w:val="false"/>
              <w:spacing w:lineRule="auto" w:line="360"/>
              <w:rPr>
                <w:b/>
                <w:bCs/>
                <w:sz w:val="20"/>
                <w:szCs w:val="20"/>
              </w:rPr>
            </w:pPr>
            <w:r>
              <w:rPr>
                <w:b/>
                <w:bCs/>
                <w:sz w:val="20"/>
                <w:szCs w:val="20"/>
              </w:rPr>
              <w:t>ПОКУПАТЕЛЬ:</w:t>
            </w:r>
            <w:r>
              <w:rPr>
                <w:b/>
                <w:bCs/>
                <w:i w:val="false"/>
                <w:sz w:val="20"/>
                <w:szCs w:val="20"/>
                <w:u w:val="single"/>
              </w:rPr>
              <w:t xml:space="preserve"> </w:t>
            </w:r>
          </w:p>
          <w:p>
            <w:pPr>
              <w:pStyle w:val="Style31"/>
              <w:widowControl w:val="false"/>
              <w:rPr>
                <w:sz w:val="22"/>
                <w:szCs w:val="22"/>
              </w:rPr>
            </w:pPr>
            <w:r>
              <w:rPr>
                <w:rFonts w:ascii="Times New Roman" w:hAnsi="Times New Roman"/>
                <w:b/>
                <w:bCs/>
                <w:sz w:val="22"/>
                <w:szCs w:val="22"/>
              </w:rPr>
              <w:t>Акционерное общество</w:t>
            </w:r>
          </w:p>
          <w:p>
            <w:pPr>
              <w:pStyle w:val="Style31"/>
              <w:widowControl w:val="false"/>
              <w:rPr>
                <w:sz w:val="22"/>
                <w:szCs w:val="22"/>
              </w:rPr>
            </w:pPr>
            <w:r>
              <w:rPr>
                <w:rFonts w:ascii="Times New Roman" w:hAnsi="Times New Roman"/>
                <w:b/>
                <w:bCs/>
                <w:sz w:val="22"/>
                <w:szCs w:val="22"/>
              </w:rPr>
              <w:t xml:space="preserve"> </w:t>
            </w:r>
            <w:r>
              <w:rPr>
                <w:rFonts w:ascii="Times New Roman" w:hAnsi="Times New Roman"/>
                <w:b/>
                <w:bCs/>
                <w:sz w:val="22"/>
                <w:szCs w:val="22"/>
              </w:rPr>
              <w:t>«Дальневосточная распределительная</w:t>
            </w:r>
          </w:p>
          <w:p>
            <w:pPr>
              <w:pStyle w:val="Style31"/>
              <w:widowControl w:val="false"/>
              <w:rPr>
                <w:sz w:val="22"/>
                <w:szCs w:val="22"/>
              </w:rPr>
            </w:pPr>
            <w:r>
              <w:rPr>
                <w:rFonts w:ascii="Times New Roman" w:hAnsi="Times New Roman"/>
                <w:b/>
                <w:bCs/>
                <w:sz w:val="22"/>
                <w:szCs w:val="22"/>
              </w:rPr>
              <w:t xml:space="preserve"> </w:t>
            </w:r>
            <w:r>
              <w:rPr>
                <w:rFonts w:ascii="Times New Roman" w:hAnsi="Times New Roman"/>
                <w:b/>
                <w:bCs/>
                <w:sz w:val="22"/>
                <w:szCs w:val="22"/>
              </w:rPr>
              <w:t>сетевая компания» (АО «ДРСК»)</w:t>
            </w:r>
          </w:p>
          <w:p>
            <w:pPr>
              <w:pStyle w:val="Style31"/>
              <w:widowControl w:val="false"/>
              <w:rPr>
                <w:sz w:val="22"/>
                <w:szCs w:val="22"/>
              </w:rPr>
            </w:pPr>
            <w:r>
              <w:rPr>
                <w:rFonts w:ascii="Times New Roman" w:hAnsi="Times New Roman"/>
                <w:sz w:val="22"/>
                <w:szCs w:val="22"/>
              </w:rPr>
              <w:t>Юридический адрес:</w:t>
            </w:r>
          </w:p>
          <w:p>
            <w:pPr>
              <w:pStyle w:val="Style31"/>
              <w:widowControl w:val="false"/>
              <w:rPr>
                <w:sz w:val="22"/>
                <w:szCs w:val="22"/>
              </w:rPr>
            </w:pPr>
            <w:r>
              <w:rPr>
                <w:rFonts w:ascii="Times New Roman" w:hAnsi="Times New Roman"/>
                <w:sz w:val="22"/>
                <w:szCs w:val="22"/>
              </w:rPr>
              <w:t>Российская Федерация, Амурская область</w:t>
            </w:r>
          </w:p>
          <w:p>
            <w:pPr>
              <w:pStyle w:val="Normal"/>
              <w:widowControl w:val="false"/>
              <w:jc w:val="both"/>
              <w:rPr>
                <w:sz w:val="22"/>
                <w:szCs w:val="22"/>
              </w:rPr>
            </w:pPr>
            <w:r>
              <w:rPr>
                <w:sz w:val="22"/>
                <w:szCs w:val="22"/>
              </w:rPr>
              <w:t xml:space="preserve">675004 г. Благовещенск, ул. Шевченко, д.32 </w:t>
            </w:r>
          </w:p>
          <w:p>
            <w:pPr>
              <w:pStyle w:val="Normal"/>
              <w:widowControl w:val="false"/>
              <w:jc w:val="both"/>
              <w:rPr>
                <w:sz w:val="22"/>
                <w:szCs w:val="22"/>
              </w:rPr>
            </w:pPr>
            <w:r>
              <w:rPr>
                <w:sz w:val="22"/>
                <w:szCs w:val="22"/>
              </w:rPr>
              <w:t>ИНН 2801108200</w:t>
            </w:r>
          </w:p>
          <w:p>
            <w:pPr>
              <w:pStyle w:val="Normal"/>
              <w:widowControl w:val="false"/>
              <w:jc w:val="both"/>
              <w:rPr>
                <w:sz w:val="22"/>
                <w:szCs w:val="22"/>
              </w:rPr>
            </w:pPr>
            <w:r>
              <w:rPr>
                <w:sz w:val="22"/>
                <w:szCs w:val="22"/>
              </w:rPr>
              <w:t>КПП 775050001</w:t>
            </w:r>
          </w:p>
          <w:p>
            <w:pPr>
              <w:pStyle w:val="Normal"/>
              <w:widowControl w:val="false"/>
              <w:rPr>
                <w:sz w:val="22"/>
                <w:szCs w:val="22"/>
              </w:rPr>
            </w:pPr>
            <w:r>
              <w:rPr>
                <w:color w:val="000000"/>
                <w:sz w:val="22"/>
                <w:szCs w:val="22"/>
              </w:rPr>
              <w:t>Банк ГПБ(АО) г.Москва</w:t>
            </w:r>
          </w:p>
          <w:p>
            <w:pPr>
              <w:pStyle w:val="Normal"/>
              <w:widowControl w:val="false"/>
              <w:rPr>
                <w:sz w:val="22"/>
                <w:szCs w:val="22"/>
              </w:rPr>
            </w:pPr>
            <w:r>
              <w:rPr>
                <w:color w:val="000000"/>
                <w:sz w:val="22"/>
                <w:szCs w:val="22"/>
              </w:rPr>
              <w:t>ИНН 7744001497, КПП 997950001</w:t>
            </w:r>
          </w:p>
          <w:p>
            <w:pPr>
              <w:pStyle w:val="Normal"/>
              <w:widowControl w:val="false"/>
              <w:rPr>
                <w:sz w:val="22"/>
                <w:szCs w:val="22"/>
              </w:rPr>
            </w:pPr>
            <w:r>
              <w:rPr>
                <w:color w:val="000000"/>
                <w:sz w:val="22"/>
                <w:szCs w:val="22"/>
              </w:rPr>
              <w:t>БИК 044525823</w:t>
            </w:r>
          </w:p>
          <w:p>
            <w:pPr>
              <w:pStyle w:val="Normal"/>
              <w:widowControl w:val="false"/>
              <w:rPr>
                <w:sz w:val="22"/>
                <w:szCs w:val="22"/>
              </w:rPr>
            </w:pPr>
            <w:r>
              <w:rPr>
                <w:color w:val="000000"/>
                <w:sz w:val="22"/>
                <w:szCs w:val="22"/>
              </w:rPr>
              <w:t>р/с 40702810300000239608</w:t>
            </w:r>
          </w:p>
          <w:p>
            <w:pPr>
              <w:pStyle w:val="Normal"/>
              <w:widowControl w:val="false"/>
              <w:rPr>
                <w:sz w:val="22"/>
                <w:szCs w:val="22"/>
              </w:rPr>
            </w:pPr>
            <w:r>
              <w:rPr>
                <w:color w:val="000000"/>
                <w:sz w:val="22"/>
                <w:szCs w:val="22"/>
              </w:rPr>
              <w:t>к/с 30101810200000000823</w:t>
            </w:r>
          </w:p>
          <w:p>
            <w:pPr>
              <w:pStyle w:val="Normal"/>
              <w:widowControl w:val="false"/>
              <w:jc w:val="both"/>
              <w:rPr>
                <w:sz w:val="22"/>
                <w:szCs w:val="22"/>
              </w:rPr>
            </w:pPr>
            <w:r>
              <w:rPr>
                <w:sz w:val="22"/>
                <w:szCs w:val="22"/>
                <w:u w:val="single"/>
              </w:rPr>
              <w:t>Почтовый адрес</w:t>
            </w:r>
            <w:r>
              <w:rPr>
                <w:sz w:val="22"/>
                <w:szCs w:val="22"/>
              </w:rPr>
              <w:t>:</w:t>
            </w:r>
          </w:p>
          <w:p>
            <w:pPr>
              <w:pStyle w:val="Normal"/>
              <w:widowControl w:val="false"/>
              <w:jc w:val="both"/>
              <w:rPr>
                <w:sz w:val="22"/>
                <w:szCs w:val="22"/>
              </w:rPr>
            </w:pPr>
            <w:r>
              <w:rPr>
                <w:sz w:val="22"/>
                <w:szCs w:val="22"/>
              </w:rPr>
              <w:t>679011 г. Биробиджан, ул. Черноморская д.6</w:t>
            </w:r>
          </w:p>
          <w:p>
            <w:pPr>
              <w:pStyle w:val="Normal"/>
              <w:widowControl w:val="false"/>
              <w:jc w:val="both"/>
              <w:rPr>
                <w:sz w:val="22"/>
                <w:szCs w:val="22"/>
              </w:rPr>
            </w:pPr>
            <w:r>
              <w:rPr>
                <w:b/>
                <w:bCs/>
                <w:iCs/>
                <w:sz w:val="22"/>
                <w:szCs w:val="22"/>
              </w:rPr>
              <w:t>Филиал АО «ДРСК» «ЭС ЕАО»</w:t>
            </w:r>
            <w:r>
              <w:rPr>
                <w:b/>
                <w:bCs/>
                <w:i/>
                <w:iCs/>
                <w:sz w:val="22"/>
                <w:szCs w:val="22"/>
              </w:rPr>
              <w:t xml:space="preserve"> </w:t>
            </w:r>
          </w:p>
          <w:p>
            <w:pPr>
              <w:pStyle w:val="Normal"/>
              <w:widowControl w:val="false"/>
              <w:jc w:val="both"/>
              <w:rPr>
                <w:sz w:val="22"/>
                <w:szCs w:val="22"/>
              </w:rPr>
            </w:pPr>
            <w:r>
              <w:rPr>
                <w:sz w:val="22"/>
                <w:szCs w:val="22"/>
              </w:rPr>
              <w:t>КПП 790102001</w:t>
            </w:r>
          </w:p>
          <w:p>
            <w:pPr>
              <w:pStyle w:val="LO-Normal"/>
              <w:widowControl w:val="false"/>
              <w:suppressAutoHyphens w:val="true"/>
              <w:bidi w:val="0"/>
              <w:jc w:val="left"/>
              <w:rPr>
                <w:sz w:val="22"/>
                <w:szCs w:val="22"/>
              </w:rPr>
            </w:pPr>
            <w:r>
              <w:rPr>
                <w:b/>
                <w:bCs/>
                <w:i w:val="false"/>
                <w:sz w:val="22"/>
                <w:szCs w:val="22"/>
                <w:u w:val="single"/>
              </w:rPr>
              <w:t>Контактный телефон: (426-22) 4-09-31</w:t>
            </w:r>
          </w:p>
        </w:tc>
        <w:tc>
          <w:tcPr>
            <w:tcW w:w="4962" w:type="dxa"/>
            <w:gridSpan w:val="2"/>
            <w:tcBorders/>
            <w:shd w:fill="auto" w:val="clear"/>
          </w:tcPr>
          <w:p>
            <w:pPr>
              <w:pStyle w:val="Normal"/>
              <w:widowControl w:val="false"/>
              <w:bidi w:val="0"/>
              <w:spacing w:lineRule="auto" w:line="360"/>
              <w:rPr>
                <w:b/>
                <w:bCs/>
                <w:sz w:val="20"/>
                <w:szCs w:val="20"/>
              </w:rPr>
            </w:pPr>
            <w:r>
              <w:rPr>
                <w:b/>
                <w:bCs/>
                <w:sz w:val="20"/>
                <w:szCs w:val="20"/>
              </w:rPr>
              <w:t>ПОСТАВЩИК:</w:t>
            </w:r>
          </w:p>
          <w:p>
            <w:pPr>
              <w:pStyle w:val="BodyText"/>
              <w:widowControl w:val="false"/>
              <w:spacing w:before="0" w:after="120"/>
              <w:jc w:val="left"/>
              <w:rPr>
                <w:b/>
                <w:bCs/>
                <w:sz w:val="20"/>
                <w:szCs w:val="20"/>
              </w:rPr>
            </w:pPr>
            <w:r>
              <w:rPr>
                <w:b/>
                <w:bCs/>
                <w:sz w:val="20"/>
                <w:szCs w:val="20"/>
              </w:rPr>
            </w:r>
          </w:p>
        </w:tc>
      </w:tr>
      <w:tr>
        <w:trPr/>
        <w:tc>
          <w:tcPr>
            <w:tcW w:w="4765" w:type="dxa"/>
            <w:tcBorders/>
            <w:shd w:fill="auto" w:val="clear"/>
          </w:tcPr>
          <w:p>
            <w:pPr>
              <w:pStyle w:val="BodyText"/>
              <w:widowControl w:val="false"/>
              <w:rPr/>
            </w:pPr>
            <w:r>
              <w:rPr/>
            </w:r>
          </w:p>
          <w:tbl>
            <w:tblPr>
              <w:tblW w:w="963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26"/>
              <w:gridCol w:w="4805"/>
            </w:tblGrid>
            <w:tr>
              <w:trPr>
                <w:trHeight w:val="269" w:hRule="atLeast"/>
              </w:trPr>
              <w:tc>
                <w:tcPr>
                  <w:tcW w:w="4826" w:type="dxa"/>
                  <w:tcBorders/>
                  <w:shd w:fill="auto" w:val="clear"/>
                </w:tcPr>
                <w:p>
                  <w:pPr>
                    <w:pStyle w:val="Normal"/>
                    <w:widowControl w:val="false"/>
                    <w:rPr>
                      <w:b/>
                      <w:sz w:val="24"/>
                    </w:rPr>
                  </w:pPr>
                  <w:r>
                    <w:rPr>
                      <w:b/>
                      <w:sz w:val="24"/>
                    </w:rPr>
                    <w:t>Покупатель:</w:t>
                  </w:r>
                </w:p>
              </w:tc>
              <w:tc>
                <w:tcPr>
                  <w:tcW w:w="4805" w:type="dxa"/>
                  <w:tcBorders/>
                  <w:shd w:fill="auto" w:val="clear"/>
                </w:tcPr>
                <w:p>
                  <w:pPr>
                    <w:pStyle w:val="Normal"/>
                    <w:widowControl w:val="false"/>
                    <w:rPr>
                      <w:b/>
                      <w:sz w:val="24"/>
                    </w:rPr>
                  </w:pPr>
                  <w:r>
                    <w:rPr>
                      <w:b/>
                      <w:sz w:val="24"/>
                    </w:rPr>
                    <w:t>Поставщик:</w:t>
                  </w:r>
                </w:p>
              </w:tc>
            </w:tr>
          </w:tbl>
          <w:p>
            <w:pPr>
              <w:pStyle w:val="Normal"/>
              <w:widowControl w:val="false"/>
              <w:rPr>
                <w:sz w:val="24"/>
                <w:szCs w:val="24"/>
              </w:rPr>
            </w:pPr>
            <w:r>
              <w:rPr>
                <w:sz w:val="24"/>
                <w:szCs w:val="24"/>
              </w:rPr>
            </w:r>
          </w:p>
          <w:p>
            <w:pPr>
              <w:pStyle w:val="Normal"/>
              <w:widowControl w:val="false"/>
              <w:rPr>
                <w:sz w:val="24"/>
                <w:szCs w:val="24"/>
              </w:rPr>
            </w:pPr>
            <w:r>
              <w:rPr>
                <w:sz w:val="24"/>
                <w:szCs w:val="24"/>
              </w:rPr>
              <w:t>Директор</w:t>
            </w:r>
          </w:p>
          <w:p>
            <w:pPr>
              <w:pStyle w:val="Normal"/>
              <w:widowControl w:val="false"/>
              <w:rPr>
                <w:sz w:val="24"/>
                <w:szCs w:val="24"/>
              </w:rPr>
            </w:pPr>
            <w:r>
              <w:rPr>
                <w:sz w:val="24"/>
                <w:szCs w:val="24"/>
              </w:rPr>
            </w:r>
          </w:p>
          <w:p>
            <w:pPr>
              <w:pStyle w:val="Normal"/>
              <w:widowControl w:val="false"/>
              <w:rPr>
                <w:sz w:val="24"/>
                <w:szCs w:val="24"/>
              </w:rPr>
            </w:pPr>
            <w:r>
              <w:rPr>
                <w:bCs/>
                <w:sz w:val="20"/>
                <w:szCs w:val="20"/>
              </w:rPr>
              <w:t xml:space="preserve"> </w:t>
            </w:r>
            <w:r>
              <w:rPr>
                <w:bCs/>
                <w:sz w:val="20"/>
                <w:szCs w:val="20"/>
              </w:rPr>
              <w:t>____________________ /</w:t>
            </w:r>
            <w:r>
              <w:rPr>
                <w:b/>
                <w:bCs/>
                <w:sz w:val="24"/>
                <w:szCs w:val="24"/>
              </w:rPr>
              <w:t>Демьянов А.В.</w:t>
            </w:r>
            <w:r>
              <w:rPr>
                <w:bCs/>
                <w:sz w:val="22"/>
                <w:szCs w:val="22"/>
              </w:rPr>
              <w:tab/>
              <w:t xml:space="preserve">   </w:t>
            </w:r>
            <w:r>
              <w:rPr>
                <w:bCs/>
                <w:sz w:val="20"/>
                <w:szCs w:val="20"/>
              </w:rPr>
              <w:t xml:space="preserve">                                       _</w:t>
            </w:r>
          </w:p>
        </w:tc>
        <w:tc>
          <w:tcPr>
            <w:tcW w:w="4778" w:type="dxa"/>
            <w:gridSpan w:val="2"/>
            <w:tcBorders/>
            <w:shd w:fill="auto" w:val="clear"/>
          </w:tcPr>
          <w:p>
            <w:pPr>
              <w:pStyle w:val="BodyText"/>
              <w:widowControl w:val="false"/>
              <w:rPr/>
            </w:pPr>
            <w:r>
              <w:rPr/>
            </w:r>
          </w:p>
          <w:tbl>
            <w:tblPr>
              <w:tblW w:w="963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26"/>
              <w:gridCol w:w="4805"/>
            </w:tblGrid>
            <w:tr>
              <w:trPr>
                <w:trHeight w:val="269" w:hRule="atLeast"/>
              </w:trPr>
              <w:tc>
                <w:tcPr>
                  <w:tcW w:w="4826" w:type="dxa"/>
                  <w:tcBorders/>
                  <w:shd w:fill="auto" w:val="clear"/>
                </w:tcPr>
                <w:p>
                  <w:pPr>
                    <w:pStyle w:val="Normal"/>
                    <w:widowControl w:val="false"/>
                    <w:rPr>
                      <w:b/>
                      <w:sz w:val="24"/>
                    </w:rPr>
                  </w:pPr>
                  <w:r>
                    <w:rPr>
                      <w:b/>
                      <w:sz w:val="24"/>
                    </w:rPr>
                    <w:t>Поставщик:</w:t>
                  </w:r>
                </w:p>
              </w:tc>
              <w:tc>
                <w:tcPr>
                  <w:tcW w:w="4805" w:type="dxa"/>
                  <w:tcBorders/>
                  <w:shd w:fill="auto" w:val="clear"/>
                </w:tcPr>
                <w:p>
                  <w:pPr>
                    <w:pStyle w:val="Normal"/>
                    <w:widowControl w:val="false"/>
                    <w:rPr>
                      <w:b/>
                      <w:sz w:val="24"/>
                    </w:rPr>
                  </w:pPr>
                  <w:r>
                    <w:rPr>
                      <w:b/>
                      <w:sz w:val="24"/>
                    </w:rPr>
                    <w:t>Поставщик:</w:t>
                  </w:r>
                </w:p>
              </w:tc>
            </w:tr>
          </w:tbl>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 /                                          </w:t>
            </w:r>
          </w:p>
        </w:tc>
        <w:tc>
          <w:tcPr>
            <w:tcW w:w="347" w:type="dxa"/>
            <w:tcBorders/>
            <w:shd w:fill="auto" w:val="clear"/>
          </w:tcPr>
          <w:p>
            <w:pPr>
              <w:pStyle w:val="Normal"/>
              <w:widowControl w:val="false"/>
              <w:rPr/>
            </w:pPr>
            <w:r>
              <w:rPr/>
            </w:r>
          </w:p>
        </w:tc>
      </w:tr>
    </w:tbl>
    <w:p>
      <w:pPr>
        <w:sectPr>
          <w:headerReference w:type="default" r:id="rId5"/>
          <w:footnotePr>
            <w:numFmt w:val="decimal"/>
          </w:footnotePr>
          <w:type w:val="nextPage"/>
          <w:pgSz w:w="11906" w:h="16838"/>
          <w:pgMar w:left="1418" w:right="851" w:gutter="0" w:header="709" w:top="1134" w:footer="0" w:bottom="1134"/>
          <w:pgNumType w:fmt="decimal"/>
          <w:formProt w:val="false"/>
          <w:titlePg/>
          <w:textDirection w:val="lrTb"/>
          <w:docGrid w:type="default" w:linePitch="360" w:charSpace="1638"/>
        </w:sectPr>
      </w:pPr>
    </w:p>
    <w:p>
      <w:pPr>
        <w:pStyle w:val="Normal"/>
        <w:suppressAutoHyphens w:val="true"/>
        <w:ind w:left="5103" w:right="96" w:hanging="0"/>
        <w:jc w:val="right"/>
        <w:rPr/>
      </w:pPr>
      <w:r>
        <w:rPr>
          <w:sz w:val="22"/>
          <w:szCs w:val="22"/>
        </w:rPr>
        <w:t>Приложение № 1</w:t>
      </w:r>
    </w:p>
    <w:p>
      <w:pPr>
        <w:pStyle w:val="Normal"/>
        <w:suppressAutoHyphens w:val="true"/>
        <w:ind w:left="5103" w:right="96" w:hanging="0"/>
        <w:jc w:val="right"/>
        <w:rPr/>
      </w:pPr>
      <w:r>
        <w:rPr>
          <w:sz w:val="22"/>
          <w:szCs w:val="22"/>
        </w:rPr>
        <w:t>к Договору поставки</w:t>
      </w:r>
    </w:p>
    <w:p>
      <w:pPr>
        <w:pStyle w:val="Normal"/>
        <w:suppressAutoHyphens w:val="true"/>
        <w:ind w:left="5103" w:right="96" w:hanging="0"/>
        <w:jc w:val="right"/>
        <w:rPr/>
      </w:pPr>
      <w:r>
        <w:rPr>
          <w:sz w:val="22"/>
          <w:szCs w:val="22"/>
        </w:rPr>
        <w:t>от «____» __________ 2026 г. № ________</w:t>
      </w:r>
    </w:p>
    <w:p>
      <w:pPr>
        <w:pStyle w:val="Normal"/>
        <w:jc w:val="center"/>
        <w:rPr>
          <w:highlight w:val="none"/>
          <w:shd w:fill="FFFFFF" w:val="clear"/>
        </w:rPr>
      </w:pPr>
      <w:r>
        <w:rPr>
          <w:b/>
          <w:sz w:val="24"/>
          <w:szCs w:val="24"/>
          <w:shd w:fill="FFFFFF" w:val="clear"/>
        </w:rPr>
        <w:t xml:space="preserve">СПЕЦИФИКАЦИЯ </w:t>
      </w:r>
    </w:p>
    <w:p>
      <w:pPr>
        <w:pStyle w:val="Normal"/>
        <w:jc w:val="center"/>
        <w:rPr>
          <w:b/>
          <w:sz w:val="24"/>
          <w:szCs w:val="24"/>
        </w:rPr>
      </w:pPr>
      <w:r>
        <w:rPr>
          <w:b/>
          <w:sz w:val="24"/>
          <w:szCs w:val="24"/>
        </w:rPr>
      </w:r>
    </w:p>
    <w:p>
      <w:pPr>
        <w:pStyle w:val="Normal"/>
        <w:ind w:right="-566" w:hanging="0"/>
        <w:jc w:val="center"/>
        <w:rPr>
          <w:b/>
          <w:color w:val="000000"/>
          <w:sz w:val="22"/>
          <w:szCs w:val="22"/>
        </w:rPr>
      </w:pPr>
      <w:r>
        <w:rPr>
          <w:b/>
          <w:color w:val="000000"/>
          <w:sz w:val="22"/>
          <w:szCs w:val="22"/>
        </w:rPr>
      </w:r>
    </w:p>
    <w:tbl>
      <w:tblPr>
        <w:tblW w:w="10640" w:type="dxa"/>
        <w:jc w:val="left"/>
        <w:tblInd w:w="-572" w:type="dxa"/>
        <w:tblLayout w:type="fixed"/>
        <w:tblCellMar>
          <w:top w:w="0" w:type="dxa"/>
          <w:left w:w="108" w:type="dxa"/>
          <w:bottom w:w="0" w:type="dxa"/>
          <w:right w:w="108" w:type="dxa"/>
        </w:tblCellMar>
        <w:tblLook w:val="01e0" w:noVBand="0" w:noHBand="0" w:lastColumn="1" w:firstColumn="1" w:lastRow="1" w:firstRow="1"/>
      </w:tblPr>
      <w:tblGrid>
        <w:gridCol w:w="560"/>
        <w:gridCol w:w="3687"/>
        <w:gridCol w:w="2276"/>
        <w:gridCol w:w="700"/>
        <w:gridCol w:w="567"/>
        <w:gridCol w:w="1289"/>
        <w:gridCol w:w="5"/>
        <w:gridCol w:w="1554"/>
      </w:tblGrid>
      <w:tr>
        <w:trPr/>
        <w:tc>
          <w:tcPr>
            <w:tcW w:w="56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57" w:hanging="0"/>
              <w:rPr/>
            </w:pPr>
            <w:r>
              <w:rPr/>
              <w:t xml:space="preserve">№ </w:t>
            </w:r>
            <w:r>
              <w:rPr/>
              <w:t>п/п</w:t>
            </w:r>
          </w:p>
        </w:tc>
        <w:tc>
          <w:tcPr>
            <w:tcW w:w="3687"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57" w:hanging="0"/>
              <w:rPr/>
            </w:pPr>
            <w:r>
              <w:rPr/>
              <w:t>Наименование продукции</w:t>
            </w:r>
          </w:p>
        </w:tc>
        <w:tc>
          <w:tcPr>
            <w:tcW w:w="227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57" w:hanging="0"/>
              <w:rPr/>
            </w:pPr>
            <w:r>
              <w:rPr/>
              <w:t>Производитель, страна происхождения</w:t>
            </w:r>
          </w:p>
        </w:tc>
        <w:tc>
          <w:tcPr>
            <w:tcW w:w="70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57" w:hanging="0"/>
              <w:rPr/>
            </w:pPr>
            <w:r>
              <w:rPr/>
              <w:t>Ед. изм.</w:t>
            </w:r>
          </w:p>
        </w:tc>
        <w:tc>
          <w:tcPr>
            <w:tcW w:w="567"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57" w:hanging="0"/>
              <w:rPr/>
            </w:pPr>
            <w:r>
              <w:rPr/>
              <w:t>Кол-во</w:t>
            </w:r>
          </w:p>
        </w:tc>
        <w:tc>
          <w:tcPr>
            <w:tcW w:w="128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31" w:hanging="0"/>
              <w:rPr/>
            </w:pPr>
            <w:r>
              <w:rPr/>
              <w:t>Цена единицы, руб. (с НДС)</w:t>
            </w:r>
          </w:p>
        </w:tc>
        <w:tc>
          <w:tcPr>
            <w:tcW w:w="1559" w:type="dxa"/>
            <w:gridSpan w:val="2"/>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57" w:hanging="0"/>
              <w:rPr/>
            </w:pPr>
            <w:r>
              <w:rPr/>
              <w:t>Общая цена, руб. (с НДС и транспортными расходами)</w:t>
            </w:r>
          </w:p>
        </w:tc>
        <w:tc>
          <w:tcPr>
            <w:tcW w:w="0" w:type="dxa"/>
            <w:tcBorders/>
          </w:tcPr>
          <w:p>
            <w:pPr>
              <w:pStyle w:val="Normal"/>
              <w:widowControl w:val="false"/>
              <w:rPr/>
            </w:pPr>
            <w:r>
              <w:rPr/>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rPr/>
            </w:pPr>
            <w:r>
              <w:rPr/>
            </w:r>
          </w:p>
        </w:tc>
        <w:tc>
          <w:tcPr>
            <w:tcW w:w="368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2276" w:type="dxa"/>
            <w:tcBorders>
              <w:top w:val="single" w:sz="8" w:space="0" w:color="000000"/>
              <w:bottom w:val="single" w:sz="4" w:space="0" w:color="000000"/>
              <w:right w:val="single" w:sz="8" w:space="0" w:color="000000"/>
            </w:tcBorders>
            <w:shd w:color="000000" w:fill="FFFFFF" w:val="clear"/>
          </w:tcPr>
          <w:p>
            <w:pPr>
              <w:pStyle w:val="Normal"/>
              <w:widowControl w:val="false"/>
              <w:rPr/>
            </w:pPr>
            <w:r>
              <w:rPr/>
            </w:r>
          </w:p>
        </w:tc>
        <w:tc>
          <w:tcPr>
            <w:tcW w:w="7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шт</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155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0" w:type="dxa"/>
            <w:tcBorders/>
          </w:tcPr>
          <w:p>
            <w:pPr>
              <w:pStyle w:val="Normal"/>
              <w:widowControl w:val="false"/>
              <w:rPr/>
            </w:pPr>
            <w:r>
              <w:rPr/>
            </w:r>
          </w:p>
        </w:tc>
      </w:tr>
      <w:tr>
        <w:trPr/>
        <w:tc>
          <w:tcPr>
            <w:tcW w:w="722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b/>
              </w:rPr>
              <w:t>ИТОГО</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b/>
              </w:rPr>
            </w:pPr>
            <w:r>
              <w:rPr>
                <w:b/>
              </w:rPr>
            </w:r>
          </w:p>
        </w:tc>
        <w:tc>
          <w:tcPr>
            <w:tcW w:w="155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b/>
              </w:rPr>
            </w:pPr>
            <w:r>
              <w:rPr>
                <w:b/>
              </w:rPr>
            </w:r>
          </w:p>
        </w:tc>
        <w:tc>
          <w:tcPr>
            <w:tcW w:w="0" w:type="dxa"/>
            <w:tcBorders/>
          </w:tcPr>
          <w:p>
            <w:pPr>
              <w:pStyle w:val="Normal"/>
              <w:widowControl w:val="false"/>
              <w:rPr/>
            </w:pPr>
            <w:r>
              <w:rPr/>
            </w:r>
          </w:p>
        </w:tc>
      </w:tr>
      <w:tr>
        <w:trPr/>
        <w:tc>
          <w:tcPr>
            <w:tcW w:w="9084"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right="57" w:hanging="0"/>
              <w:jc w:val="right"/>
              <w:rPr>
                <w:b/>
              </w:rPr>
            </w:pPr>
            <w:r>
              <w:rPr>
                <w:b/>
              </w:rPr>
              <w:t xml:space="preserve">В том числе НДС 22%  </w:t>
            </w:r>
          </w:p>
        </w:tc>
        <w:tc>
          <w:tcPr>
            <w:tcW w:w="155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right="57" w:hanging="0"/>
              <w:jc w:val="right"/>
              <w:rPr>
                <w:b/>
              </w:rPr>
            </w:pPr>
            <w:r>
              <w:rPr>
                <w:b/>
              </w:rPr>
            </w:r>
          </w:p>
        </w:tc>
      </w:tr>
    </w:tbl>
    <w:p>
      <w:pPr>
        <w:pStyle w:val="Normal"/>
        <w:jc w:val="both"/>
        <w:rPr>
          <w:sz w:val="22"/>
          <w:szCs w:val="22"/>
        </w:rPr>
      </w:pPr>
      <w:r>
        <w:rPr>
          <w:sz w:val="22"/>
          <w:szCs w:val="22"/>
        </w:rPr>
      </w:r>
    </w:p>
    <w:p>
      <w:pPr>
        <w:pStyle w:val="Normal"/>
        <w:jc w:val="both"/>
        <w:rPr>
          <w:b/>
          <w:bCs/>
          <w:color w:val="000000"/>
          <w:sz w:val="22"/>
          <w:szCs w:val="22"/>
        </w:rPr>
      </w:pPr>
      <w:r>
        <w:rPr>
          <w:sz w:val="22"/>
        </w:rPr>
        <w:t>Итого __________________</w:t>
      </w:r>
      <w:r>
        <w:rPr>
          <w:b/>
          <w:bCs/>
          <w:sz w:val="22"/>
        </w:rPr>
        <w:t xml:space="preserve"> (__________________________________) рублей ______________ коп, в том числе НДС __________________ руб. </w:t>
      </w:r>
      <w:r>
        <w:rPr>
          <w:sz w:val="22"/>
        </w:rPr>
        <w:t>Расходы по доставке товара до склада Покупателя в г. Биробиджане (ул. Черноморская,6) включены в стоимость поставки</w:t>
      </w:r>
    </w:p>
    <w:p>
      <w:pPr>
        <w:pStyle w:val="Normal"/>
        <w:jc w:val="both"/>
        <w:rPr>
          <w:b/>
          <w:bCs/>
          <w:color w:val="000000"/>
          <w:sz w:val="22"/>
          <w:szCs w:val="22"/>
        </w:rPr>
      </w:pPr>
      <w:r>
        <w:rPr>
          <w:b/>
          <w:bCs/>
          <w:color w:val="000000"/>
          <w:sz w:val="22"/>
          <w:szCs w:val="22"/>
        </w:rPr>
      </w:r>
    </w:p>
    <w:p>
      <w:pPr>
        <w:pStyle w:val="Normal"/>
        <w:jc w:val="both"/>
        <w:rPr>
          <w:bCs/>
          <w:color w:val="000000"/>
          <w:sz w:val="22"/>
          <w:szCs w:val="22"/>
        </w:rPr>
      </w:pPr>
      <w:r>
        <w:rPr>
          <w:b/>
          <w:bCs/>
          <w:color w:val="000000"/>
          <w:sz w:val="22"/>
          <w:szCs w:val="22"/>
        </w:rPr>
        <w:t>Грузополучатель</w:t>
      </w:r>
      <w:r>
        <w:rPr>
          <w:color w:val="000000"/>
          <w:sz w:val="22"/>
          <w:szCs w:val="22"/>
        </w:rPr>
        <w:t>:</w:t>
      </w:r>
      <w:r>
        <w:rPr>
          <w:bCs/>
          <w:color w:val="000000"/>
          <w:sz w:val="22"/>
          <w:szCs w:val="22"/>
        </w:rPr>
        <w:tab/>
        <w:t>Филиал АО «ДРСК» «ЭС ЕАО»</w:t>
      </w:r>
    </w:p>
    <w:p>
      <w:pPr>
        <w:pStyle w:val="Normal"/>
        <w:jc w:val="both"/>
        <w:rPr>
          <w:bCs/>
          <w:color w:val="000000"/>
          <w:sz w:val="22"/>
          <w:szCs w:val="22"/>
        </w:rPr>
      </w:pPr>
      <w:r>
        <w:rPr>
          <w:bCs/>
          <w:color w:val="000000"/>
          <w:sz w:val="22"/>
          <w:szCs w:val="22"/>
        </w:rPr>
        <w:t>679011, г. Биробиджан, ул. Черноморская, 6</w:t>
        <w:tab/>
      </w:r>
    </w:p>
    <w:p>
      <w:pPr>
        <w:pStyle w:val="Normal"/>
        <w:jc w:val="both"/>
        <w:rPr>
          <w:bCs/>
          <w:color w:val="000000"/>
          <w:sz w:val="22"/>
          <w:szCs w:val="22"/>
        </w:rPr>
      </w:pPr>
      <w:r>
        <w:rPr>
          <w:bCs/>
          <w:color w:val="000000"/>
          <w:sz w:val="22"/>
          <w:szCs w:val="22"/>
        </w:rPr>
        <w:t>Контактное лицо: Гелашвили Игорь Сергеевич - (42622) 4-09-31</w:t>
      </w:r>
    </w:p>
    <w:p>
      <w:pPr>
        <w:pStyle w:val="Normal"/>
        <w:jc w:val="both"/>
        <w:rPr>
          <w:bCs/>
          <w:color w:val="000000"/>
          <w:sz w:val="22"/>
          <w:szCs w:val="22"/>
        </w:rPr>
      </w:pPr>
      <w:r>
        <w:rPr>
          <w:bCs/>
          <w:color w:val="000000"/>
          <w:sz w:val="22"/>
          <w:szCs w:val="22"/>
        </w:rPr>
      </w:r>
    </w:p>
    <w:p>
      <w:pPr>
        <w:pStyle w:val="Normal"/>
        <w:jc w:val="both"/>
        <w:rPr>
          <w:color w:val="000000"/>
          <w:sz w:val="22"/>
          <w:szCs w:val="22"/>
        </w:rPr>
      </w:pPr>
      <w:r>
        <w:rPr>
          <w:b/>
          <w:color w:val="000000"/>
          <w:sz w:val="22"/>
          <w:szCs w:val="22"/>
        </w:rPr>
        <w:t xml:space="preserve">Отгрузочные реквизиты: </w:t>
      </w:r>
      <w:r>
        <w:rPr>
          <w:color w:val="000000"/>
          <w:sz w:val="22"/>
          <w:szCs w:val="22"/>
        </w:rPr>
        <w:t>станция получения – Биробиджан-1 ДВЖД,</w:t>
      </w:r>
    </w:p>
    <w:p>
      <w:pPr>
        <w:pStyle w:val="Normal"/>
        <w:jc w:val="both"/>
        <w:rPr>
          <w:sz w:val="22"/>
          <w:szCs w:val="22"/>
        </w:rPr>
      </w:pPr>
      <w:r>
        <w:rPr>
          <w:color w:val="000000"/>
          <w:sz w:val="22"/>
          <w:szCs w:val="22"/>
        </w:rPr>
        <w:t>Код станции – 962804, код предприятия – 9532, КПП - 790102001</w:t>
      </w:r>
    </w:p>
    <w:p>
      <w:pPr>
        <w:pStyle w:val="Normal"/>
        <w:jc w:val="both"/>
        <w:rPr>
          <w:sz w:val="22"/>
          <w:szCs w:val="22"/>
        </w:rPr>
      </w:pPr>
      <w:r>
        <w:rPr>
          <w:sz w:val="22"/>
          <w:szCs w:val="22"/>
        </w:rPr>
      </w:r>
    </w:p>
    <w:p>
      <w:pPr>
        <w:pStyle w:val="Normal"/>
        <w:ind w:right="-566" w:hanging="0"/>
        <w:rPr>
          <w:color w:val="000000"/>
          <w:sz w:val="22"/>
          <w:szCs w:val="22"/>
        </w:rPr>
      </w:pPr>
      <w:r>
        <w:rPr>
          <w:b/>
          <w:bCs/>
          <w:color w:val="000000"/>
          <w:sz w:val="22"/>
          <w:szCs w:val="22"/>
        </w:rPr>
        <w:t>Реквизиты для заполнения счета - фактуры:</w:t>
      </w:r>
    </w:p>
    <w:p>
      <w:pPr>
        <w:pStyle w:val="Normal"/>
        <w:jc w:val="both"/>
        <w:rPr>
          <w:sz w:val="22"/>
          <w:szCs w:val="22"/>
        </w:rPr>
      </w:pPr>
      <w:r>
        <w:rPr>
          <w:sz w:val="22"/>
          <w:szCs w:val="22"/>
          <w:u w:val="single"/>
        </w:rPr>
        <w:t>Грузополучатель</w:t>
      </w:r>
      <w:r>
        <w:rPr>
          <w:sz w:val="22"/>
          <w:szCs w:val="22"/>
        </w:rPr>
        <w:t>: филиал АО «ДРСК» «ЭС ЕАО»,</w:t>
      </w:r>
    </w:p>
    <w:p>
      <w:pPr>
        <w:pStyle w:val="Normal"/>
        <w:jc w:val="both"/>
        <w:rPr>
          <w:sz w:val="22"/>
          <w:szCs w:val="22"/>
        </w:rPr>
      </w:pPr>
      <w:r>
        <w:rPr>
          <w:sz w:val="22"/>
          <w:szCs w:val="22"/>
        </w:rPr>
        <w:t>Адрес: 679011, Российская Федерация, Еврейская АО, г. Биробиджан, ул. Черноморская,6</w:t>
      </w:r>
    </w:p>
    <w:p>
      <w:pPr>
        <w:pStyle w:val="Normal"/>
        <w:jc w:val="both"/>
        <w:rPr>
          <w:sz w:val="22"/>
          <w:szCs w:val="22"/>
        </w:rPr>
      </w:pPr>
      <w:r>
        <w:rPr>
          <w:sz w:val="22"/>
          <w:szCs w:val="22"/>
          <w:u w:val="single"/>
        </w:rPr>
        <w:t>Покупатель</w:t>
      </w:r>
      <w:r>
        <w:rPr>
          <w:sz w:val="22"/>
          <w:szCs w:val="22"/>
        </w:rPr>
        <w:t>: АО «Дальневосточная распределительная сетевая компания»</w:t>
      </w:r>
    </w:p>
    <w:p>
      <w:pPr>
        <w:pStyle w:val="Normal"/>
        <w:jc w:val="both"/>
        <w:rPr>
          <w:sz w:val="22"/>
          <w:szCs w:val="22"/>
        </w:rPr>
      </w:pPr>
      <w:r>
        <w:rPr>
          <w:sz w:val="22"/>
          <w:szCs w:val="22"/>
        </w:rPr>
        <w:t>Адрес: 675004, Российская Федерация, Амурская обл., г. Благовещенск, ул. Шевченко,32</w:t>
      </w:r>
    </w:p>
    <w:p>
      <w:pPr>
        <w:pStyle w:val="Normal"/>
        <w:jc w:val="both"/>
        <w:rPr>
          <w:b/>
          <w:bCs/>
          <w:i w:val="false"/>
          <w:i w:val="false"/>
          <w:iCs w:val="false"/>
          <w:highlight w:val="none"/>
          <w:shd w:fill="FFFFFF" w:val="clear"/>
        </w:rPr>
      </w:pPr>
      <w:r>
        <w:rPr>
          <w:b/>
          <w:bCs/>
          <w:i w:val="false"/>
          <w:iCs w:val="false"/>
          <w:sz w:val="22"/>
          <w:szCs w:val="22"/>
          <w:shd w:fill="FFFFFF" w:val="clear"/>
        </w:rPr>
        <w:t>ИНН/КПП покупателя: 2801108200 / 790102001</w:t>
      </w:r>
    </w:p>
    <w:p>
      <w:pPr>
        <w:pStyle w:val="BodyText"/>
        <w:rPr/>
      </w:pPr>
      <w:r>
        <w:rPr/>
      </w:r>
    </w:p>
    <w:p>
      <w:pPr>
        <w:pStyle w:val="BodyText"/>
        <w:rPr/>
      </w:pPr>
      <w:r>
        <w:rPr/>
      </w:r>
    </w:p>
    <w:p>
      <w:pPr>
        <w:pStyle w:val="Normal"/>
        <w:ind w:firstLine="709"/>
        <w:jc w:val="both"/>
        <w:rPr>
          <w:i/>
          <w:i/>
          <w:sz w:val="24"/>
          <w:szCs w:val="24"/>
        </w:rPr>
      </w:pPr>
      <w:r>
        <w:rPr>
          <w:i/>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tbl>
      <w:tblPr>
        <w:tblW w:w="963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26"/>
        <w:gridCol w:w="4805"/>
      </w:tblGrid>
      <w:tr>
        <w:trPr>
          <w:trHeight w:val="269" w:hRule="atLeast"/>
        </w:trPr>
        <w:tc>
          <w:tcPr>
            <w:tcW w:w="4826" w:type="dxa"/>
            <w:tcBorders/>
            <w:shd w:fill="auto" w:val="clear"/>
          </w:tcPr>
          <w:p>
            <w:pPr>
              <w:pStyle w:val="Normal"/>
              <w:widowControl w:val="false"/>
              <w:rPr>
                <w:b/>
                <w:sz w:val="24"/>
              </w:rPr>
            </w:pPr>
            <w:r>
              <w:rPr>
                <w:b/>
                <w:sz w:val="24"/>
              </w:rPr>
              <w:t>Покупатель:</w:t>
            </w:r>
          </w:p>
        </w:tc>
        <w:tc>
          <w:tcPr>
            <w:tcW w:w="4805" w:type="dxa"/>
            <w:tcBorders/>
            <w:shd w:fill="auto" w:val="clear"/>
          </w:tcPr>
          <w:p>
            <w:pPr>
              <w:pStyle w:val="Normal"/>
              <w:widowControl w:val="false"/>
              <w:rPr>
                <w:b/>
                <w:sz w:val="24"/>
              </w:rPr>
            </w:pPr>
            <w:r>
              <w:rPr>
                <w:b/>
                <w:sz w:val="24"/>
              </w:rPr>
              <w:t>Поставщик:</w:t>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i/>
          <w:sz w:val="24"/>
          <w:szCs w:val="24"/>
          <w:highlight w:val="lightGray"/>
        </w:rPr>
        <w:t xml:space="preserve"> </w:t>
      </w:r>
      <w:r>
        <w:rPr>
          <w:i/>
          <w:sz w:val="24"/>
          <w:szCs w:val="24"/>
          <w:highlight w:val="lightGray"/>
        </w:rPr>
        <w:t>_</w:t>
      </w:r>
      <w:r>
        <w:rPr>
          <w:i/>
          <w:sz w:val="24"/>
          <w:szCs w:val="24"/>
          <w:shd w:fill="FFFFFE" w:val="clear"/>
        </w:rPr>
        <w:t>________________ /</w:t>
      </w:r>
      <w:r>
        <w:rPr>
          <w:b/>
          <w:bCs/>
          <w:i w:val="false"/>
          <w:iCs w:val="false"/>
          <w:sz w:val="24"/>
          <w:szCs w:val="24"/>
          <w:shd w:fill="FFFFFE" w:val="clear"/>
        </w:rPr>
        <w:t>Демьянов А.В.</w:t>
      </w:r>
      <w:r>
        <w:rPr>
          <w:i/>
          <w:sz w:val="24"/>
          <w:szCs w:val="24"/>
          <w:shd w:fill="FFFFFE" w:val="clear"/>
        </w:rPr>
        <w:tab/>
        <w:t xml:space="preserve">                           ________________ /</w:t>
      </w:r>
      <w:r>
        <w:br w:type="page"/>
      </w:r>
    </w:p>
    <w:p>
      <w:pPr>
        <w:pStyle w:val="Normal"/>
        <w:rPr/>
      </w:pPr>
      <w:r>
        <w:rPr/>
      </w:r>
    </w:p>
    <w:p>
      <w:pPr>
        <w:pStyle w:val="Normal"/>
        <w:ind w:firstLine="709"/>
        <w:jc w:val="both"/>
        <w:rPr>
          <w:i/>
          <w:i/>
          <w:sz w:val="24"/>
          <w:szCs w:val="24"/>
        </w:rPr>
      </w:pPr>
      <w:r>
        <w:rPr>
          <w:i/>
          <w:sz w:val="24"/>
          <w:szCs w:val="24"/>
        </w:rPr>
        <w:t xml:space="preserve"> </w:t>
      </w:r>
    </w:p>
    <w:p>
      <w:pPr>
        <w:pStyle w:val="Normal"/>
        <w:numPr>
          <w:ilvl w:val="0"/>
          <w:numId w:val="0"/>
        </w:numPr>
        <w:ind w:left="0" w:firstLine="709"/>
        <w:jc w:val="center"/>
        <w:outlineLvl w:val="0"/>
        <w:rPr>
          <w:bCs/>
          <w:sz w:val="24"/>
          <w:szCs w:val="24"/>
        </w:rPr>
      </w:pPr>
      <w:r>
        <w:rPr>
          <w:bCs/>
          <w:sz w:val="24"/>
          <w:szCs w:val="24"/>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suppressAutoHyphens w:val="true"/>
        <w:ind w:firstLine="4820"/>
        <w:rPr>
          <w:sz w:val="22"/>
          <w:szCs w:val="22"/>
        </w:rPr>
      </w:pPr>
      <w:r>
        <w:rPr>
          <w:sz w:val="22"/>
          <w:szCs w:val="22"/>
        </w:rPr>
        <w:t>Приложение № 2</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__________ 20 _ г. № ____</w:t>
      </w:r>
    </w:p>
    <w:p>
      <w:pPr>
        <w:pStyle w:val="Normal"/>
        <w:suppressAutoHyphens w:val="true"/>
        <w:ind w:firstLine="5812"/>
        <w:jc w:val="center"/>
        <w:rPr>
          <w:b/>
          <w:sz w:val="24"/>
          <w:szCs w:val="24"/>
        </w:rPr>
      </w:pPr>
      <w:r>
        <w:rPr>
          <w:b/>
          <w:sz w:val="24"/>
          <w:szCs w:val="24"/>
        </w:rPr>
      </w:r>
    </w:p>
    <w:p>
      <w:pPr>
        <w:pStyle w:val="Normal"/>
        <w:suppressAutoHyphens w:val="true"/>
        <w:ind w:firstLine="5812"/>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 xml:space="preserve">по договору поставки №______________ от «____» _____201_ г. </w:t>
      </w:r>
    </w:p>
    <w:p>
      <w:pPr>
        <w:pStyle w:val="Normal"/>
        <w:suppressAutoHyphens w:val="true"/>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3" w:type="dxa"/>
          <w:bottom w:w="0" w:type="dxa"/>
          <w:right w:w="108" w:type="dxa"/>
        </w:tblCellMar>
        <w:tblLook w:val="04a0" w:noVBand="1" w:noHBand="0" w:lastColumn="0" w:firstColumn="1" w:lastRow="0" w:firstRow="1"/>
      </w:tblPr>
      <w:tblGrid>
        <w:gridCol w:w="528"/>
        <w:gridCol w:w="982"/>
        <w:gridCol w:w="1116"/>
        <w:gridCol w:w="706"/>
        <w:gridCol w:w="1066"/>
        <w:gridCol w:w="1174"/>
        <w:gridCol w:w="982"/>
        <w:gridCol w:w="1408"/>
        <w:gridCol w:w="834"/>
        <w:gridCol w:w="840"/>
      </w:tblGrid>
      <w:tr>
        <w:trPr>
          <w:trHeight w:val="543" w:hRule="atLeast"/>
        </w:trPr>
        <w:tc>
          <w:tcPr>
            <w:tcW w:w="52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color w:val="000000"/>
                <w:sz w:val="22"/>
                <w:szCs w:val="22"/>
              </w:rPr>
            </w:pPr>
            <w:r>
              <w:rPr>
                <w:bCs/>
                <w:color w:val="000000"/>
                <w:sz w:val="22"/>
                <w:szCs w:val="22"/>
              </w:rPr>
              <w:t>Артикул, тип, марка</w:t>
            </w:r>
          </w:p>
        </w:tc>
        <w:tc>
          <w:tcPr>
            <w:tcW w:w="70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r>
    </w:p>
    <w:p>
      <w:pPr>
        <w:pStyle w:val="Normal"/>
        <w:widowControl/>
        <w:ind w:firstLine="709"/>
        <w:rPr>
          <w:sz w:val="24"/>
          <w:szCs w:val="24"/>
        </w:rPr>
      </w:pPr>
      <w:r>
        <w:rPr>
          <w:sz w:val="24"/>
          <w:szCs w:val="24"/>
        </w:rPr>
      </w:r>
      <w:r>
        <w:br w:type="page"/>
      </w:r>
    </w:p>
    <w:p>
      <w:pPr>
        <w:pStyle w:val="Normal"/>
        <w:suppressAutoHyphens w:val="true"/>
        <w:ind w:firstLine="4820"/>
        <w:rPr>
          <w:sz w:val="22"/>
          <w:szCs w:val="22"/>
        </w:rPr>
      </w:pPr>
      <w:r>
        <w:rPr>
          <w:sz w:val="22"/>
          <w:szCs w:val="22"/>
        </w:rPr>
        <w:t>Приложение № 3</w:t>
      </w:r>
    </w:p>
    <w:p>
      <w:pPr>
        <w:pStyle w:val="Normal"/>
        <w:suppressAutoHyphens w:val="true"/>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8"/>
          <w:tab w:val="left" w:pos="1418" w:leader="none"/>
        </w:tabs>
        <w:spacing w:before="0" w:after="0"/>
        <w:ind w:firstLine="709"/>
        <w:contextualSpacing/>
        <w:jc w:val="center"/>
        <w:rPr>
          <w:bCs/>
          <w:sz w:val="24"/>
          <w:szCs w:val="24"/>
        </w:rPr>
      </w:pPr>
      <w:r>
        <w:rPr>
          <w:bCs/>
          <w:sz w:val="24"/>
          <w:szCs w:val="24"/>
        </w:rPr>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3" w:type="dxa"/>
          <w:bottom w:w="0" w:type="dxa"/>
          <w:right w:w="108" w:type="dxa"/>
        </w:tblCellMar>
        <w:tblLook w:val="01e0" w:noVBand="0" w:noHBand="0" w:lastColumn="1" w:firstColumn="1" w:lastRow="1" w:firstRow="1"/>
      </w:tblPr>
      <w:tblGrid>
        <w:gridCol w:w="3827"/>
        <w:gridCol w:w="5809"/>
      </w:tblGrid>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b/>
                <w:sz w:val="24"/>
                <w:szCs w:val="24"/>
              </w:rPr>
            </w:pPr>
            <w:r>
              <w:rPr>
                <w:b/>
                <w:sz w:val="24"/>
                <w:szCs w:val="24"/>
              </w:rPr>
              <w:t>Виды нарушений</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sectPr>
          <w:headerReference w:type="default" r:id="rId6"/>
          <w:headerReference w:type="first" r:id="rId7"/>
          <w:footnotePr>
            <w:numFmt w:val="decimal"/>
          </w:footnotePr>
          <w:type w:val="nextPage"/>
          <w:pgSz w:w="11906" w:h="16838"/>
          <w:pgMar w:left="1418" w:right="851" w:gutter="0" w:header="709" w:top="1134" w:footer="0" w:bottom="1134"/>
          <w:pgNumType w:fmt="decimal"/>
          <w:formProt w:val="false"/>
          <w:textDirection w:val="lrTb"/>
          <w:docGrid w:type="default" w:linePitch="299" w:charSpace="1638"/>
        </w:sectPr>
      </w:pPr>
    </w:p>
    <w:p>
      <w:pPr>
        <w:pStyle w:val="Normal"/>
        <w:tabs>
          <w:tab w:val="clear" w:pos="708"/>
          <w:tab w:val="left" w:pos="1725" w:leader="none"/>
        </w:tabs>
        <w:jc w:val="both"/>
        <w:rPr>
          <w:b/>
          <w:sz w:val="22"/>
          <w:szCs w:val="22"/>
        </w:rPr>
      </w:pPr>
      <w:r>
        <w:rPr>
          <w:b/>
          <w:sz w:val="22"/>
          <w:szCs w:val="22"/>
        </w:rPr>
      </w:r>
    </w:p>
    <w:tbl>
      <w:tblPr>
        <w:tblpPr w:bottomFromText="0" w:horzAnchor="margin" w:leftFromText="180" w:rightFromText="180" w:tblpX="0" w:tblpXSpec="center" w:tblpY="223" w:topFromText="0" w:vertAnchor="text"/>
        <w:tblW w:w="16226"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2750"/>
        <w:gridCol w:w="2362"/>
        <w:gridCol w:w="1318"/>
        <w:gridCol w:w="1660"/>
        <w:gridCol w:w="2023"/>
        <w:gridCol w:w="2476"/>
        <w:gridCol w:w="1519"/>
        <w:gridCol w:w="2116"/>
      </w:tblGrid>
      <w:tr>
        <w:trPr>
          <w:trHeight w:val="288" w:hRule="atLeas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635" w:type="dxa"/>
            <w:gridSpan w:val="2"/>
            <w:tcBorders/>
            <w:shd w:color="auto" w:fill="auto" w:val="clear"/>
            <w:vAlign w:val="center"/>
          </w:tcPr>
          <w:p>
            <w:pPr>
              <w:pStyle w:val="Normal"/>
              <w:widowControl w:val="false"/>
              <w:jc w:val="right"/>
              <w:rPr>
                <w:rFonts w:ascii="Calibri" w:hAnsi="Calibri"/>
                <w:color w:val="000000"/>
              </w:rPr>
            </w:pPr>
            <w:r>
              <w:rPr>
                <w:rFonts w:ascii="Calibri" w:hAnsi="Calibri"/>
                <w:color w:val="000000"/>
              </w:rPr>
              <w:t>Приложение №4</w:t>
            </w:r>
          </w:p>
        </w:tc>
      </w:tr>
      <w:tr>
        <w:trPr>
          <w:trHeight w:val="288" w:hRule="atLeas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635" w:type="dxa"/>
            <w:gridSpan w:val="2"/>
            <w:tcBorders/>
            <w:shd w:color="auto" w:fill="auto" w:val="clear"/>
            <w:vAlign w:val="center"/>
          </w:tcPr>
          <w:p>
            <w:pPr>
              <w:pStyle w:val="Normal"/>
              <w:widowControl w:val="false"/>
              <w:jc w:val="right"/>
              <w:rPr>
                <w:rFonts w:ascii="Calibri" w:hAnsi="Calibri"/>
                <w:color w:val="000000"/>
              </w:rPr>
            </w:pPr>
            <w:r>
              <w:rPr>
                <w:rFonts w:ascii="Calibri" w:hAnsi="Calibri"/>
                <w:color w:val="000000"/>
              </w:rPr>
              <w:t xml:space="preserve">к договору _______ </w:t>
            </w:r>
          </w:p>
          <w:p>
            <w:pPr>
              <w:pStyle w:val="Normal"/>
              <w:widowControl w:val="false"/>
              <w:jc w:val="right"/>
              <w:rPr>
                <w:rFonts w:ascii="Calibri" w:hAnsi="Calibri"/>
                <w:color w:val="000000"/>
              </w:rPr>
            </w:pPr>
            <w:r>
              <w:rPr>
                <w:rFonts w:ascii="Calibri" w:hAnsi="Calibri"/>
                <w:color w:val="000000"/>
              </w:rPr>
              <w:t xml:space="preserve">№ </w:t>
            </w:r>
            <w:r>
              <w:rPr>
                <w:rFonts w:ascii="Calibri" w:hAnsi="Calibri"/>
                <w:color w:val="000000"/>
              </w:rPr>
              <w:t>_____________</w:t>
            </w:r>
          </w:p>
        </w:tc>
      </w:tr>
      <w:tr>
        <w:trPr>
          <w:trHeight w:val="288" w:hRule="atLeast"/>
        </w:trPr>
        <w:tc>
          <w:tcPr>
            <w:tcW w:w="2750" w:type="dxa"/>
            <w:tcBorders/>
            <w:shd w:color="auto" w:fill="auto" w:val="clear"/>
            <w:vAlign w:val="bottom"/>
          </w:tcPr>
          <w:p>
            <w:pPr>
              <w:pStyle w:val="Normal"/>
              <w:widowControl w:val="false"/>
              <w:rPr>
                <w:rFonts w:ascii="Calibri" w:hAnsi="Calibri"/>
                <w:b/>
                <w:color w:val="000000"/>
              </w:rPr>
            </w:pPr>
            <w:r>
              <w:rPr>
                <w:rFonts w:ascii="Calibri" w:hAnsi="Calibri"/>
                <w:b/>
                <w:color w:val="000000"/>
              </w:rPr>
              <w:t>Ф О Р М А</w:t>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3635" w:type="dxa"/>
            <w:gridSpan w:val="2"/>
            <w:tcBorders/>
            <w:shd w:color="auto" w:fill="auto" w:val="clear"/>
            <w:vAlign w:val="center"/>
          </w:tcPr>
          <w:p>
            <w:pPr>
              <w:pStyle w:val="Normal"/>
              <w:widowControl w:val="false"/>
              <w:jc w:val="right"/>
              <w:rPr>
                <w:rFonts w:ascii="Calibri" w:hAnsi="Calibri"/>
                <w:color w:val="000000"/>
              </w:rPr>
            </w:pPr>
            <w:r>
              <w:rPr>
                <w:rFonts w:ascii="Calibri" w:hAnsi="Calibri"/>
                <w:color w:val="000000"/>
              </w:rPr>
              <w:t>от _________________201_г.</w:t>
            </w:r>
          </w:p>
        </w:tc>
      </w:tr>
      <w:tr>
        <w:trPr>
          <w:trHeight w:val="288"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center"/>
          </w:tcPr>
          <w:p>
            <w:pPr>
              <w:pStyle w:val="Normal"/>
              <w:widowControl w:val="false"/>
              <w:jc w:val="right"/>
              <w:rPr>
                <w:rFonts w:ascii="Calibri" w:hAnsi="Calibri"/>
                <w:color w:val="000000"/>
              </w:rPr>
            </w:pPr>
            <w:r>
              <w:rPr>
                <w:rFonts w:ascii="Calibri" w:hAnsi="Calibri"/>
                <w:color w:val="000000"/>
              </w:rPr>
            </w:r>
          </w:p>
        </w:tc>
        <w:tc>
          <w:tcPr>
            <w:tcW w:w="1519" w:type="dxa"/>
            <w:tcBorders/>
            <w:shd w:color="auto" w:fill="auto" w:val="clear"/>
            <w:vAlign w:val="center"/>
          </w:tcPr>
          <w:p>
            <w:pPr>
              <w:pStyle w:val="Normal"/>
              <w:widowControl w:val="false"/>
              <w:jc w:val="right"/>
              <w:rPr>
                <w:rFonts w:ascii="Calibri" w:hAnsi="Calibri"/>
                <w:color w:val="000000"/>
              </w:rPr>
            </w:pPr>
            <w:r>
              <w:rPr>
                <w:rFonts w:ascii="Calibri" w:hAnsi="Calibri"/>
                <w:color w:val="000000"/>
              </w:rPr>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300" w:hRule="atLeas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9839" w:type="dxa"/>
            <w:gridSpan w:val="5"/>
            <w:tcBorders/>
            <w:shd w:color="auto" w:fill="auto" w:val="clear"/>
            <w:vAlign w:val="bottom"/>
          </w:tcPr>
          <w:p>
            <w:pPr>
              <w:pStyle w:val="Normal"/>
              <w:widowControl w:val="false"/>
              <w:jc w:val="center"/>
              <w:rPr>
                <w:rFonts w:ascii="Calibri" w:hAnsi="Calibri"/>
                <w:color w:val="000000"/>
                <w:sz w:val="28"/>
                <w:szCs w:val="28"/>
              </w:rPr>
            </w:pPr>
            <w:r>
              <w:rPr>
                <w:rFonts w:ascii="Calibri" w:hAnsi="Calibri"/>
                <w:color w:val="000000"/>
                <w:sz w:val="28"/>
                <w:szCs w:val="28"/>
              </w:rPr>
              <w:t>Уведомление</w:t>
            </w:r>
          </w:p>
          <w:p>
            <w:pPr>
              <w:pStyle w:val="Normal"/>
              <w:widowControl w:val="false"/>
              <w:jc w:val="center"/>
              <w:rPr>
                <w:rFonts w:ascii="Calibri" w:hAnsi="Calibri"/>
                <w:color w:val="000000"/>
                <w:sz w:val="28"/>
                <w:szCs w:val="28"/>
              </w:rPr>
            </w:pPr>
            <w:r>
              <w:rPr>
                <w:rFonts w:ascii="Calibri" w:hAnsi="Calibri"/>
                <w:color w:val="000000"/>
                <w:sz w:val="28"/>
                <w:szCs w:val="28"/>
              </w:rPr>
              <w:t>Информация об отгрузке и по доставке ТМЦ</w:t>
            </w:r>
          </w:p>
        </w:tc>
        <w:tc>
          <w:tcPr>
            <w:tcW w:w="1519" w:type="dxa"/>
            <w:tcBorders/>
            <w:shd w:color="auto" w:fill="auto" w:val="clear"/>
            <w:vAlign w:val="center"/>
          </w:tcPr>
          <w:p>
            <w:pPr>
              <w:pStyle w:val="Normal"/>
              <w:widowControl w:val="false"/>
              <w:jc w:val="right"/>
              <w:rPr>
                <w:rFonts w:ascii="Calibri" w:hAnsi="Calibri"/>
                <w:color w:val="000000"/>
              </w:rPr>
            </w:pPr>
            <w:r>
              <w:rPr>
                <w:rFonts w:ascii="Calibri" w:hAnsi="Calibri"/>
                <w:color w:val="000000"/>
              </w:rPr>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300"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19"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88" w:hRule="atLeast"/>
        </w:trPr>
        <w:tc>
          <w:tcPr>
            <w:tcW w:w="2750" w:type="dxa"/>
            <w:vMerge w:val="restart"/>
            <w:tcBorders>
              <w:top w:val="single" w:sz="8" w:space="0" w:color="000001"/>
              <w:left w:val="single" w:sz="8" w:space="0" w:color="000001"/>
              <w:bottom w:val="single" w:sz="8"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Поставщик (в соответствии с условиями договора)***</w:t>
            </w:r>
          </w:p>
        </w:tc>
        <w:tc>
          <w:tcPr>
            <w:tcW w:w="7363" w:type="dxa"/>
            <w:gridSpan w:val="4"/>
            <w:tcBorders>
              <w:top w:val="single" w:sz="8" w:space="0" w:color="000001"/>
              <w:left w:val="single" w:sz="8" w:space="0" w:color="000001"/>
              <w:bottom w:val="single" w:sz="4" w:space="0" w:color="000001"/>
              <w:right w:val="single" w:sz="4"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Грузоотправитель (место отгрузки товара)*</w:t>
            </w:r>
          </w:p>
        </w:tc>
        <w:tc>
          <w:tcPr>
            <w:tcW w:w="6111" w:type="dxa"/>
            <w:gridSpan w:val="3"/>
            <w:tcBorders>
              <w:top w:val="single" w:sz="8" w:space="0" w:color="000001"/>
              <w:left w:val="single" w:sz="8" w:space="0" w:color="000001"/>
              <w:bottom w:val="single" w:sz="4" w:space="0" w:color="000001"/>
              <w:right w:val="single" w:sz="8"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Транспортная компания (перевозчик)</w:t>
            </w:r>
          </w:p>
        </w:tc>
      </w:tr>
      <w:tr>
        <w:trPr>
          <w:trHeight w:val="564" w:hRule="atLeast"/>
        </w:trPr>
        <w:tc>
          <w:tcPr>
            <w:tcW w:w="2750" w:type="dxa"/>
            <w:vMerge w:val="continue"/>
            <w:tcBorders>
              <w:top w:val="single" w:sz="8" w:space="0" w:color="000001"/>
              <w:left w:val="single" w:sz="8" w:space="0" w:color="000001"/>
              <w:bottom w:val="single" w:sz="8" w:space="0" w:color="000001"/>
            </w:tcBorders>
            <w:shd w:fill="auto" w:val="clear"/>
            <w:tcMar>
              <w:left w:w="98" w:type="dxa"/>
            </w:tcMar>
            <w:vAlign w:val="center"/>
          </w:tcPr>
          <w:p>
            <w:pPr>
              <w:pStyle w:val="Normal"/>
              <w:widowControl w:val="false"/>
              <w:rPr>
                <w:rFonts w:ascii="Calibri" w:hAnsi="Calibri"/>
                <w:color w:val="000000"/>
              </w:rPr>
            </w:pPr>
            <w:r>
              <w:rPr>
                <w:rFonts w:ascii="Calibri" w:hAnsi="Calibri"/>
                <w:color w:val="000000"/>
              </w:rPr>
            </w:r>
          </w:p>
        </w:tc>
        <w:tc>
          <w:tcPr>
            <w:tcW w:w="2362" w:type="dxa"/>
            <w:tcBorders>
              <w:left w:val="single" w:sz="8" w:space="0" w:color="000001"/>
              <w:bottom w:val="single" w:sz="8" w:space="0" w:color="000001"/>
              <w:right w:val="single" w:sz="4"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Наименование контрагента</w:t>
            </w:r>
          </w:p>
        </w:tc>
        <w:tc>
          <w:tcPr>
            <w:tcW w:w="1318"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ИНН/КПП</w:t>
            </w:r>
          </w:p>
        </w:tc>
        <w:tc>
          <w:tcPr>
            <w:tcW w:w="1660"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Адрес склада</w:t>
            </w:r>
          </w:p>
        </w:tc>
        <w:tc>
          <w:tcPr>
            <w:tcW w:w="2023" w:type="dxa"/>
            <w:tcBorders>
              <w:bottom w:val="single" w:sz="8"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w:t>
            </w:r>
            <w:r>
              <w:rPr>
                <w:rFonts w:ascii="Calibri" w:hAnsi="Calibri"/>
                <w:color w:val="000000"/>
              </w:rPr>
              <w:t>, дата договора, (соглашения)**</w:t>
            </w:r>
          </w:p>
        </w:tc>
        <w:tc>
          <w:tcPr>
            <w:tcW w:w="2476" w:type="dxa"/>
            <w:tcBorders>
              <w:left w:val="single" w:sz="8" w:space="0" w:color="000001"/>
              <w:bottom w:val="single" w:sz="8" w:space="0" w:color="000001"/>
              <w:right w:val="single" w:sz="4"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Наименование контрагента</w:t>
            </w:r>
          </w:p>
        </w:tc>
        <w:tc>
          <w:tcPr>
            <w:tcW w:w="1519"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ИНН/КПП</w:t>
            </w:r>
          </w:p>
        </w:tc>
        <w:tc>
          <w:tcPr>
            <w:tcW w:w="2116" w:type="dxa"/>
            <w:tcBorders>
              <w:bottom w:val="single" w:sz="8" w:space="0" w:color="000001"/>
              <w:right w:val="single" w:sz="8"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w:t>
            </w:r>
            <w:r>
              <w:rPr>
                <w:rFonts w:ascii="Calibri" w:hAnsi="Calibri"/>
                <w:color w:val="000000"/>
              </w:rPr>
              <w:t>, дата договора, (соглашения)**</w:t>
            </w:r>
          </w:p>
        </w:tc>
      </w:tr>
      <w:tr>
        <w:trPr>
          <w:trHeight w:val="300" w:hRule="atLeast"/>
        </w:trPr>
        <w:tc>
          <w:tcPr>
            <w:tcW w:w="2750" w:type="dxa"/>
            <w:tcBorders>
              <w:left w:val="single" w:sz="8" w:space="0" w:color="000001"/>
              <w:bottom w:val="single" w:sz="8"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1</w:t>
            </w:r>
          </w:p>
        </w:tc>
        <w:tc>
          <w:tcPr>
            <w:tcW w:w="2362" w:type="dxa"/>
            <w:tcBorders>
              <w:left w:val="single" w:sz="8" w:space="0" w:color="000001"/>
              <w:bottom w:val="single" w:sz="8" w:space="0" w:color="000001"/>
              <w:right w:val="single" w:sz="4" w:space="0" w:color="000001"/>
            </w:tcBorders>
            <w:shd w:color="auto" w:fill="auto" w:val="clear"/>
            <w:tcMar>
              <w:left w:w="98" w:type="dxa"/>
            </w:tcMar>
            <w:vAlign w:val="bottom"/>
          </w:tcPr>
          <w:p>
            <w:pPr>
              <w:pStyle w:val="Normal"/>
              <w:widowControl w:val="false"/>
              <w:jc w:val="center"/>
              <w:rPr>
                <w:rFonts w:ascii="Calibri" w:hAnsi="Calibri"/>
                <w:color w:val="000000"/>
              </w:rPr>
            </w:pPr>
            <w:r>
              <w:rPr>
                <w:rFonts w:ascii="Calibri" w:hAnsi="Calibri"/>
                <w:color w:val="000000"/>
              </w:rPr>
              <w:t>2</w:t>
            </w:r>
          </w:p>
        </w:tc>
        <w:tc>
          <w:tcPr>
            <w:tcW w:w="1318"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3</w:t>
            </w:r>
          </w:p>
        </w:tc>
        <w:tc>
          <w:tcPr>
            <w:tcW w:w="1660"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4</w:t>
            </w:r>
          </w:p>
        </w:tc>
        <w:tc>
          <w:tcPr>
            <w:tcW w:w="2023" w:type="dxa"/>
            <w:tcBorders>
              <w:bottom w:val="single" w:sz="8" w:space="0" w:color="000001"/>
              <w:right w:val="single" w:sz="8"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5</w:t>
            </w:r>
          </w:p>
        </w:tc>
        <w:tc>
          <w:tcPr>
            <w:tcW w:w="2476"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6</w:t>
            </w:r>
          </w:p>
        </w:tc>
        <w:tc>
          <w:tcPr>
            <w:tcW w:w="1519" w:type="dxa"/>
            <w:tcBorders>
              <w:bottom w:val="single" w:sz="8" w:space="0" w:color="000001"/>
              <w:right w:val="single" w:sz="4"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7</w:t>
            </w:r>
          </w:p>
        </w:tc>
        <w:tc>
          <w:tcPr>
            <w:tcW w:w="2116" w:type="dxa"/>
            <w:tcBorders>
              <w:bottom w:val="single" w:sz="8" w:space="0" w:color="000001"/>
              <w:right w:val="single" w:sz="8" w:space="0" w:color="000001"/>
            </w:tcBorders>
            <w:shd w:color="auto" w:fill="auto" w:val="clear"/>
            <w:vAlign w:val="bottom"/>
          </w:tcPr>
          <w:p>
            <w:pPr>
              <w:pStyle w:val="Normal"/>
              <w:widowControl w:val="false"/>
              <w:jc w:val="center"/>
              <w:rPr>
                <w:rFonts w:ascii="Calibri" w:hAnsi="Calibri"/>
                <w:color w:val="000000"/>
              </w:rPr>
            </w:pPr>
            <w:r>
              <w:rPr>
                <w:rFonts w:ascii="Calibri" w:hAnsi="Calibri"/>
                <w:color w:val="000000"/>
              </w:rPr>
              <w:t>8</w:t>
            </w:r>
          </w:p>
        </w:tc>
      </w:tr>
      <w:tr>
        <w:trPr>
          <w:trHeight w:val="288" w:hRule="atLeast"/>
        </w:trPr>
        <w:tc>
          <w:tcPr>
            <w:tcW w:w="2750" w:type="dxa"/>
            <w:tcBorders>
              <w:left w:val="single" w:sz="8" w:space="0" w:color="000001"/>
              <w:bottom w:val="single" w:sz="4" w:space="0" w:color="000001"/>
            </w:tcBorders>
            <w:shd w:color="auto" w:fill="auto" w:val="clear"/>
            <w:tcMar>
              <w:left w:w="98" w:type="dxa"/>
            </w:tcMar>
            <w:vAlign w:val="center"/>
          </w:tcPr>
          <w:p>
            <w:pPr>
              <w:pStyle w:val="Normal"/>
              <w:widowControl w:val="false"/>
              <w:jc w:val="center"/>
              <w:rPr>
                <w:rFonts w:ascii="Calibri" w:hAnsi="Calibri"/>
                <w:color w:val="000000"/>
              </w:rPr>
            </w:pPr>
            <w:r>
              <w:rPr>
                <w:rFonts w:ascii="Calibri" w:hAnsi="Calibri"/>
                <w:color w:val="000000"/>
              </w:rPr>
              <w:t>ООО «…»</w:t>
            </w:r>
          </w:p>
        </w:tc>
        <w:tc>
          <w:tcPr>
            <w:tcW w:w="2362" w:type="dxa"/>
            <w:tcBorders>
              <w:left w:val="single" w:sz="8" w:space="0" w:color="000001"/>
              <w:bottom w:val="single" w:sz="4" w:space="0" w:color="000001"/>
              <w:right w:val="single" w:sz="4"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ОАО "…"</w:t>
            </w:r>
          </w:p>
        </w:tc>
        <w:tc>
          <w:tcPr>
            <w:tcW w:w="1318"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660"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023"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476"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ООО "______"</w:t>
            </w:r>
          </w:p>
        </w:tc>
        <w:tc>
          <w:tcPr>
            <w:tcW w:w="1519"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6"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r>
      <w:tr>
        <w:trPr>
          <w:trHeight w:val="288" w:hRule="atLeast"/>
        </w:trPr>
        <w:tc>
          <w:tcPr>
            <w:tcW w:w="2750" w:type="dxa"/>
            <w:tcBorders>
              <w:left w:val="single" w:sz="8" w:space="0" w:color="000001"/>
              <w:bottom w:val="single" w:sz="4" w:space="0" w:color="000001"/>
            </w:tcBorders>
            <w:shd w:color="auto" w:fill="auto" w:val="clear"/>
            <w:tcMar>
              <w:left w:w="98" w:type="dxa"/>
            </w:tcMar>
            <w:vAlign w:val="center"/>
          </w:tcPr>
          <w:p>
            <w:pPr>
              <w:pStyle w:val="Normal"/>
              <w:widowControl w:val="false"/>
              <w:jc w:val="center"/>
              <w:rPr>
                <w:rFonts w:ascii="Calibri" w:hAnsi="Calibri"/>
                <w:color w:val="000000"/>
              </w:rPr>
            </w:pPr>
            <w:r>
              <w:rPr>
                <w:rFonts w:ascii="Calibri" w:hAnsi="Calibri"/>
                <w:color w:val="000000"/>
              </w:rPr>
              <w:t> </w:t>
            </w:r>
          </w:p>
        </w:tc>
        <w:tc>
          <w:tcPr>
            <w:tcW w:w="2362" w:type="dxa"/>
            <w:tcBorders>
              <w:left w:val="single" w:sz="8" w:space="0" w:color="000001"/>
              <w:bottom w:val="single" w:sz="4" w:space="0" w:color="000001"/>
              <w:right w:val="single" w:sz="4"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 </w:t>
            </w:r>
          </w:p>
        </w:tc>
        <w:tc>
          <w:tcPr>
            <w:tcW w:w="1318"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660"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023"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476"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519"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6"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r>
      <w:tr>
        <w:trPr>
          <w:trHeight w:val="288" w:hRule="atLeast"/>
        </w:trPr>
        <w:tc>
          <w:tcPr>
            <w:tcW w:w="2750" w:type="dxa"/>
            <w:tcBorders>
              <w:left w:val="single" w:sz="8" w:space="0" w:color="000001"/>
              <w:bottom w:val="single" w:sz="4" w:space="0" w:color="000001"/>
            </w:tcBorders>
            <w:shd w:color="auto" w:fill="auto" w:val="clear"/>
            <w:tcMar>
              <w:left w:w="98" w:type="dxa"/>
            </w:tcMar>
            <w:vAlign w:val="center"/>
          </w:tcPr>
          <w:p>
            <w:pPr>
              <w:pStyle w:val="Normal"/>
              <w:widowControl w:val="false"/>
              <w:jc w:val="center"/>
              <w:rPr>
                <w:rFonts w:ascii="Calibri" w:hAnsi="Calibri"/>
                <w:color w:val="000000"/>
              </w:rPr>
            </w:pPr>
            <w:r>
              <w:rPr>
                <w:rFonts w:ascii="Calibri" w:hAnsi="Calibri"/>
                <w:color w:val="000000"/>
              </w:rPr>
              <w:t> </w:t>
            </w:r>
          </w:p>
        </w:tc>
        <w:tc>
          <w:tcPr>
            <w:tcW w:w="2362" w:type="dxa"/>
            <w:tcBorders>
              <w:left w:val="single" w:sz="8" w:space="0" w:color="000001"/>
              <w:bottom w:val="single" w:sz="4" w:space="0" w:color="000001"/>
              <w:right w:val="single" w:sz="4"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 </w:t>
            </w:r>
          </w:p>
        </w:tc>
        <w:tc>
          <w:tcPr>
            <w:tcW w:w="1318"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660"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023"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476"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519" w:type="dxa"/>
            <w:tcBorders>
              <w:bottom w:val="single" w:sz="4"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6" w:type="dxa"/>
            <w:tcBorders>
              <w:bottom w:val="single" w:sz="4"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r>
      <w:tr>
        <w:trPr>
          <w:trHeight w:val="300" w:hRule="atLeast"/>
        </w:trPr>
        <w:tc>
          <w:tcPr>
            <w:tcW w:w="2750" w:type="dxa"/>
            <w:tcBorders>
              <w:left w:val="single" w:sz="8" w:space="0" w:color="000001"/>
              <w:bottom w:val="single" w:sz="8"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 </w:t>
            </w:r>
          </w:p>
        </w:tc>
        <w:tc>
          <w:tcPr>
            <w:tcW w:w="2362" w:type="dxa"/>
            <w:tcBorders>
              <w:left w:val="single" w:sz="8" w:space="0" w:color="000001"/>
              <w:bottom w:val="single" w:sz="8" w:space="0" w:color="000001"/>
              <w:right w:val="single" w:sz="4" w:space="0" w:color="000001"/>
            </w:tcBorders>
            <w:shd w:color="auto" w:fill="auto" w:val="clear"/>
            <w:tcMar>
              <w:left w:w="98" w:type="dxa"/>
            </w:tcMar>
            <w:vAlign w:val="bottom"/>
          </w:tcPr>
          <w:p>
            <w:pPr>
              <w:pStyle w:val="Normal"/>
              <w:widowControl w:val="false"/>
              <w:rPr>
                <w:rFonts w:ascii="Calibri" w:hAnsi="Calibri"/>
                <w:color w:val="000000"/>
              </w:rPr>
            </w:pPr>
            <w:r>
              <w:rPr>
                <w:rFonts w:ascii="Calibri" w:hAnsi="Calibri"/>
                <w:color w:val="000000"/>
              </w:rPr>
              <w:t> </w:t>
            </w:r>
          </w:p>
        </w:tc>
        <w:tc>
          <w:tcPr>
            <w:tcW w:w="1318" w:type="dxa"/>
            <w:tcBorders>
              <w:bottom w:val="single" w:sz="8"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660" w:type="dxa"/>
            <w:tcBorders>
              <w:bottom w:val="single" w:sz="8"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023" w:type="dxa"/>
            <w:tcBorders>
              <w:bottom w:val="single" w:sz="8"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476" w:type="dxa"/>
            <w:tcBorders>
              <w:bottom w:val="single" w:sz="8"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519" w:type="dxa"/>
            <w:tcBorders>
              <w:bottom w:val="single" w:sz="8" w:space="0" w:color="000001"/>
              <w:right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6" w:type="dxa"/>
            <w:tcBorders>
              <w:bottom w:val="single" w:sz="8" w:space="0" w:color="000001"/>
              <w:right w:val="single" w:sz="8"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r>
      <w:tr>
        <w:trPr>
          <w:trHeight w:val="288"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19"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88"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19"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88" w:hRule="atLeast"/>
        </w:trPr>
        <w:tc>
          <w:tcPr>
            <w:tcW w:w="5112" w:type="dxa"/>
            <w:gridSpan w:val="2"/>
            <w:tcBorders>
              <w:bottom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bottom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1519" w:type="dxa"/>
            <w:tcBorders>
              <w:bottom w:val="single" w:sz="4" w:space="0" w:color="000001"/>
            </w:tcBorders>
            <w:shd w:color="auto" w:fill="auto" w:val="clear"/>
            <w:vAlign w:val="bottom"/>
          </w:tcPr>
          <w:p>
            <w:pPr>
              <w:pStyle w:val="Normal"/>
              <w:widowControl w:val="false"/>
              <w:rPr>
                <w:rFonts w:ascii="Calibri" w:hAnsi="Calibri"/>
                <w:color w:val="000000"/>
              </w:rPr>
            </w:pPr>
            <w:r>
              <w:rPr>
                <w:rFonts w:ascii="Calibri" w:hAnsi="Calibri"/>
                <w:color w:val="000000"/>
              </w:rPr>
              <w:t> </w:t>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28" w:hRule="atLeast"/>
        </w:trPr>
        <w:tc>
          <w:tcPr>
            <w:tcW w:w="5112" w:type="dxa"/>
            <w:gridSpan w:val="2"/>
            <w:tcBorders>
              <w:top w:val="single" w:sz="4" w:space="0" w:color="000001"/>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t>поставщик</w:t>
            </w:r>
          </w:p>
        </w:tc>
        <w:tc>
          <w:tcPr>
            <w:tcW w:w="1318"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r>
          </w:p>
        </w:tc>
        <w:tc>
          <w:tcPr>
            <w:tcW w:w="1660"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r>
          </w:p>
        </w:tc>
        <w:tc>
          <w:tcPr>
            <w:tcW w:w="2023"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r>
          </w:p>
        </w:tc>
        <w:tc>
          <w:tcPr>
            <w:tcW w:w="2476"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t>подпись</w:t>
            </w:r>
          </w:p>
        </w:tc>
        <w:tc>
          <w:tcPr>
            <w:tcW w:w="1519" w:type="dxa"/>
            <w:tcBorders/>
            <w:shd w:color="auto" w:fill="auto" w:val="clear"/>
            <w:vAlign w:val="bottom"/>
          </w:tcPr>
          <w:p>
            <w:pPr>
              <w:pStyle w:val="Normal"/>
              <w:widowControl w:val="false"/>
              <w:jc w:val="center"/>
              <w:rPr>
                <w:rFonts w:ascii="Calibri" w:hAnsi="Calibri"/>
                <w:color w:val="000000"/>
                <w:sz w:val="16"/>
                <w:szCs w:val="16"/>
              </w:rPr>
            </w:pPr>
            <w:r>
              <w:rPr>
                <w:rFonts w:ascii="Calibri" w:hAnsi="Calibri"/>
                <w:color w:val="000000"/>
                <w:sz w:val="16"/>
                <w:szCs w:val="16"/>
              </w:rPr>
              <w:t>ФИО</w:t>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288" w:hRule="exact"/>
        </w:trPr>
        <w:tc>
          <w:tcPr>
            <w:tcW w:w="275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362"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19"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480" w:hRule="atLeast"/>
        </w:trPr>
        <w:tc>
          <w:tcPr>
            <w:tcW w:w="5112" w:type="dxa"/>
            <w:gridSpan w:val="2"/>
            <w:tcBorders/>
            <w:shd w:color="auto" w:fill="auto" w:val="clear"/>
            <w:vAlign w:val="bottom"/>
          </w:tcPr>
          <w:p>
            <w:pPr>
              <w:pStyle w:val="Normal"/>
              <w:widowControl w:val="false"/>
              <w:rPr>
                <w:rFonts w:ascii="Calibri" w:hAnsi="Calibri"/>
                <w:color w:val="000000"/>
                <w:sz w:val="16"/>
                <w:szCs w:val="16"/>
              </w:rPr>
            </w:pPr>
            <w:r>
              <w:rPr>
                <w:rFonts w:ascii="Calibri" w:hAnsi="Calibri"/>
                <w:b/>
                <w:bCs/>
                <w:color w:val="000000"/>
                <w:sz w:val="16"/>
                <w:szCs w:val="16"/>
              </w:rPr>
              <w:t>*</w:t>
            </w:r>
            <w:r>
              <w:rPr>
                <w:rFonts w:ascii="Calibri" w:hAnsi="Calibri"/>
                <w:color w:val="000000"/>
                <w:sz w:val="16"/>
                <w:szCs w:val="16"/>
              </w:rPr>
              <w:t xml:space="preserve">ТОРГ-12 </w:t>
            </w:r>
            <w:r>
              <w:rPr>
                <w:rFonts w:ascii="Calibri" w:hAnsi="Calibri"/>
                <w:color w:val="000000"/>
                <w:sz w:val="16"/>
                <w:szCs w:val="16"/>
                <w:shd w:fill="FFFF00" w:val="clear"/>
              </w:rPr>
              <w:t>/ УПД</w:t>
            </w:r>
            <w:r>
              <w:rPr>
                <w:rFonts w:ascii="Calibri" w:hAnsi="Calibri"/>
                <w:color w:val="000000"/>
                <w:sz w:val="16"/>
                <w:szCs w:val="16"/>
              </w:rPr>
              <w:t>, счет-фактура - по строке грузоотправитель указывается организация грузоотправителя</w:t>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19"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480" w:hRule="atLeast"/>
        </w:trPr>
        <w:tc>
          <w:tcPr>
            <w:tcW w:w="5112" w:type="dxa"/>
            <w:gridSpan w:val="2"/>
            <w:tcBorders/>
            <w:shd w:color="auto" w:fill="auto" w:val="clear"/>
            <w:vAlign w:val="bottom"/>
          </w:tcPr>
          <w:p>
            <w:pPr>
              <w:pStyle w:val="Normal"/>
              <w:widowControl w:val="false"/>
              <w:rPr>
                <w:rFonts w:ascii="Calibri" w:hAnsi="Calibri"/>
                <w:color w:val="000000"/>
                <w:sz w:val="16"/>
                <w:szCs w:val="16"/>
              </w:rPr>
            </w:pPr>
            <w:r>
              <w:rPr>
                <w:rFonts w:ascii="Calibri" w:hAnsi="Calibri"/>
                <w:b/>
                <w:bCs/>
                <w:color w:val="000000"/>
                <w:sz w:val="16"/>
                <w:szCs w:val="16"/>
              </w:rPr>
              <w:t>**</w:t>
            </w:r>
            <w:r>
              <w:rPr>
                <w:rFonts w:ascii="Calibri" w:hAnsi="Calibri"/>
                <w:color w:val="000000"/>
                <w:sz w:val="16"/>
                <w:szCs w:val="16"/>
              </w:rPr>
              <w:t>Реквизиты документа, согласно которому поставщиком передана обязанность по поставке груза</w:t>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19"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r>
        <w:trPr>
          <w:trHeight w:val="480" w:hRule="atLeast"/>
        </w:trPr>
        <w:tc>
          <w:tcPr>
            <w:tcW w:w="5112" w:type="dxa"/>
            <w:gridSpan w:val="2"/>
            <w:tcBorders/>
            <w:shd w:color="auto" w:fill="auto" w:val="clear"/>
            <w:vAlign w:val="bottom"/>
          </w:tcPr>
          <w:p>
            <w:pPr>
              <w:pStyle w:val="Normal"/>
              <w:widowControl w:val="false"/>
              <w:rPr>
                <w:rFonts w:ascii="Calibri" w:hAnsi="Calibri"/>
                <w:color w:val="000000"/>
                <w:sz w:val="16"/>
                <w:szCs w:val="16"/>
              </w:rPr>
            </w:pPr>
            <w:r>
              <w:rPr>
                <w:rFonts w:ascii="Calibri" w:hAnsi="Calibri"/>
                <w:b/>
                <w:bCs/>
                <w:color w:val="000000"/>
                <w:sz w:val="16"/>
                <w:szCs w:val="16"/>
              </w:rPr>
              <w:t xml:space="preserve">*** </w:t>
            </w:r>
            <w:r>
              <w:rPr>
                <w:rFonts w:ascii="Calibri" w:hAnsi="Calibri"/>
                <w:color w:val="000000"/>
                <w:sz w:val="16"/>
                <w:szCs w:val="16"/>
              </w:rPr>
              <w:t>В случае поставки товара силами поставщика в графе 2,6 проставляется "он же"</w:t>
            </w:r>
          </w:p>
        </w:tc>
        <w:tc>
          <w:tcPr>
            <w:tcW w:w="1318"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660"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023"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47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1519"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c>
          <w:tcPr>
            <w:tcW w:w="2116" w:type="dxa"/>
            <w:tcBorders/>
            <w:shd w:color="auto" w:fill="auto" w:val="clear"/>
            <w:vAlign w:val="bottom"/>
          </w:tcPr>
          <w:p>
            <w:pPr>
              <w:pStyle w:val="Normal"/>
              <w:widowControl w:val="false"/>
              <w:rPr>
                <w:rFonts w:ascii="Calibri" w:hAnsi="Calibri"/>
                <w:color w:val="000000"/>
              </w:rPr>
            </w:pPr>
            <w:r>
              <w:rPr>
                <w:rFonts w:ascii="Calibri" w:hAnsi="Calibri"/>
                <w:color w:val="000000"/>
              </w:rPr>
            </w:r>
          </w:p>
        </w:tc>
      </w:tr>
    </w:tbl>
    <w:p>
      <w:pPr>
        <w:pStyle w:val="Normal"/>
        <w:rPr>
          <w:b/>
          <w:bCs/>
          <w:sz w:val="24"/>
          <w:szCs w:val="24"/>
        </w:rPr>
      </w:pPr>
      <w:r>
        <w:rPr>
          <w:b/>
          <w:bCs/>
          <w:sz w:val="24"/>
          <w:szCs w:val="24"/>
        </w:rPr>
      </w:r>
    </w:p>
    <w:tbl>
      <w:tblPr>
        <w:tblW w:w="13258"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502"/>
        <w:gridCol w:w="3470"/>
        <w:gridCol w:w="5286"/>
      </w:tblGrid>
      <w:tr>
        <w:trPr>
          <w:trHeight w:val="218" w:hRule="atLeast"/>
        </w:trPr>
        <w:tc>
          <w:tcPr>
            <w:tcW w:w="4502" w:type="dxa"/>
            <w:tcBorders/>
            <w:shd w:fill="auto" w:val="clear"/>
          </w:tcPr>
          <w:p>
            <w:pPr>
              <w:pStyle w:val="BodyText"/>
              <w:widowControl w:val="false"/>
              <w:numPr>
                <w:ilvl w:val="0"/>
                <w:numId w:val="0"/>
              </w:numPr>
              <w:ind w:left="0" w:hanging="0"/>
              <w:jc w:val="center"/>
              <w:rPr>
                <w:b/>
                <w:sz w:val="22"/>
                <w:szCs w:val="22"/>
              </w:rPr>
            </w:pPr>
            <w:r>
              <w:rPr>
                <w:b/>
                <w:sz w:val="22"/>
                <w:szCs w:val="22"/>
              </w:rPr>
              <w:t>ПОСТАВЩИК</w:t>
            </w:r>
          </w:p>
          <w:p>
            <w:pPr>
              <w:pStyle w:val="BodyText"/>
              <w:widowControl w:val="false"/>
              <w:numPr>
                <w:ilvl w:val="0"/>
                <w:numId w:val="0"/>
              </w:numPr>
              <w:spacing w:before="0" w:after="120"/>
              <w:ind w:left="0" w:hanging="0"/>
              <w:jc w:val="center"/>
              <w:rPr>
                <w:b/>
                <w:sz w:val="22"/>
                <w:szCs w:val="22"/>
              </w:rPr>
            </w:pPr>
            <w:r>
              <w:rPr>
                <w:b/>
                <w:sz w:val="22"/>
                <w:szCs w:val="22"/>
              </w:rPr>
            </w:r>
          </w:p>
        </w:tc>
        <w:tc>
          <w:tcPr>
            <w:tcW w:w="3470" w:type="dxa"/>
            <w:tcBorders/>
            <w:shd w:fill="auto" w:val="clear"/>
          </w:tcPr>
          <w:p>
            <w:pPr>
              <w:pStyle w:val="BodyText"/>
              <w:widowControl w:val="false"/>
              <w:numPr>
                <w:ilvl w:val="0"/>
                <w:numId w:val="0"/>
              </w:numPr>
              <w:spacing w:before="0" w:after="120"/>
              <w:ind w:left="0" w:hanging="0"/>
              <w:rPr>
                <w:sz w:val="22"/>
                <w:szCs w:val="22"/>
              </w:rPr>
            </w:pPr>
            <w:r>
              <w:rPr>
                <w:sz w:val="22"/>
                <w:szCs w:val="22"/>
              </w:rPr>
            </w:r>
          </w:p>
        </w:tc>
        <w:tc>
          <w:tcPr>
            <w:tcW w:w="5286" w:type="dxa"/>
            <w:tcBorders/>
            <w:shd w:fill="auto" w:val="clear"/>
          </w:tcPr>
          <w:p>
            <w:pPr>
              <w:pStyle w:val="BodyText"/>
              <w:widowControl w:val="false"/>
              <w:numPr>
                <w:ilvl w:val="0"/>
                <w:numId w:val="0"/>
              </w:numPr>
              <w:ind w:left="0" w:hanging="0"/>
              <w:jc w:val="center"/>
              <w:rPr>
                <w:b/>
                <w:sz w:val="22"/>
                <w:szCs w:val="22"/>
              </w:rPr>
            </w:pPr>
            <w:r>
              <w:rPr>
                <w:b/>
                <w:sz w:val="22"/>
                <w:szCs w:val="22"/>
              </w:rPr>
              <w:t>ПОКУПАТЕЛЬ</w:t>
            </w:r>
          </w:p>
          <w:p>
            <w:pPr>
              <w:pStyle w:val="Normal"/>
              <w:widowControl w:val="false"/>
              <w:shd w:val="clear" w:color="auto" w:fill="FFFFFF"/>
              <w:tabs>
                <w:tab w:val="clear" w:pos="708"/>
                <w:tab w:val="center" w:pos="4806" w:leader="none"/>
              </w:tabs>
              <w:jc w:val="center"/>
              <w:rPr>
                <w:sz w:val="22"/>
                <w:szCs w:val="22"/>
              </w:rPr>
            </w:pPr>
            <w:r>
              <w:rPr>
                <w:b/>
                <w:bCs/>
                <w:color w:val="000000"/>
                <w:sz w:val="22"/>
                <w:szCs w:val="22"/>
              </w:rPr>
              <w:t>АО «ДРСК»</w:t>
            </w:r>
          </w:p>
        </w:tc>
      </w:tr>
    </w:tbl>
    <w:p>
      <w:pPr>
        <w:pStyle w:val="Normal"/>
        <w:ind w:firstLine="709"/>
        <w:rPr/>
      </w:pPr>
      <w:r>
        <w:rPr/>
      </w:r>
    </w:p>
    <w:sectPr>
      <w:headerReference w:type="default" r:id="rId8"/>
      <w:headerReference w:type="first" r:id="rId9"/>
      <w:footerReference w:type="default" r:id="rId10"/>
      <w:footnotePr>
        <w:numFmt w:val="decimal"/>
      </w:footnotePr>
      <w:type w:val="nextPage"/>
      <w:pgSz w:orient="landscape" w:w="16838" w:h="11906"/>
      <w:pgMar w:left="1134" w:right="1134" w:gutter="0" w:header="567" w:top="1418" w:footer="709" w:bottom="851"/>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Liberation Mono">
    <w:altName w:val="Courier New"/>
    <w:charset w:val="01"/>
    <w:family w:val="roman"/>
    <w:pitch w:val="variable"/>
  </w:font>
  <w:font w:name="Symbol">
    <w:charset w:val="02"/>
    <w:family w:val="auto"/>
    <w:pitch w:val="fixed"/>
  </w:font>
  <w:font w:name="Courier New">
    <w:charset w:val="01"/>
    <w:family w:val="modern"/>
    <w:pitch w:val="fixed"/>
  </w:font>
  <w:font w:name="Wingdings">
    <w:charset w:val="02"/>
    <w:family w:val="auto"/>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rFonts w:ascii="Times New Roman" w:hAnsi="Times New Roman" w:cs="Times New Roman"/>
        <w:sz w:val="18"/>
        <w:szCs w:val="18"/>
      </w:rPr>
    </w:pPr>
    <w:r>
      <w:rPr>
        <w:rFonts w:cs="Times New Roman" w:ascii="Times New Roman" w:hAnsi="Times New Roman"/>
        <w:sz w:val="18"/>
        <w:szCs w:val="18"/>
      </w:rPr>
      <w:t>Документ распечатан из программы 1С: Документооборот. Версия файла 2.</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4"/>
        </w:rPr>
        <w:footnoteRef/>
      </w:r>
      <w:r>
        <w:rPr>
          <w:rStyle w:val="Style14"/>
        </w:rPr>
        <w:tab/>
      </w:r>
      <w:r>
        <w:rPr/>
        <w:t xml:space="preserve"> Исключается из Договора в случае, если контрагентом применяется упрощенная система налогообложения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rPr>
        <w:i/>
        <w:i/>
      </w:rPr>
    </w:pPr>
    <w:r>
      <w:rPr>
        <w:i/>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778"/>
        </w:tabs>
        <w:ind w:left="1778" w:hanging="360"/>
      </w:pPr>
      <w:rPr>
        <w:rFonts w:ascii="Symbol" w:hAnsi="Symbol" w:cs="Symbol" w:hint="default"/>
        <w:sz w:val="24"/>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9">
    <w:lvl w:ilvl="0">
      <w:start w:val="12"/>
      <w:numFmt w:val="decimal"/>
      <w:lvlText w:val="%1."/>
      <w:lvlJc w:val="left"/>
      <w:pPr>
        <w:tabs>
          <w:tab w:val="num" w:pos="0"/>
        </w:tabs>
        <w:ind w:left="405" w:hanging="405"/>
      </w:pPr>
      <w:rPr/>
    </w:lvl>
    <w:lvl w:ilvl="1">
      <w:start w:val="4"/>
      <w:numFmt w:val="decimal"/>
      <w:lvlText w:val="1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7"/>
      <w:numFmt w:val="decimal"/>
      <w:lvlText w:val="%1."/>
      <w:lvlJc w:val="left"/>
      <w:pPr>
        <w:tabs>
          <w:tab w:val="num" w:pos="0"/>
        </w:tabs>
        <w:ind w:left="720" w:hanging="360"/>
      </w:pPr>
      <w:rPr/>
    </w:lvl>
    <w:lvl w:ilvl="1">
      <w:start w:val="1"/>
      <w:numFmt w:val="decimal"/>
      <w:lvlText w:val="%1.%2."/>
      <w:lvlJc w:val="left"/>
      <w:pPr>
        <w:tabs>
          <w:tab w:val="num" w:pos="0"/>
        </w:tabs>
        <w:ind w:left="1779" w:hanging="360"/>
      </w:pPr>
      <w:rPr>
        <w:sz w:val="24"/>
        <w:b/>
        <w:szCs w:val="24"/>
      </w:rPr>
    </w:lvl>
    <w:lvl w:ilvl="2">
      <w:start w:val="1"/>
      <w:numFmt w:val="decimal"/>
      <w:lvlText w:val="%1.%2.%3."/>
      <w:lvlJc w:val="left"/>
      <w:pPr>
        <w:tabs>
          <w:tab w:val="num" w:pos="0"/>
        </w:tabs>
        <w:ind w:left="3198" w:hanging="720"/>
      </w:pPr>
      <w:rPr/>
    </w:lvl>
    <w:lvl w:ilvl="3">
      <w:start w:val="1"/>
      <w:numFmt w:val="decimal"/>
      <w:lvlText w:val="%1.%2.%3.%4."/>
      <w:lvlJc w:val="left"/>
      <w:pPr>
        <w:tabs>
          <w:tab w:val="num" w:pos="0"/>
        </w:tabs>
        <w:ind w:left="4257" w:hanging="720"/>
      </w:pPr>
      <w:rPr/>
    </w:lvl>
    <w:lvl w:ilvl="4">
      <w:start w:val="1"/>
      <w:numFmt w:val="decimal"/>
      <w:lvlText w:val="%1.%2.%3.%4.%5."/>
      <w:lvlJc w:val="left"/>
      <w:pPr>
        <w:tabs>
          <w:tab w:val="num" w:pos="0"/>
        </w:tabs>
        <w:ind w:left="5676" w:hanging="1080"/>
      </w:pPr>
      <w:rPr/>
    </w:lvl>
    <w:lvl w:ilvl="5">
      <w:start w:val="1"/>
      <w:numFmt w:val="decimal"/>
      <w:lvlText w:val="%1.%2.%3.%4.%5.%6."/>
      <w:lvlJc w:val="left"/>
      <w:pPr>
        <w:tabs>
          <w:tab w:val="num" w:pos="0"/>
        </w:tabs>
        <w:ind w:left="6735" w:hanging="1080"/>
      </w:pPr>
      <w:rPr/>
    </w:lvl>
    <w:lvl w:ilvl="6">
      <w:start w:val="1"/>
      <w:numFmt w:val="decimal"/>
      <w:lvlText w:val="%1.%2.%3.%4.%5.%6.%7."/>
      <w:lvlJc w:val="left"/>
      <w:pPr>
        <w:tabs>
          <w:tab w:val="num" w:pos="0"/>
        </w:tabs>
        <w:ind w:left="8154" w:hanging="1440"/>
      </w:pPr>
      <w:rPr/>
    </w:lvl>
    <w:lvl w:ilvl="7">
      <w:start w:val="1"/>
      <w:numFmt w:val="decimal"/>
      <w:lvlText w:val="%1.%2.%3.%4.%5.%6.%7.%8."/>
      <w:lvlJc w:val="left"/>
      <w:pPr>
        <w:tabs>
          <w:tab w:val="num" w:pos="0"/>
        </w:tabs>
        <w:ind w:left="9213" w:hanging="1440"/>
      </w:pPr>
      <w:rPr/>
    </w:lvl>
    <w:lvl w:ilvl="8">
      <w:start w:val="1"/>
      <w:numFmt w:val="decimal"/>
      <w:lvlText w:val="%1.%2.%3.%4.%5.%6.%7.%8.%9."/>
      <w:lvlJc w:val="left"/>
      <w:pPr>
        <w:tabs>
          <w:tab w:val="num" w:pos="0"/>
        </w:tabs>
        <w:ind w:left="10632" w:hanging="1800"/>
      </w:pPr>
      <w:rPr/>
    </w:lvl>
  </w:abstractNum>
  <w:abstractNum w:abstractNumId="12">
    <w:lvl w:ilvl="0">
      <w:start w:val="1"/>
      <w:numFmt w:val="bullet"/>
      <w:lvlText w:val="–"/>
      <w:lvlJc w:val="left"/>
      <w:pPr>
        <w:tabs>
          <w:tab w:val="num" w:pos="0"/>
        </w:tabs>
        <w:ind w:left="0" w:hanging="0"/>
      </w:pPr>
      <w:rPr>
        <w:rFonts w:ascii="Times New Roman" w:hAnsi="Times New Roman" w:cs="Times New Roman" w:hint="default"/>
        <w:dstrike w:val="false"/>
        <w:strike w:val="false"/>
        <w:vertAlign w:val="baseline"/>
        <w:position w:val="0"/>
        <w:sz w:val="24"/>
        <w:sz w:val="24"/>
        <w:i w:val="false"/>
        <w:u w:val="none" w:color="000000"/>
        <w:b w:val="false"/>
        <w:szCs w:val="28"/>
        <w:highlight w:val="white"/>
        <w:color w:val="000000"/>
      </w:rPr>
    </w:lvl>
    <w:lvl w:ilvl="1">
      <w:start w:val="1"/>
      <w:numFmt w:val="bullet"/>
      <w:lvlText w:val="o"/>
      <w:lvlJc w:val="left"/>
      <w:pPr>
        <w:tabs>
          <w:tab w:val="num" w:pos="0"/>
        </w:tabs>
        <w:ind w:left="178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2">
      <w:start w:val="1"/>
      <w:numFmt w:val="bullet"/>
      <w:lvlText w:val="▪"/>
      <w:lvlJc w:val="left"/>
      <w:pPr>
        <w:tabs>
          <w:tab w:val="num" w:pos="0"/>
        </w:tabs>
        <w:ind w:left="250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3">
      <w:start w:val="1"/>
      <w:numFmt w:val="bullet"/>
      <w:lvlText w:val="•"/>
      <w:lvlJc w:val="left"/>
      <w:pPr>
        <w:tabs>
          <w:tab w:val="num" w:pos="0"/>
        </w:tabs>
        <w:ind w:left="322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4">
      <w:start w:val="1"/>
      <w:numFmt w:val="bullet"/>
      <w:lvlText w:val="o"/>
      <w:lvlJc w:val="left"/>
      <w:pPr>
        <w:tabs>
          <w:tab w:val="num" w:pos="0"/>
        </w:tabs>
        <w:ind w:left="394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5">
      <w:start w:val="1"/>
      <w:numFmt w:val="bullet"/>
      <w:lvlText w:val="▪"/>
      <w:lvlJc w:val="left"/>
      <w:pPr>
        <w:tabs>
          <w:tab w:val="num" w:pos="0"/>
        </w:tabs>
        <w:ind w:left="466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6">
      <w:start w:val="1"/>
      <w:numFmt w:val="bullet"/>
      <w:lvlText w:val="•"/>
      <w:lvlJc w:val="left"/>
      <w:pPr>
        <w:tabs>
          <w:tab w:val="num" w:pos="0"/>
        </w:tabs>
        <w:ind w:left="538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7">
      <w:start w:val="1"/>
      <w:numFmt w:val="bullet"/>
      <w:lvlText w:val="o"/>
      <w:lvlJc w:val="left"/>
      <w:pPr>
        <w:tabs>
          <w:tab w:val="num" w:pos="0"/>
        </w:tabs>
        <w:ind w:left="610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lvl w:ilvl="8">
      <w:start w:val="1"/>
      <w:numFmt w:val="bullet"/>
      <w:lvlText w:val="▪"/>
      <w:lvlJc w:val="left"/>
      <w:pPr>
        <w:tabs>
          <w:tab w:val="num" w:pos="0"/>
        </w:tabs>
        <w:ind w:left="6828" w:hanging="0"/>
      </w:pPr>
      <w:rPr>
        <w:rFonts w:ascii="Times New Roman" w:hAnsi="Times New Roman" w:cs="Times New Roman" w:hint="default"/>
        <w:dstrike w:val="false"/>
        <w:strike w:val="false"/>
        <w:vertAlign w:val="baseline"/>
        <w:position w:val="0"/>
        <w:sz w:val="28"/>
        <w:sz w:val="28"/>
        <w:i w:val="false"/>
        <w:u w:val="none" w:color="000000"/>
        <w:b w:val="false"/>
        <w:szCs w:val="28"/>
        <w:highlight w:val="white"/>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3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f47c6a"/>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5c4029"/>
    <w:rPr/>
  </w:style>
  <w:style w:type="character" w:styleId="Doctitleimportant" w:customStyle="1">
    <w:name w:val="doc__title_important"/>
    <w:basedOn w:val="DefaultParagraphFont"/>
    <w:qFormat/>
    <w:rsid w:val="00c15a0e"/>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character" w:styleId="Style20">
    <w:name w:val="Символы концевой сноски"/>
    <w:qFormat/>
    <w:rPr/>
  </w:style>
  <w:style w:type="paragraph" w:styleId="Style21">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lang w:val="zxx" w:eastAsia="zxx" w:bidi="zxx"/>
    </w:rPr>
  </w:style>
  <w:style w:type="paragraph" w:styleId="Title">
    <w:name w:val="Title"/>
    <w:basedOn w:val="Normal"/>
    <w:link w:val="Style7"/>
    <w:qFormat/>
    <w:rsid w:val="00a264b0"/>
    <w:pPr>
      <w:jc w:val="center"/>
    </w:pPr>
    <w:rPr>
      <w:b/>
      <w:bCs/>
      <w:sz w:val="24"/>
      <w:szCs w:val="24"/>
    </w:rPr>
  </w:style>
  <w:style w:type="paragraph" w:styleId="Style23"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4">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5"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6"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7"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8"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paragraph" w:styleId="Style31">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LO-Normal">
    <w:name w:val="LO-Normal"/>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1.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282B0E-3FD4-4E35-93D6-7C943CD90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Application>AlterOffice/3.3.1.3$Linux_X86_64 LibreOffice_project/90d829a0d92d6015ad4fa014ce4f460a7fe6c0ba</Application>
  <AppVersion>15.0000</AppVersion>
  <Pages>22</Pages>
  <Words>7720</Words>
  <Characters>54150</Characters>
  <CharactersWithSpaces>61694</CharactersWithSpaces>
  <Paragraphs>423</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2022-11-01T07:55:00Z</dcterms:created>
  <dc:creator>tsypilev_ag</dc:creator>
  <dc:description/>
  <dc:language>ru-RU</dc:language>
  <cp:lastModifiedBy>balabanova_eb</cp:lastModifiedBy>
  <cp:lastPrinted>2020-03-18T06:40:00Z</cp:lastPrinted>
  <dcterms:modified xsi:type="dcterms:W3CDTF">2026-06-24T11:35:07Z</dcterms:modified>
  <cp:revision>37</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