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numPr>
          <w:ilvl w:val="0"/>
          <w:numId w:val="0"/>
        </w:numPr>
        <w:spacing w:before="0" w:after="6"/>
        <w:ind w:firstLine="567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bookmarkStart w:id="0" w:name="_GoBack"/>
      <w:bookmarkStart w:id="1" w:name="_GoBack"/>
      <w:bookmarkEnd w:id="1"/>
    </w:p>
    <w:p>
      <w:pPr>
        <w:pStyle w:val="BodyText"/>
        <w:jc w:val="center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ТЕХНИЧЕСКИЕ ТРЕБОВАНИЯ</w:t>
      </w:r>
    </w:p>
    <w:p>
      <w:pPr>
        <w:pStyle w:val="Heading1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1"/>
        <w:jc w:val="center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ОКПД2 25.11.23.119 Поставка сетки защитной для нужд филиала ПАО "РусГидро" –"Саратовская ГЭС"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  <w:r>
        <w:br w:type="page"/>
      </w:r>
    </w:p>
    <w:p>
      <w:pPr>
        <w:pStyle w:val="Normal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Содержание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keepLines/>
        <w:numPr>
          <w:ilvl w:val="0"/>
          <w:numId w:val="0"/>
        </w:numPr>
        <w:outlineLvl w:val="0"/>
        <w:rPr>
          <w:sz w:val="28"/>
          <w:szCs w:val="28"/>
        </w:rPr>
      </w:pPr>
      <w:r>
        <w:rPr>
          <w:iCs/>
          <w:sz w:val="28"/>
          <w:szCs w:val="28"/>
          <w:lang w:eastAsia="x-none"/>
        </w:rPr>
        <w:t xml:space="preserve">1. Общие сведения </w:t>
      </w:r>
      <w:r>
        <w:rPr>
          <w:iCs/>
          <w:sz w:val="28"/>
          <w:szCs w:val="28"/>
          <w:lang w:val="x-none" w:eastAsia="x-none"/>
        </w:rPr>
        <w:t>стр 3</w:t>
      </w:r>
    </w:p>
    <w:p>
      <w:pPr>
        <w:pStyle w:val="Normal"/>
        <w:numPr>
          <w:ilvl w:val="0"/>
          <w:numId w:val="0"/>
        </w:numPr>
        <w:outlineLvl w:val="0"/>
        <w:rPr>
          <w:sz w:val="28"/>
          <w:szCs w:val="28"/>
        </w:rPr>
      </w:pPr>
      <w:r>
        <w:rPr>
          <w:iCs/>
          <w:sz w:val="28"/>
          <w:szCs w:val="28"/>
          <w:lang w:eastAsia="x-none"/>
        </w:rPr>
        <w:t xml:space="preserve">1.1. Обозначения и сокращения </w:t>
      </w:r>
      <w:r>
        <w:rPr>
          <w:iCs/>
          <w:sz w:val="28"/>
          <w:szCs w:val="28"/>
          <w:lang w:val="x-none" w:eastAsia="x-none"/>
        </w:rPr>
        <w:t>стр 3</w:t>
      </w:r>
    </w:p>
    <w:p>
      <w:pPr>
        <w:pStyle w:val="Normal"/>
        <w:numPr>
          <w:ilvl w:val="0"/>
          <w:numId w:val="0"/>
        </w:numPr>
        <w:outlineLvl w:val="0"/>
        <w:rPr>
          <w:sz w:val="28"/>
          <w:szCs w:val="28"/>
        </w:rPr>
      </w:pPr>
      <w:r>
        <w:rPr>
          <w:iCs/>
          <w:sz w:val="28"/>
          <w:szCs w:val="28"/>
          <w:lang w:eastAsia="x-none"/>
        </w:rPr>
        <w:t xml:space="preserve">1.2. </w:t>
      </w:r>
      <w:r>
        <w:rPr>
          <w:rFonts w:eastAsia="Calibri"/>
          <w:iCs/>
          <w:sz w:val="28"/>
          <w:szCs w:val="28"/>
          <w:lang w:val="x-none" w:eastAsia="x-none"/>
        </w:rPr>
        <w:t>Наименование закупаемой продукции стр 3</w:t>
      </w:r>
    </w:p>
    <w:p>
      <w:pPr>
        <w:pStyle w:val="Normal"/>
        <w:numPr>
          <w:ilvl w:val="0"/>
          <w:numId w:val="0"/>
        </w:numPr>
        <w:outlineLvl w:val="0"/>
        <w:rPr>
          <w:sz w:val="28"/>
          <w:szCs w:val="28"/>
        </w:rPr>
      </w:pPr>
      <w:r>
        <w:rPr>
          <w:rFonts w:eastAsia="Calibri"/>
          <w:iCs/>
          <w:sz w:val="28"/>
          <w:szCs w:val="28"/>
          <w:lang w:val="x-none" w:eastAsia="x-none"/>
        </w:rPr>
        <w:t>1.3. Цель использования закупаемой продукции стр 3</w:t>
      </w:r>
    </w:p>
    <w:p>
      <w:pPr>
        <w:pStyle w:val="Normal"/>
        <w:numPr>
          <w:ilvl w:val="0"/>
          <w:numId w:val="0"/>
        </w:numPr>
        <w:outlineLvl w:val="0"/>
        <w:rPr>
          <w:sz w:val="28"/>
          <w:szCs w:val="28"/>
        </w:rPr>
      </w:pPr>
      <w:r>
        <w:rPr>
          <w:rFonts w:eastAsia="Calibri"/>
          <w:iCs/>
          <w:sz w:val="28"/>
          <w:szCs w:val="28"/>
          <w:lang w:val="x-none" w:eastAsia="x-none"/>
        </w:rPr>
        <w:t>1.4. Существующее положение стр 3</w:t>
      </w:r>
    </w:p>
    <w:p>
      <w:pPr>
        <w:pStyle w:val="Normal"/>
        <w:keepNext w:val="true"/>
        <w:keepLines/>
        <w:numPr>
          <w:ilvl w:val="0"/>
          <w:numId w:val="0"/>
        </w:numPr>
        <w:outlineLvl w:val="0"/>
        <w:rPr>
          <w:sz w:val="28"/>
          <w:szCs w:val="28"/>
        </w:rPr>
      </w:pPr>
      <w:r>
        <w:rPr>
          <w:iCs/>
          <w:sz w:val="28"/>
          <w:szCs w:val="28"/>
          <w:lang w:val="x-none" w:eastAsia="x-none"/>
        </w:rPr>
        <w:t xml:space="preserve">2. </w:t>
      </w:r>
      <w:bookmarkStart w:id="2" w:name="_Toc51339693_Копия_1"/>
      <w:bookmarkStart w:id="3" w:name="_Toc75446573_Копия_1"/>
      <w:r>
        <w:rPr>
          <w:iCs/>
          <w:sz w:val="28"/>
          <w:szCs w:val="28"/>
          <w:lang w:val="x-none" w:eastAsia="x-none"/>
        </w:rPr>
        <w:t>Требования к продукции</w:t>
      </w:r>
      <w:bookmarkEnd w:id="2"/>
      <w:bookmarkEnd w:id="3"/>
      <w:r>
        <w:rPr>
          <w:iCs/>
          <w:sz w:val="28"/>
          <w:szCs w:val="28"/>
          <w:lang w:val="x-none" w:eastAsia="x-none"/>
        </w:rPr>
        <w:t xml:space="preserve"> стр 3</w:t>
      </w:r>
    </w:p>
    <w:p>
      <w:pPr>
        <w:pStyle w:val="Normal"/>
        <w:keepNext w:val="true"/>
        <w:numPr>
          <w:ilvl w:val="0"/>
          <w:numId w:val="0"/>
        </w:numPr>
        <w:outlineLvl w:val="3"/>
        <w:rPr>
          <w:sz w:val="28"/>
          <w:szCs w:val="28"/>
        </w:rPr>
      </w:pPr>
      <w:r>
        <w:rPr>
          <w:sz w:val="28"/>
          <w:szCs w:val="28"/>
          <w:lang w:val="x-none" w:eastAsia="x-none"/>
        </w:rPr>
        <w:t xml:space="preserve">2.1. </w:t>
      </w:r>
      <w:bookmarkStart w:id="4" w:name="_Toc75446574_Копия_1"/>
      <w:r>
        <w:rPr>
          <w:sz w:val="28"/>
          <w:szCs w:val="28"/>
          <w:lang w:val="x-none" w:eastAsia="x-none"/>
        </w:rPr>
        <w:t>Требования к объемам и срокам поставки</w:t>
      </w:r>
      <w:bookmarkEnd w:id="4"/>
      <w:r>
        <w:rPr>
          <w:sz w:val="28"/>
          <w:szCs w:val="28"/>
          <w:lang w:val="x-none" w:eastAsia="x-none"/>
        </w:rPr>
        <w:t xml:space="preserve"> стр 3</w:t>
      </w:r>
    </w:p>
    <w:p>
      <w:pPr>
        <w:pStyle w:val="ListParagraph"/>
        <w:keepNext w:val="true"/>
        <w:numPr>
          <w:ilvl w:val="0"/>
          <w:numId w:val="0"/>
        </w:numPr>
        <w:spacing w:before="0" w:after="0"/>
        <w:ind w:left="0" w:hanging="0"/>
        <w:contextualSpacing w:val="false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  <w:lang w:val="x-none" w:eastAsia="x-none"/>
        </w:rPr>
        <w:t xml:space="preserve">2.1.1. </w:t>
      </w:r>
      <w:bookmarkStart w:id="5" w:name="_Toc75446575_Копия_1"/>
      <w:r>
        <w:rPr>
          <w:rFonts w:ascii="Times New Roman" w:hAnsi="Times New Roman"/>
          <w:iCs/>
          <w:sz w:val="28"/>
          <w:szCs w:val="28"/>
          <w:lang w:val="x-none" w:eastAsia="x-none"/>
        </w:rPr>
        <w:t>Перечень и объем закупаемой продукции</w:t>
      </w:r>
      <w:bookmarkEnd w:id="5"/>
      <w:r>
        <w:rPr>
          <w:rFonts w:ascii="Times New Roman" w:hAnsi="Times New Roman"/>
          <w:iCs/>
          <w:sz w:val="28"/>
          <w:szCs w:val="28"/>
          <w:lang w:val="x-none" w:eastAsia="x-none"/>
        </w:rPr>
        <w:t xml:space="preserve"> стр 3</w:t>
      </w:r>
    </w:p>
    <w:p>
      <w:pPr>
        <w:pStyle w:val="Normal"/>
        <w:widowControl w:val="false"/>
        <w:numPr>
          <w:ilvl w:val="0"/>
          <w:numId w:val="0"/>
        </w:numPr>
        <w:outlineLvl w:val="2"/>
        <w:rPr>
          <w:sz w:val="28"/>
          <w:szCs w:val="28"/>
        </w:rPr>
      </w:pPr>
      <w:r>
        <w:rPr>
          <w:iCs/>
          <w:sz w:val="28"/>
          <w:szCs w:val="28"/>
          <w:lang w:val="x-none" w:eastAsia="x-none"/>
        </w:rPr>
        <w:t xml:space="preserve">2.1.2. </w:t>
      </w:r>
      <w:bookmarkStart w:id="6" w:name="_Toc75446578_Копия_1"/>
      <w:bookmarkStart w:id="7" w:name="_Toc51339696_Копия_1"/>
      <w:r>
        <w:rPr>
          <w:iCs/>
          <w:sz w:val="28"/>
          <w:szCs w:val="28"/>
          <w:lang w:val="x-none" w:eastAsia="x-none"/>
        </w:rPr>
        <w:t xml:space="preserve">Требования </w:t>
      </w:r>
      <w:bookmarkEnd w:id="7"/>
      <w:r>
        <w:rPr>
          <w:iCs/>
          <w:sz w:val="28"/>
          <w:szCs w:val="28"/>
          <w:lang w:val="x-none" w:eastAsia="x-none"/>
        </w:rPr>
        <w:t>к срокам поставки продукции</w:t>
      </w:r>
      <w:bookmarkEnd w:id="6"/>
      <w:r>
        <w:rPr>
          <w:iCs/>
          <w:sz w:val="28"/>
          <w:szCs w:val="28"/>
          <w:lang w:val="x-none" w:eastAsia="x-none"/>
        </w:rPr>
        <w:t xml:space="preserve"> стр 4</w:t>
      </w:r>
    </w:p>
    <w:p>
      <w:pPr>
        <w:pStyle w:val="Normal"/>
        <w:keepNext w:val="true"/>
        <w:keepLines/>
        <w:numPr>
          <w:ilvl w:val="0"/>
          <w:numId w:val="0"/>
        </w:numPr>
        <w:outlineLvl w:val="0"/>
        <w:rPr>
          <w:sz w:val="28"/>
          <w:szCs w:val="28"/>
        </w:rPr>
      </w:pPr>
      <w:r>
        <w:rPr>
          <w:iCs/>
          <w:sz w:val="28"/>
          <w:szCs w:val="28"/>
          <w:lang w:val="x-none" w:eastAsia="x-none"/>
        </w:rPr>
        <w:t>2.2. Требования к качеству продукции стр 5-12</w:t>
      </w:r>
    </w:p>
    <w:p>
      <w:pPr>
        <w:pStyle w:val="Normal"/>
        <w:numPr>
          <w:ilvl w:val="0"/>
          <w:numId w:val="0"/>
        </w:numPr>
        <w:outlineLvl w:val="0"/>
        <w:rPr>
          <w:sz w:val="28"/>
          <w:szCs w:val="28"/>
        </w:rPr>
      </w:pPr>
      <w:r>
        <w:rPr>
          <w:sz w:val="28"/>
          <w:szCs w:val="28"/>
        </w:rPr>
        <w:t>2.3. Состав заявки стр 13</w:t>
      </w:r>
    </w:p>
    <w:p>
      <w:pPr>
        <w:pStyle w:val="Heading1"/>
        <w:rPr>
          <w:b w:val="false"/>
          <w:sz w:val="28"/>
          <w:szCs w:val="28"/>
        </w:rPr>
      </w:pPr>
      <w:bookmarkStart w:id="8" w:name="__RefHeading___Toc2215_1137777136_Копия_"/>
      <w:bookmarkEnd w:id="8"/>
      <w:r>
        <w:rPr>
          <w:b w:val="false"/>
          <w:iCs/>
          <w:sz w:val="28"/>
          <w:szCs w:val="28"/>
          <w:lang w:eastAsia="x-none"/>
        </w:rPr>
        <w:t xml:space="preserve">3. </w:t>
      </w:r>
      <w:bookmarkStart w:id="9" w:name="_Toc187745023_Копия_1"/>
      <w:bookmarkStart w:id="10" w:name="_Toc53393312_Копия_1"/>
      <w:r>
        <w:rPr>
          <w:b w:val="false"/>
          <w:iCs/>
          <w:sz w:val="28"/>
          <w:szCs w:val="28"/>
          <w:lang w:eastAsia="x-none"/>
        </w:rPr>
        <w:t>Требования к документации по ценообразованию</w:t>
      </w:r>
      <w:bookmarkEnd w:id="10"/>
      <w:r>
        <w:rPr>
          <w:b w:val="false"/>
          <w:iCs/>
          <w:sz w:val="28"/>
          <w:szCs w:val="28"/>
          <w:lang w:eastAsia="x-none"/>
        </w:rPr>
        <w:t xml:space="preserve"> на этапе закупки</w:t>
      </w:r>
      <w:bookmarkEnd w:id="9"/>
      <w:r>
        <w:rPr>
          <w:b w:val="false"/>
          <w:iCs/>
          <w:sz w:val="28"/>
          <w:szCs w:val="28"/>
          <w:lang w:eastAsia="x-none"/>
        </w:rPr>
        <w:t xml:space="preserve"> стр 13</w:t>
      </w:r>
    </w:p>
    <w:p>
      <w:pPr>
        <w:pStyle w:val="ListParagraph"/>
        <w:spacing w:before="0" w:after="0"/>
        <w:ind w:left="0" w:hanging="0"/>
        <w:contextualSpacing w:val="fals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Приложения стр 13</w:t>
      </w:r>
    </w:p>
    <w:p>
      <w:pPr>
        <w:pStyle w:val="ListParagraph"/>
        <w:spacing w:before="0" w:after="0"/>
        <w:ind w:left="0" w:hanging="0"/>
        <w:contextualSpacing w:val="fals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ListParagraph"/>
        <w:spacing w:before="0" w:after="0"/>
        <w:ind w:left="0" w:hanging="0"/>
        <w:contextualSpacing w:val="fals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br w:type="page"/>
      </w:r>
    </w:p>
    <w:p>
      <w:pPr>
        <w:pStyle w:val="ListParagraph"/>
        <w:spacing w:before="0" w:after="0"/>
        <w:ind w:left="0" w:hanging="0"/>
        <w:contextualSpacing w:val="fals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keepNext w:val="true"/>
        <w:keepLines/>
        <w:numPr>
          <w:ilvl w:val="0"/>
          <w:numId w:val="0"/>
        </w:numPr>
        <w:outlineLvl w:val="0"/>
        <w:rPr>
          <w:sz w:val="28"/>
          <w:szCs w:val="28"/>
        </w:rPr>
      </w:pPr>
      <w:r>
        <w:rPr>
          <w:b/>
          <w:iCs/>
          <w:sz w:val="28"/>
          <w:szCs w:val="28"/>
          <w:lang w:eastAsia="x-none"/>
        </w:rPr>
        <w:t>1. Общие сведения</w:t>
      </w:r>
    </w:p>
    <w:p>
      <w:pPr>
        <w:pStyle w:val="Normal"/>
        <w:numPr>
          <w:ilvl w:val="0"/>
          <w:numId w:val="0"/>
        </w:numPr>
        <w:outlineLvl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4"/>
        <w:numPr>
          <w:ilvl w:val="1"/>
          <w:numId w:val="1"/>
        </w:numPr>
        <w:rPr>
          <w:sz w:val="28"/>
          <w:szCs w:val="28"/>
        </w:rPr>
      </w:pPr>
      <w:bookmarkStart w:id="11" w:name="_Toc46743505"/>
      <w:bookmarkStart w:id="12" w:name="_Toc174438380"/>
      <w:bookmarkStart w:id="13" w:name="_Toc129093439"/>
      <w:r>
        <w:rPr>
          <w:sz w:val="28"/>
          <w:szCs w:val="28"/>
        </w:rPr>
        <w:t>Обозначения и сокращения</w:t>
      </w:r>
      <w:bookmarkEnd w:id="11"/>
      <w:bookmarkEnd w:id="12"/>
      <w:bookmarkEnd w:id="13"/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keepLines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</w:p>
    <w:p>
      <w:pPr>
        <w:pStyle w:val="BodyText"/>
        <w:tabs>
          <w:tab w:val="clear" w:pos="708"/>
          <w:tab w:val="left" w:pos="1134" w:leader="none"/>
        </w:tabs>
        <w:ind w:left="5046" w:hanging="4989"/>
        <w:rPr>
          <w:rFonts w:ascii="Times New Roman" w:hAnsi="Times New Roman"/>
          <w:sz w:val="28"/>
          <w:szCs w:val="28"/>
        </w:rPr>
      </w:pPr>
      <w:r>
        <w:rPr>
          <w:rFonts w:eastAsia="Calibri" w:cs="Times New Roman" w:ascii="Times New Roman" w:hAnsi="Times New Roman"/>
          <w:b/>
          <w:bCs/>
          <w:sz w:val="28"/>
          <w:szCs w:val="28"/>
          <w:lang w:val="x-none" w:eastAsia="x-none"/>
        </w:rPr>
        <w:t>1.2.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eastAsia="Calibri" w:cs="Times New Roman" w:ascii="Times New Roman" w:hAnsi="Times New Roman"/>
          <w:b/>
          <w:bCs/>
          <w:sz w:val="28"/>
          <w:szCs w:val="28"/>
          <w:lang w:val="x-none" w:eastAsia="x-none"/>
        </w:rPr>
        <w:t>Наименование закупаемой продукции</w:t>
      </w:r>
    </w:p>
    <w:p>
      <w:pPr>
        <w:pStyle w:val="Heading1"/>
        <w:jc w:val="both"/>
        <w:rPr>
          <w:sz w:val="28"/>
          <w:szCs w:val="28"/>
        </w:rPr>
      </w:pPr>
      <w:r>
        <w:rPr>
          <w:b w:val="false"/>
          <w:sz w:val="28"/>
          <w:szCs w:val="28"/>
        </w:rPr>
        <w:t xml:space="preserve">ОКПД2 </w:t>
      </w:r>
      <w:r>
        <w:rPr>
          <w:b w:val="false"/>
          <w:color w:val="000000"/>
          <w:sz w:val="28"/>
          <w:szCs w:val="28"/>
          <w:shd w:fill="FFFFFF" w:val="clear"/>
        </w:rPr>
        <w:t>25.11.23.119.</w:t>
      </w:r>
      <w:r>
        <w:rPr>
          <w:b w:val="false"/>
          <w:sz w:val="28"/>
          <w:szCs w:val="28"/>
        </w:rPr>
        <w:t xml:space="preserve"> </w:t>
      </w:r>
      <w:r>
        <w:rPr>
          <w:b w:val="false"/>
          <w:bCs/>
          <w:color w:val="000000"/>
          <w:sz w:val="28"/>
          <w:szCs w:val="28"/>
        </w:rPr>
        <w:t>Поставка сетки защитной для нужд филиала ПАО "РусГидро" –"Саратовская ГЭС"</w:t>
      </w:r>
      <w:r>
        <w:rPr>
          <w:b w:val="false"/>
          <w:sz w:val="28"/>
          <w:szCs w:val="28"/>
        </w:rPr>
        <w:t xml:space="preserve">. </w:t>
      </w:r>
    </w:p>
    <w:p>
      <w:pPr>
        <w:pStyle w:val="BodyText"/>
        <w:tabs>
          <w:tab w:val="clear" w:pos="708"/>
          <w:tab w:val="left" w:pos="1134" w:leader="none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</w:r>
    </w:p>
    <w:p>
      <w:pPr>
        <w:pStyle w:val="BodyText"/>
        <w:tabs>
          <w:tab w:val="clear" w:pos="708"/>
          <w:tab w:val="left" w:pos="1134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1.3. Цель использования закупаемой продукции</w:t>
      </w:r>
    </w:p>
    <w:p>
      <w:pPr>
        <w:pStyle w:val="Normal"/>
        <w:tabs>
          <w:tab w:val="clear" w:pos="708"/>
          <w:tab w:val="left" w:pos="1134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1.2.1. </w:t>
      </w:r>
      <w:r>
        <w:rPr>
          <w:bCs/>
          <w:color w:val="000000"/>
          <w:sz w:val="28"/>
          <w:szCs w:val="28"/>
        </w:rPr>
        <w:t>Поставка сетки защитной для нужд филиала ПАО "РусГидро" –"Саратовская ГЭС"</w:t>
      </w:r>
      <w:r>
        <w:rPr>
          <w:sz w:val="28"/>
          <w:szCs w:val="28"/>
          <w:lang w:eastAsia="x-none"/>
        </w:rPr>
        <w:t xml:space="preserve"> необходима для </w:t>
      </w:r>
      <w:r>
        <w:rPr>
          <w:color w:val="000000"/>
          <w:sz w:val="28"/>
          <w:szCs w:val="28"/>
          <w:shd w:fill="FFFFFF" w:val="clear"/>
          <w:lang w:eastAsia="x-none"/>
        </w:rPr>
        <w:t>выполнения защиты остекления фасадов и торцов здания ГЭС с левого и правого берегов, а так же для защиты фасада здания ЦПУ.</w:t>
      </w:r>
    </w:p>
    <w:p>
      <w:pPr>
        <w:pStyle w:val="Normal"/>
        <w:tabs>
          <w:tab w:val="clear" w:pos="708"/>
          <w:tab w:val="left" w:pos="1134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tabs>
          <w:tab w:val="clear" w:pos="708"/>
          <w:tab w:val="left" w:pos="1134" w:leader="none"/>
        </w:tabs>
        <w:jc w:val="both"/>
        <w:rPr>
          <w:sz w:val="28"/>
          <w:szCs w:val="28"/>
        </w:rPr>
      </w:pPr>
      <w:r>
        <w:rPr>
          <w:rFonts w:eastAsia="Calibri"/>
          <w:b/>
          <w:bCs/>
          <w:sz w:val="28"/>
          <w:szCs w:val="28"/>
          <w:lang w:val="x-none" w:eastAsia="x-none"/>
        </w:rPr>
        <w:t>1.4. Существующее положение</w:t>
      </w:r>
    </w:p>
    <w:p>
      <w:pPr>
        <w:pStyle w:val="Normal"/>
        <w:tabs>
          <w:tab w:val="clear" w:pos="708"/>
          <w:tab w:val="left" w:pos="1134" w:leader="none"/>
        </w:tabs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val="x-none" w:eastAsia="x-none"/>
        </w:rPr>
        <w:t>На Филиале отсутствует защита фасадов здания ГЭС и фасада здания ЦПУ от воздействия БПЛА.</w:t>
      </w:r>
    </w:p>
    <w:p>
      <w:pPr>
        <w:pStyle w:val="Normal"/>
        <w:tabs>
          <w:tab w:val="clear" w:pos="708"/>
          <w:tab w:val="left" w:pos="1134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keepNext w:val="true"/>
        <w:keepLines/>
        <w:numPr>
          <w:ilvl w:val="0"/>
          <w:numId w:val="0"/>
        </w:numPr>
        <w:jc w:val="center"/>
        <w:outlineLvl w:val="0"/>
        <w:rPr>
          <w:sz w:val="28"/>
          <w:szCs w:val="28"/>
        </w:rPr>
      </w:pPr>
      <w:r>
        <w:rPr>
          <w:b/>
          <w:iCs/>
          <w:sz w:val="28"/>
          <w:szCs w:val="28"/>
          <w:lang w:val="x-none" w:eastAsia="x-none"/>
        </w:rPr>
        <w:t xml:space="preserve">2. </w:t>
      </w:r>
      <w:bookmarkStart w:id="14" w:name="_Toc75446573"/>
      <w:bookmarkStart w:id="15" w:name="_Toc51339693"/>
      <w:r>
        <w:rPr>
          <w:b/>
          <w:iCs/>
          <w:sz w:val="28"/>
          <w:szCs w:val="28"/>
          <w:lang w:val="x-none" w:eastAsia="x-none"/>
        </w:rPr>
        <w:t>Требования к продукции</w:t>
      </w:r>
      <w:bookmarkEnd w:id="14"/>
      <w:bookmarkEnd w:id="15"/>
    </w:p>
    <w:p>
      <w:pPr>
        <w:pStyle w:val="Normal"/>
        <w:numPr>
          <w:ilvl w:val="0"/>
          <w:numId w:val="0"/>
        </w:numPr>
        <w:jc w:val="center"/>
        <w:outlineLvl w:val="0"/>
        <w:rPr>
          <w:b/>
          <w:iCs/>
          <w:sz w:val="28"/>
          <w:szCs w:val="28"/>
          <w:lang w:val="x-none" w:eastAsia="x-none"/>
        </w:rPr>
      </w:pPr>
      <w:r>
        <w:rPr>
          <w:b/>
          <w:iCs/>
          <w:sz w:val="28"/>
          <w:szCs w:val="28"/>
          <w:lang w:val="x-none" w:eastAsia="x-none"/>
        </w:rPr>
      </w:r>
    </w:p>
    <w:p>
      <w:pPr>
        <w:pStyle w:val="Normal"/>
        <w:keepNext w:val="true"/>
        <w:numPr>
          <w:ilvl w:val="0"/>
          <w:numId w:val="0"/>
        </w:numPr>
        <w:outlineLvl w:val="3"/>
        <w:rPr>
          <w:sz w:val="28"/>
          <w:szCs w:val="28"/>
        </w:rPr>
      </w:pPr>
      <w:r>
        <w:rPr>
          <w:b/>
          <w:bCs/>
          <w:sz w:val="28"/>
          <w:szCs w:val="28"/>
          <w:lang w:val="x-none" w:eastAsia="x-none"/>
        </w:rPr>
        <w:t xml:space="preserve">2.1. </w:t>
      </w:r>
      <w:bookmarkStart w:id="16" w:name="_Toc75446574"/>
      <w:r>
        <w:rPr>
          <w:b/>
          <w:bCs/>
          <w:sz w:val="28"/>
          <w:szCs w:val="28"/>
          <w:lang w:val="x-none" w:eastAsia="x-none"/>
        </w:rPr>
        <w:t>Требования к объемам и срокам поставки</w:t>
      </w:r>
      <w:bookmarkEnd w:id="16"/>
    </w:p>
    <w:p>
      <w:pPr>
        <w:pStyle w:val="Normal"/>
        <w:numPr>
          <w:ilvl w:val="0"/>
          <w:numId w:val="0"/>
        </w:numPr>
        <w:outlineLvl w:val="3"/>
        <w:rPr>
          <w:b/>
          <w:bCs/>
          <w:sz w:val="28"/>
          <w:szCs w:val="28"/>
          <w:lang w:val="x-none" w:eastAsia="x-none"/>
        </w:rPr>
      </w:pPr>
      <w:r>
        <w:rPr>
          <w:b/>
          <w:bCs/>
          <w:sz w:val="28"/>
          <w:szCs w:val="28"/>
          <w:lang w:val="x-none" w:eastAsia="x-none"/>
        </w:rPr>
      </w:r>
    </w:p>
    <w:p>
      <w:pPr>
        <w:pStyle w:val="ListParagraph"/>
        <w:keepNext w:val="true"/>
        <w:numPr>
          <w:ilvl w:val="0"/>
          <w:numId w:val="0"/>
        </w:numPr>
        <w:spacing w:before="0" w:after="0"/>
        <w:ind w:left="0" w:hanging="0"/>
        <w:contextualSpacing w:val="false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  <w:lang w:val="x-none" w:eastAsia="x-none"/>
        </w:rPr>
        <w:t xml:space="preserve">2.1.1. </w:t>
      </w:r>
      <w:bookmarkStart w:id="17" w:name="_Toc75446575"/>
      <w:r>
        <w:rPr>
          <w:rFonts w:ascii="Times New Roman" w:hAnsi="Times New Roman"/>
          <w:b/>
          <w:bCs/>
          <w:sz w:val="28"/>
          <w:szCs w:val="28"/>
          <w:lang w:val="x-none" w:eastAsia="x-none"/>
        </w:rPr>
        <w:t>Перечень и объем закупаемой продукции</w:t>
      </w:r>
      <w:bookmarkEnd w:id="17"/>
    </w:p>
    <w:p>
      <w:pPr>
        <w:pStyle w:val="ListParagraph"/>
        <w:numPr>
          <w:ilvl w:val="0"/>
          <w:numId w:val="0"/>
        </w:numPr>
        <w:spacing w:before="0" w:after="0"/>
        <w:ind w:left="0" w:hanging="0"/>
        <w:contextualSpacing w:val="false"/>
        <w:outlineLvl w:val="2"/>
        <w:rPr>
          <w:rFonts w:ascii="Times New Roman" w:hAnsi="Times New Roman"/>
          <w:b/>
          <w:bCs/>
          <w:sz w:val="28"/>
          <w:szCs w:val="28"/>
          <w:lang w:val="x-none" w:eastAsia="x-none"/>
        </w:rPr>
      </w:pPr>
      <w:r>
        <w:rPr>
          <w:rFonts w:ascii="Times New Roman" w:hAnsi="Times New Roman"/>
          <w:b/>
          <w:bCs/>
          <w:sz w:val="28"/>
          <w:szCs w:val="28"/>
          <w:lang w:val="x-none" w:eastAsia="x-none"/>
        </w:rPr>
      </w:r>
    </w:p>
    <w:p>
      <w:pPr>
        <w:pStyle w:val="Heading1"/>
        <w:rPr>
          <w:sz w:val="28"/>
          <w:szCs w:val="28"/>
        </w:rPr>
      </w:pPr>
      <w:bookmarkStart w:id="18" w:name="_Toc75446576"/>
      <w:bookmarkStart w:id="19" w:name="_Toc51339695"/>
      <w:r>
        <w:rPr>
          <w:rFonts w:eastAsia="Calibri"/>
          <w:sz w:val="28"/>
          <w:szCs w:val="28"/>
        </w:rPr>
        <w:t xml:space="preserve">Таблица 1. Перечень </w:t>
      </w:r>
      <w:bookmarkEnd w:id="19"/>
      <w:r>
        <w:rPr>
          <w:rFonts w:eastAsia="Calibri"/>
          <w:sz w:val="28"/>
          <w:szCs w:val="28"/>
        </w:rPr>
        <w:t>и объем закупаемой продукции</w:t>
      </w:r>
      <w:bookmarkEnd w:id="18"/>
    </w:p>
    <w:tbl>
      <w:tblPr>
        <w:tblW w:w="9704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80"/>
        <w:gridCol w:w="4067"/>
        <w:gridCol w:w="2185"/>
        <w:gridCol w:w="2571"/>
      </w:tblGrid>
      <w:tr>
        <w:trPr>
          <w:trHeight w:val="770" w:hRule="atLeast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>
          <w:trHeight w:val="268" w:hRule="atLeast"/>
        </w:trPr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>
        <w:trPr>
          <w:trHeight w:val="595" w:hRule="atLeast"/>
        </w:trPr>
        <w:tc>
          <w:tcPr>
            <w:tcW w:w="8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40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themeFill="background1" w:val="clear"/>
          </w:tcPr>
          <w:p>
            <w:pPr>
              <w:pStyle w:val="Style13"/>
              <w:widowControl w:val="false"/>
              <w:tabs>
                <w:tab w:val="clear" w:pos="708"/>
                <w:tab w:val="left" w:pos="1073" w:leader="none"/>
              </w:tabs>
              <w:rPr/>
            </w:pPr>
            <w:r>
              <w:rPr>
                <w:sz w:val="24"/>
                <w:szCs w:val="24"/>
              </w:rPr>
              <w:t>Сетка полипропиленовая защитная, упрочненная с антистатиком и антипиреном (ячейка 40*40мм)</w:t>
            </w:r>
          </w:p>
        </w:tc>
        <w:tc>
          <w:tcPr>
            <w:tcW w:w="2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>
              <w:rPr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25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3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1200</w:t>
            </w:r>
          </w:p>
        </w:tc>
      </w:tr>
    </w:tbl>
    <w:p>
      <w:pPr>
        <w:pStyle w:val="Normal"/>
        <w:widowControl w:val="false"/>
        <w:numPr>
          <w:ilvl w:val="0"/>
          <w:numId w:val="0"/>
        </w:numPr>
        <w:outlineLvl w:val="2"/>
        <w:rPr>
          <w:b/>
          <w:sz w:val="28"/>
          <w:szCs w:val="28"/>
          <w:lang w:eastAsia="x-none"/>
        </w:rPr>
      </w:pPr>
      <w:r>
        <w:rPr>
          <w:b/>
          <w:sz w:val="28"/>
          <w:szCs w:val="28"/>
          <w:lang w:eastAsia="x-none"/>
        </w:rPr>
      </w:r>
    </w:p>
    <w:p>
      <w:pPr>
        <w:pStyle w:val="Normal"/>
        <w:widowControl w:val="false"/>
        <w:numPr>
          <w:ilvl w:val="0"/>
          <w:numId w:val="0"/>
        </w:numPr>
        <w:outlineLvl w:val="2"/>
        <w:rPr/>
      </w:pPr>
      <w:r>
        <w:rPr>
          <w:b/>
          <w:sz w:val="28"/>
          <w:szCs w:val="28"/>
          <w:lang w:eastAsia="x-none"/>
        </w:rPr>
        <w:t xml:space="preserve">2.1.2. </w:t>
      </w:r>
      <w:bookmarkStart w:id="20" w:name="_Toc75446578"/>
      <w:bookmarkStart w:id="21" w:name="_Toc51339696"/>
      <w:r>
        <w:rPr>
          <w:b/>
          <w:sz w:val="28"/>
          <w:szCs w:val="28"/>
          <w:lang w:eastAsia="x-none"/>
        </w:rPr>
        <w:t xml:space="preserve">Требования </w:t>
      </w:r>
      <w:bookmarkEnd w:id="21"/>
      <w:r>
        <w:rPr>
          <w:b/>
          <w:sz w:val="28"/>
          <w:szCs w:val="28"/>
          <w:lang w:eastAsia="x-none"/>
        </w:rPr>
        <w:t>к срокам поставки продукции</w:t>
      </w:r>
      <w:bookmarkEnd w:id="20"/>
    </w:p>
    <w:p>
      <w:pPr>
        <w:pStyle w:val="Normal"/>
        <w:widowControl w:val="false"/>
        <w:numPr>
          <w:ilvl w:val="0"/>
          <w:numId w:val="0"/>
        </w:numPr>
        <w:outlineLvl w:val="2"/>
        <w:rPr>
          <w:b/>
          <w:bCs/>
          <w:sz w:val="28"/>
          <w:szCs w:val="28"/>
          <w:shd w:fill="FFFF00" w:val="clear"/>
          <w:lang w:eastAsia="x-none"/>
        </w:rPr>
      </w:pPr>
      <w:r>
        <w:rPr>
          <w:b/>
          <w:bCs/>
          <w:sz w:val="28"/>
          <w:szCs w:val="28"/>
          <w:shd w:fill="FFFF00" w:val="clear"/>
          <w:lang w:eastAsia="x-none"/>
        </w:rPr>
      </w:r>
    </w:p>
    <w:p>
      <w:pPr>
        <w:pStyle w:val="Normal"/>
        <w:jc w:val="both"/>
        <w:rPr/>
      </w:pPr>
      <w:bookmarkStart w:id="22" w:name="_Toc75446579"/>
      <w:bookmarkStart w:id="23" w:name="_Toc50125127"/>
      <w:bookmarkStart w:id="24" w:name="_Toc51339697"/>
      <w:r>
        <w:rPr>
          <w:b/>
          <w:sz w:val="28"/>
          <w:szCs w:val="28"/>
          <w:lang w:val="x-none" w:eastAsia="x-none"/>
        </w:rPr>
        <w:t xml:space="preserve">Таблица 2. </w:t>
      </w:r>
      <w:bookmarkStart w:id="25" w:name="_Hlk50465284"/>
      <w:r>
        <w:rPr>
          <w:b/>
          <w:sz w:val="28"/>
          <w:szCs w:val="28"/>
          <w:lang w:val="x-none" w:eastAsia="x-none"/>
        </w:rPr>
        <w:t xml:space="preserve">Требования по срокам </w:t>
      </w:r>
      <w:bookmarkEnd w:id="23"/>
      <w:bookmarkEnd w:id="24"/>
      <w:bookmarkEnd w:id="25"/>
      <w:r>
        <w:rPr>
          <w:b/>
          <w:sz w:val="28"/>
          <w:szCs w:val="28"/>
          <w:lang w:val="x-none" w:eastAsia="x-none"/>
        </w:rPr>
        <w:t>поставки продукции</w:t>
      </w:r>
      <w:bookmarkEnd w:id="22"/>
      <w:r>
        <w:rPr>
          <w:b/>
          <w:sz w:val="28"/>
          <w:szCs w:val="28"/>
          <w:lang w:val="x-none" w:eastAsia="x-none"/>
        </w:rPr>
        <w:t xml:space="preserve"> </w:t>
      </w:r>
    </w:p>
    <w:tbl>
      <w:tblPr>
        <w:tblW w:w="9921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79"/>
        <w:gridCol w:w="2824"/>
        <w:gridCol w:w="2962"/>
        <w:gridCol w:w="3255"/>
      </w:tblGrid>
      <w:tr>
        <w:trPr>
          <w:trHeight w:val="707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>
          <w:trHeight w:val="335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808" w:hRule="atLeast"/>
        </w:trPr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</w:tc>
        <w:tc>
          <w:tcPr>
            <w:tcW w:w="2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Комплект продукции в объемах указанных в таблице № 1</w:t>
            </w:r>
          </w:p>
        </w:tc>
        <w:tc>
          <w:tcPr>
            <w:tcW w:w="2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даты, следующей за днем заключения договора</w:t>
            </w:r>
          </w:p>
        </w:tc>
        <w:tc>
          <w:tcPr>
            <w:tcW w:w="3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  <w:lang w:val="x-none" w:eastAsia="x-none"/>
              </w:rPr>
              <w:t>В течении 30 (тридцати) календарных дней с даты заключения договора</w:t>
            </w:r>
          </w:p>
        </w:tc>
      </w:tr>
    </w:tbl>
    <w:p>
      <w:p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</w:pPr>
      <w:r>
        <w:br w:type="page"/>
      </w:r>
    </w:p>
    <w:p>
      <w:pPr>
        <w:pStyle w:val="Normal"/>
        <w:keepNext w:val="true"/>
        <w:keepLines/>
        <w:numPr>
          <w:ilvl w:val="0"/>
          <w:numId w:val="0"/>
        </w:numPr>
        <w:outlineLvl w:val="0"/>
        <w:rPr>
          <w:sz w:val="28"/>
          <w:szCs w:val="28"/>
        </w:rPr>
      </w:pPr>
      <w:r>
        <w:rPr>
          <w:b/>
          <w:sz w:val="28"/>
          <w:szCs w:val="28"/>
          <w:lang w:eastAsia="x-none"/>
        </w:rPr>
        <w:t>2.2. Требования к качеству продукции</w:t>
      </w:r>
    </w:p>
    <w:p>
      <w:pPr>
        <w:pStyle w:val="Normal"/>
        <w:keepNext w:val="true"/>
        <w:keepLines/>
        <w:numPr>
          <w:ilvl w:val="0"/>
          <w:numId w:val="0"/>
        </w:numPr>
        <w:outlineLvl w:val="0"/>
        <w:rPr>
          <w:sz w:val="28"/>
          <w:szCs w:val="28"/>
        </w:rPr>
      </w:pPr>
      <w:r>
        <w:rPr>
          <w:b/>
          <w:sz w:val="28"/>
          <w:szCs w:val="28"/>
          <w:lang w:val="x-none" w:eastAsia="x-none"/>
        </w:rPr>
        <w:t>Таблица 3. Требования к продукции</w:t>
      </w:r>
    </w:p>
    <w:p>
      <w:pPr>
        <w:pStyle w:val="BodyText"/>
        <w:tabs>
          <w:tab w:val="clear" w:pos="708"/>
          <w:tab w:val="left" w:pos="851" w:leader="none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15126" w:type="dxa"/>
        <w:jc w:val="left"/>
        <w:tblInd w:w="15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95"/>
        <w:gridCol w:w="2677"/>
        <w:gridCol w:w="3428"/>
        <w:gridCol w:w="2550"/>
        <w:gridCol w:w="1985"/>
        <w:gridCol w:w="3690"/>
      </w:tblGrid>
      <w:tr>
        <w:trPr>
          <w:tblHeader w:val="true"/>
          <w:trHeight w:val="649" w:hRule="atLeast"/>
        </w:trPr>
        <w:tc>
          <w:tcPr>
            <w:tcW w:w="7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r>
              <w:rPr>
                <w:b/>
                <w:sz w:val="24"/>
                <w:szCs w:val="24"/>
              </w:rPr>
              <w:t>п/п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параметра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Требование Покупателя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45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Способ подтверждения участником соответствия требованиям</w:t>
            </w:r>
          </w:p>
        </w:tc>
        <w:tc>
          <w:tcPr>
            <w:tcW w:w="3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b/>
                <w:bCs/>
                <w:sz w:val="24"/>
                <w:szCs w:val="24"/>
              </w:rPr>
              <w:t>Предложение участника по характеристикам и параметрам</w:t>
            </w:r>
          </w:p>
        </w:tc>
      </w:tr>
      <w:tr>
        <w:trPr>
          <w:tblHeader w:val="true"/>
          <w:trHeight w:val="649" w:hRule="atLeast"/>
        </w:trPr>
        <w:tc>
          <w:tcPr>
            <w:tcW w:w="79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6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2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требованием/ указание характеристик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Предоставление подтверждающего документа или иной способ </w:t>
            </w:r>
            <w:r>
              <w:rPr>
                <w:color w:val="000000"/>
                <w:sz w:val="24"/>
                <w:szCs w:val="24"/>
              </w:rPr>
              <w:t>подтверждения</w:t>
            </w:r>
          </w:p>
        </w:tc>
        <w:tc>
          <w:tcPr>
            <w:tcW w:w="36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</w:r>
          </w:p>
        </w:tc>
      </w:tr>
      <w:tr>
        <w:trPr>
          <w:tblHeader w:val="true"/>
          <w:trHeight w:val="498" w:hRule="atLeas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1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2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3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  <w:lang w:val="en-US"/>
              </w:rPr>
              <w:t>6</w:t>
            </w:r>
          </w:p>
        </w:tc>
      </w:tr>
      <w:tr>
        <w:trPr>
          <w:trHeight w:val="636" w:hRule="atLeas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0" w:after="0"/>
              <w:ind w:left="0" w:hanging="0"/>
              <w:contextualSpacing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>
          <w:trHeight w:val="597" w:hRule="atLeas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1.1.</w:t>
            </w:r>
          </w:p>
          <w:p>
            <w:pPr>
              <w:pStyle w:val="BodyText"/>
              <w:widowControl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Продукция, указанная в таблице № 1</w:t>
            </w:r>
          </w:p>
          <w:p>
            <w:pPr>
              <w:pStyle w:val="BodyText"/>
              <w:widowControl w:val="false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Поставляемая продукция должна быть новой, ранее не использованной, не бывшей в употреблении, не восстановленной после ремонта.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BodyText"/>
              <w:widowControl w:val="false"/>
              <w:jc w:val="center"/>
              <w:rPr>
                <w:sz w:val="18"/>
                <w:szCs w:val="28"/>
              </w:rPr>
            </w:pPr>
            <w:r>
              <w:rPr>
                <w:rFonts w:ascii="Times New Roman" w:hAnsi="Times New Roman"/>
                <w:color w:val="000000"/>
                <w:sz w:val="24"/>
                <w:szCs w:val="28"/>
              </w:rPr>
              <w:t>Согласие с требованием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4"/>
                <w:szCs w:val="28"/>
              </w:rPr>
            </w:pPr>
            <w:r>
              <w:rPr>
                <w:rFonts w:eastAsia="Calibri"/>
                <w:sz w:val="24"/>
                <w:szCs w:val="28"/>
              </w:rPr>
              <w:t>Предоставление сертификатов, паспортов и другой документации подтверждающей состояние продукции</w:t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</w:p>
        </w:tc>
      </w:tr>
      <w:tr>
        <w:trPr>
          <w:trHeight w:val="678" w:hRule="atLeas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0" w:after="0"/>
              <w:ind w:left="0" w:hanging="0"/>
              <w:contextualSpacing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43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Требования к конструкции, изготовлению и материалам</w:t>
            </w:r>
          </w:p>
        </w:tc>
      </w:tr>
      <w:tr>
        <w:trPr>
          <w:trHeight w:val="970" w:hRule="atLeas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0" w:after="0"/>
              <w:ind w:left="0" w:hanging="0"/>
              <w:contextualSpacing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Продукция указанная в таблице № 1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Calibri"/>
                <w:bCs/>
                <w:color w:val="000000"/>
                <w:sz w:val="24"/>
                <w:szCs w:val="24"/>
              </w:rPr>
              <w:t>Материал продукции должен соответствовать требованиям ГОСТ, ТУ и т.д.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Согласие с требованием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eastAsia="Calibri"/>
                <w:bCs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</w:r>
          </w:p>
        </w:tc>
      </w:tr>
      <w:tr>
        <w:trPr>
          <w:trHeight w:val="306" w:hRule="atLeas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0" w:after="0"/>
              <w:ind w:left="0" w:hanging="0"/>
              <w:contextualSpacing w:val="false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43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Требования к климатическому исполнению и стойкости к воздействующим климатическим факторам</w:t>
            </w:r>
          </w:p>
        </w:tc>
      </w:tr>
      <w:tr>
        <w:trPr>
          <w:trHeight w:val="835" w:hRule="atLeas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0" w:after="0"/>
              <w:ind w:left="0" w:hanging="0"/>
              <w:contextualSpacing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Calibri"/>
                <w:bCs/>
                <w:sz w:val="24"/>
                <w:szCs w:val="24"/>
              </w:rPr>
              <w:t>Климатическое исполнение поставляемой продукции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Климатическое исполнение – У 4/1 (постоянное воздействие пресной воды и воздуха).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iCs/>
                <w:sz w:val="28"/>
                <w:szCs w:val="28"/>
              </w:rPr>
            </w:pPr>
            <w:r>
              <w:rPr>
                <w:rFonts w:eastAsia="Calibri"/>
                <w:iCs/>
                <w:sz w:val="28"/>
                <w:szCs w:val="28"/>
              </w:rPr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rFonts w:eastAsia="Calibri"/>
                <w:iCs/>
                <w:sz w:val="28"/>
                <w:szCs w:val="28"/>
              </w:rPr>
            </w:pPr>
            <w:r>
              <w:rPr>
                <w:rFonts w:eastAsia="Calibri"/>
                <w:iCs/>
                <w:sz w:val="28"/>
                <w:szCs w:val="28"/>
              </w:rPr>
            </w:r>
          </w:p>
        </w:tc>
      </w:tr>
      <w:tr>
        <w:trPr>
          <w:trHeight w:val="780" w:hRule="atLeas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0" w:after="0"/>
              <w:ind w:left="0" w:hanging="0"/>
              <w:contextualSpacing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43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>
        <w:trPr>
          <w:trHeight w:val="574" w:hRule="atLeas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0" w:after="0"/>
              <w:ind w:left="0" w:hanging="0"/>
              <w:contextualSpacing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Место поставки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РФ, 413865, Саратовская обл., г.  Балаково, территория Саратовской ГЭС.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</w:p>
        </w:tc>
      </w:tr>
      <w:tr>
        <w:trPr>
          <w:trHeight w:val="574" w:hRule="atLeast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0" w:after="0"/>
              <w:ind w:left="0" w:hanging="0"/>
              <w:contextualSpacing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2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Время поставки продукции</w:t>
            </w:r>
          </w:p>
        </w:tc>
        <w:tc>
          <w:tcPr>
            <w:tcW w:w="3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 рабочие дни с 8-00 до 12-00 и с 13-00 до 16-00 (по местному времени), в пятницу не позднее 12-00 ч.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tcW w:w="3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</w:p>
        </w:tc>
      </w:tr>
      <w:tr>
        <w:trPr>
          <w:trHeight w:val="574" w:hRule="atLeast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0" w:after="0"/>
              <w:ind w:left="0" w:hanging="0"/>
              <w:contextualSpacing w:val="false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2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8"/>
              </w:rPr>
            </w:pPr>
            <w:r>
              <w:rPr>
                <w:rFonts w:eastAsia="Calibri"/>
                <w:sz w:val="24"/>
                <w:szCs w:val="28"/>
              </w:rPr>
              <w:t>Информация о транспорте</w:t>
            </w:r>
          </w:p>
        </w:tc>
        <w:tc>
          <w:tcPr>
            <w:tcW w:w="3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8"/>
              </w:rPr>
            </w:pPr>
            <w:r>
              <w:rPr>
                <w:rFonts w:eastAsia="Calibri"/>
                <w:sz w:val="24"/>
                <w:szCs w:val="28"/>
              </w:rPr>
              <w:t>для оформления допуска на территорию филиала ПАО «РусГидро» - «Саратовская ГЭС» информация о транспорте предоставляется Покупателю не позднее чем за 2 рабочих дня, предшествующих дню поставки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tcW w:w="3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</w:p>
        </w:tc>
      </w:tr>
      <w:tr>
        <w:trPr>
          <w:trHeight w:val="650" w:hRule="atLeas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0" w:after="0"/>
              <w:ind w:left="0" w:hanging="0"/>
              <w:contextualSpacing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43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</w:tr>
      <w:tr>
        <w:trPr>
          <w:trHeight w:val="854" w:hRule="atLeas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0" w:after="0"/>
              <w:ind w:left="0" w:hanging="0"/>
              <w:contextualSpacing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Срок гарантии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Срок гарантии должен составлять не менее 12 месяцев с даты подписания товарной накладной по форме ТОРГ-12 или универсального передаточного документа (УПД)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</w:p>
        </w:tc>
      </w:tr>
      <w:tr>
        <w:trPr>
          <w:trHeight w:val="854" w:hRule="atLeast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0" w:after="0"/>
              <w:ind w:left="0" w:hanging="0"/>
              <w:contextualSpacing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‍</w:t>
            </w:r>
            <w:r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2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 службы</w:t>
            </w:r>
          </w:p>
        </w:tc>
        <w:tc>
          <w:tcPr>
            <w:tcW w:w="3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Не менее 120 месяцев с даты подписания акта приемки</w:t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tcW w:w="3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</w:p>
        </w:tc>
      </w:tr>
      <w:tr>
        <w:trPr>
          <w:trHeight w:val="605" w:hRule="atLeas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0" w:after="0"/>
              <w:ind w:left="0" w:hanging="0"/>
              <w:contextualSpacing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43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>
          <w:trHeight w:val="132" w:hRule="atLeas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spacing w:before="0" w:after="0"/>
              <w:ind w:left="0" w:hanging="0"/>
              <w:contextualSpacing w:val="false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Документы, передаваемые вместе с продукцией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Поставщик обязан одновременно с передачей продукции передать Покупателю относящиеся к нему документы, на русском языке, оформленные надлежащим образом: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0" w:leader="none"/>
                <w:tab w:val="left" w:pos="900" w:leader="none"/>
              </w:tabs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 xml:space="preserve"> </w:t>
            </w:r>
            <w:r>
              <w:rPr>
                <w:rFonts w:eastAsia="Calibri"/>
                <w:iCs/>
                <w:sz w:val="24"/>
                <w:szCs w:val="24"/>
              </w:rPr>
              <w:t>- паспорт;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0" w:leader="none"/>
                <w:tab w:val="left" w:pos="900" w:leader="none"/>
              </w:tabs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- сертификаты качества;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0" w:leader="none"/>
                <w:tab w:val="left" w:pos="900" w:leader="none"/>
              </w:tabs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- руководство по эксплуатации;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0" w:leader="none"/>
                <w:tab w:val="left" w:pos="900" w:leader="none"/>
              </w:tabs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- упаковочные ярлыки;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0" w:leader="none"/>
                <w:tab w:val="left" w:pos="900" w:leader="none"/>
              </w:tabs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- товарно-транспортную накладную формы №1-Т;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0" w:leader="none"/>
                <w:tab w:val="left" w:pos="900" w:leader="none"/>
              </w:tabs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- товарную накладную унифицированной формы ТОРГ-12 в 2 экз.;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8"/>
                <w:tab w:val="left" w:pos="0" w:leader="none"/>
                <w:tab w:val="left" w:pos="900" w:leader="none"/>
              </w:tabs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iCs/>
                <w:sz w:val="24"/>
                <w:szCs w:val="24"/>
              </w:rPr>
              <w:t>- инструкцию по хранению.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  <w:iCs/>
                <w:sz w:val="28"/>
                <w:szCs w:val="28"/>
              </w:rPr>
            </w:pPr>
            <w:r>
              <w:rPr>
                <w:rFonts w:eastAsia="Calibri"/>
                <w:iCs/>
                <w:sz w:val="28"/>
                <w:szCs w:val="28"/>
              </w:rPr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  <w:iCs/>
                <w:sz w:val="28"/>
                <w:szCs w:val="28"/>
              </w:rPr>
            </w:pPr>
            <w:r>
              <w:rPr>
                <w:rFonts w:eastAsia="Calibri"/>
                <w:iCs/>
                <w:sz w:val="28"/>
                <w:szCs w:val="28"/>
              </w:rPr>
            </w:r>
          </w:p>
        </w:tc>
      </w:tr>
      <w:tr>
        <w:trPr>
          <w:trHeight w:val="830" w:hRule="atLeas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43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</w:tr>
      <w:tr>
        <w:trPr>
          <w:trHeight w:val="3106" w:hRule="atLeas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7.1.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Соответствие </w:t>
            </w:r>
            <w:r>
              <w:rPr>
                <w:rFonts w:eastAsia="Calibri"/>
                <w:iCs/>
                <w:sz w:val="24"/>
                <w:szCs w:val="24"/>
              </w:rPr>
              <w:t>продукции</w:t>
            </w:r>
            <w:r>
              <w:rPr>
                <w:rFonts w:eastAsia="Calibri"/>
                <w:sz w:val="24"/>
                <w:szCs w:val="24"/>
              </w:rPr>
              <w:t xml:space="preserve"> стандартам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ГОСТ 2224-93. Коуши стальные для стальных канатов;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ГОСТ 3241-91 Канаты стальные. Технические условия;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ГОСТ 27321-2018. Леса стоечные приставные для строительно-монтажных работ. Технические условия;</w:t>
            </w:r>
          </w:p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ГОСТ 13186-67 Зажимы для стальных канатов.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</w:p>
        </w:tc>
      </w:tr>
      <w:tr>
        <w:trPr>
          <w:trHeight w:val="70" w:hRule="atLeas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43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Требования к обязательствам Поставщика, влияющим на исполнение договора</w:t>
            </w:r>
          </w:p>
        </w:tc>
      </w:tr>
      <w:tr>
        <w:trPr>
          <w:trHeight w:val="1367" w:hRule="atLeast"/>
        </w:trPr>
        <w:tc>
          <w:tcPr>
            <w:tcW w:w="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8.1.</w:t>
            </w:r>
          </w:p>
        </w:tc>
        <w:tc>
          <w:tcPr>
            <w:tcW w:w="2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Условия поставки </w:t>
            </w:r>
            <w:r>
              <w:rPr>
                <w:rFonts w:eastAsia="Calibri"/>
                <w:iCs/>
                <w:sz w:val="24"/>
                <w:szCs w:val="24"/>
              </w:rPr>
              <w:t>продукции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Поставщик обязан обеспечить поставку продукции своими силами и за счет собственных средств. При привлечении третьих лиц (соисполнителей) Поставщик несет ответственность перед Покупателем за неисполнение или ненадлежащее исполнение обязательств, привлеченными к исполнению договора третьими лицами.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tcW w:w="3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</w:p>
        </w:tc>
      </w:tr>
      <w:tr>
        <w:trPr>
          <w:trHeight w:val="1367" w:hRule="atLeast"/>
        </w:trPr>
        <w:tc>
          <w:tcPr>
            <w:tcW w:w="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‍</w:t>
            </w:r>
            <w:r>
              <w:rPr>
                <w:sz w:val="24"/>
                <w:szCs w:val="24"/>
              </w:rPr>
              <w:t>8.2</w:t>
            </w:r>
          </w:p>
        </w:tc>
        <w:tc>
          <w:tcPr>
            <w:tcW w:w="267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в отношении процедуры приемки товаров, поступающих на склад заказчика</w:t>
            </w:r>
          </w:p>
        </w:tc>
        <w:tc>
          <w:tcPr>
            <w:tcW w:w="34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/>
            </w:r>
          </w:p>
        </w:tc>
        <w:tc>
          <w:tcPr>
            <w:tcW w:w="25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</w:p>
        </w:tc>
        <w:tc>
          <w:tcPr>
            <w:tcW w:w="36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1701" w:footer="0" w:bottom="851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ind w:hanging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1"/>
        <w:ind w:left="357" w:hanging="0"/>
        <w:rPr>
          <w:sz w:val="28"/>
          <w:szCs w:val="28"/>
        </w:rPr>
      </w:pPr>
      <w:r>
        <w:rPr/>
      </w:r>
    </w:p>
    <w:p>
      <w:pPr>
        <w:pStyle w:val="Normal"/>
        <w:tabs>
          <w:tab w:val="clear" w:pos="708"/>
          <w:tab w:val="left" w:pos="851" w:leader="none"/>
        </w:tabs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spacing w:before="0" w:after="0"/>
        <w:ind w:left="0" w:hanging="0"/>
        <w:contextualSpacing w:val="false"/>
        <w:jc w:val="center"/>
        <w:rPr>
          <w:rFonts w:ascii="Times New Roman" w:hAnsi="Times New Roman"/>
          <w:sz w:val="28"/>
          <w:szCs w:val="28"/>
        </w:rPr>
      </w:pPr>
      <w:r>
        <w:rPr/>
      </w:r>
    </w:p>
    <w:p>
      <w:pPr>
        <w:pStyle w:val="BodyTex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pStyle w:val="Heading3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22727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Heading1">
    <w:name w:val="Heading 1"/>
    <w:basedOn w:val="Normal"/>
    <w:next w:val="Normal"/>
    <w:link w:val="1"/>
    <w:qFormat/>
    <w:rsid w:val="00d22727"/>
    <w:pPr>
      <w:keepNext w:val="true"/>
      <w:outlineLvl w:val="0"/>
    </w:pPr>
    <w:rPr>
      <w:b/>
    </w:rPr>
  </w:style>
  <w:style w:type="paragraph" w:styleId="Heading2">
    <w:name w:val="Heading 2"/>
    <w:basedOn w:val="Title"/>
    <w:next w:val="BodyText"/>
    <w:qFormat/>
    <w:pPr>
      <w:spacing w:before="200" w:after="120"/>
      <w:outlineLvl w:val="1"/>
    </w:pPr>
    <w:rPr>
      <w:rFonts w:ascii="Liberation Serif" w:hAnsi="Liberation Serif" w:eastAsia="Tahoma" w:cs="Tahoma"/>
      <w:b/>
      <w:bCs/>
      <w:sz w:val="36"/>
      <w:szCs w:val="36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qFormat/>
    <w:pPr>
      <w:numPr>
        <w:ilvl w:val="0"/>
        <w:numId w:val="0"/>
      </w:numPr>
      <w:tabs>
        <w:tab w:val="clear" w:pos="708"/>
        <w:tab w:val="left" w:pos="0" w:leader="none"/>
      </w:tabs>
      <w:ind w:left="432" w:hanging="432"/>
      <w:outlineLvl w:val="3"/>
    </w:pPr>
    <w:rPr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d22727"/>
    <w:rPr>
      <w:rFonts w:ascii="Times New Roman" w:hAnsi="Times New Roman" w:eastAsia="Times New Roman" w:cs="Times New Roman"/>
      <w:b/>
      <w:sz w:val="20"/>
      <w:szCs w:val="20"/>
      <w:lang w:eastAsia="ru-RU"/>
    </w:rPr>
  </w:style>
  <w:style w:type="character" w:styleId="Style5" w:customStyle="1">
    <w:name w:val="Основной текст Знак"/>
    <w:qFormat/>
    <w:rsid w:val="00d22727"/>
    <w:rPr/>
  </w:style>
  <w:style w:type="character" w:styleId="Style6" w:customStyle="1">
    <w:name w:val="Абзац списка Знак"/>
    <w:link w:val="ListParagraph"/>
    <w:uiPriority w:val="99"/>
    <w:qFormat/>
    <w:locked/>
    <w:rsid w:val="00d22727"/>
    <w:rPr/>
  </w:style>
  <w:style w:type="character" w:styleId="11" w:customStyle="1">
    <w:name w:val="Основной текст Знак1"/>
    <w:basedOn w:val="DefaultParagraphFont"/>
    <w:uiPriority w:val="99"/>
    <w:semiHidden/>
    <w:qFormat/>
    <w:rsid w:val="00d22727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Linenumber1" w:customStyle="1">
    <w:name w:val="line number1"/>
    <w:qFormat/>
    <w:rPr/>
  </w:style>
  <w:style w:type="character" w:styleId="Style7" w:customStyle="1">
    <w:name w:val="Текст примечания Знак"/>
    <w:basedOn w:val="DefaultParagraphFont"/>
    <w:link w:val="Annotationtext"/>
    <w:uiPriority w:val="99"/>
    <w:semiHidden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Style8" w:customStyle="1">
    <w:name w:val="Текст выноски Знак"/>
    <w:basedOn w:val="DefaultParagraphFont"/>
    <w:link w:val="BalloonText"/>
    <w:uiPriority w:val="99"/>
    <w:semiHidden/>
    <w:qFormat/>
    <w:rsid w:val="00a02591"/>
    <w:rPr>
      <w:rFonts w:ascii="Segoe UI" w:hAnsi="Segoe UI" w:eastAsia="Times New Roman" w:cs="Segoe UI"/>
      <w:sz w:val="18"/>
      <w:szCs w:val="18"/>
      <w:lang w:eastAsia="ru-RU"/>
    </w:rPr>
  </w:style>
  <w:style w:type="character" w:styleId="Linenumber">
    <w:name w:val="line number"/>
    <w:qFormat/>
    <w:rPr/>
  </w:style>
  <w:style w:type="character" w:styleId="Style9" w:customStyle="1">
    <w:name w:val="Символ нумерации"/>
    <w:qFormat/>
    <w:rPr/>
  </w:style>
  <w:style w:type="character" w:styleId="Hyperlink">
    <w:name w:val="Hyperlink"/>
    <w:rPr>
      <w:color w:val="000080"/>
      <w:u w:val="single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5"/>
    <w:rsid w:val="00d22727"/>
    <w:pPr>
      <w:jc w:val="both"/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 Unicode MS"/>
    </w:rPr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ListParagraph">
    <w:name w:val="List Paragraph"/>
    <w:basedOn w:val="Normal"/>
    <w:link w:val="Style6"/>
    <w:uiPriority w:val="99"/>
    <w:qFormat/>
    <w:rsid w:val="00d22727"/>
    <w:pPr>
      <w:widowControl w:val="false"/>
      <w:spacing w:before="0" w:after="0"/>
      <w:ind w:left="720" w:hanging="0"/>
      <w:contextualSpacing/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Style12" w:customStyle="1">
    <w:name w:val="Текст в заданном формате"/>
    <w:basedOn w:val="Normal"/>
    <w:qFormat/>
    <w:pPr/>
    <w:rPr>
      <w:rFonts w:ascii="Liberation Mono" w:hAnsi="Liberation Mono" w:eastAsia="Liberation Mono" w:cs="Liberation Mono"/>
    </w:rPr>
  </w:style>
  <w:style w:type="paragraph" w:styleId="Style13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4" w:customStyle="1">
    <w:name w:val="Заголовок таблицы"/>
    <w:basedOn w:val="Style13"/>
    <w:qFormat/>
    <w:pPr>
      <w:jc w:val="center"/>
    </w:pPr>
    <w:rPr>
      <w:b/>
      <w:bCs/>
    </w:rPr>
  </w:style>
  <w:style w:type="paragraph" w:styleId="Annotationtext">
    <w:name w:val="annotation text"/>
    <w:basedOn w:val="Normal"/>
    <w:link w:val="Style7"/>
    <w:uiPriority w:val="99"/>
    <w:semiHidden/>
    <w:unhideWhenUsed/>
    <w:qFormat/>
    <w:pPr/>
    <w:rPr/>
  </w:style>
  <w:style w:type="paragraph" w:styleId="BalloonText">
    <w:name w:val="Balloon Text"/>
    <w:basedOn w:val="Normal"/>
    <w:link w:val="Style8"/>
    <w:uiPriority w:val="99"/>
    <w:semiHidden/>
    <w:unhideWhenUsed/>
    <w:qFormat/>
    <w:rsid w:val="00a02591"/>
    <w:pPr/>
    <w:rPr>
      <w:rFonts w:ascii="Segoe UI" w:hAnsi="Segoe UI" w:cs="Segoe UI"/>
      <w:sz w:val="18"/>
      <w:szCs w:val="18"/>
    </w:rPr>
  </w:style>
  <w:style w:type="paragraph" w:styleId="Style15" w:customStyle="1">
    <w:name w:val="Колонтитул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numbering" w:styleId="37991988831" w:customStyle="1">
    <w:name w:val="37991988831"/>
    <w:qFormat/>
  </w:style>
  <w:style w:type="table" w:default="1" w:styleId="a3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AlterOffice/2025.3.0.0$Linux_X86_64 LibreOffice_project/774e6be3fe79fbee37ab4be005d8f260e3857d8a</Application>
  <AppVersion>15.0000</AppVersion>
  <DocSecurity>4</DocSecurity>
  <Pages>9</Pages>
  <Words>757</Words>
  <Characters>4863</Characters>
  <CharactersWithSpaces>5481</CharactersWithSpaces>
  <Paragraphs>144</Paragraphs>
  <Company>HRVKK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2026-08-11T06:45:00Z</dcterms:created>
  <dc:creator>Флегонтова Наталья Вячеславовна</dc:creator>
  <dc:description/>
  <dc:language>ru-RU</dc:language>
  <cp:lastModifiedBy>bromirskyri@corp.gidroogk.com</cp:lastModifiedBy>
  <cp:lastPrinted>2025-08-01T12:32:00Z</cp:lastPrinted>
  <dcterms:modified xsi:type="dcterms:W3CDTF">2026-08-11T09:52:20Z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