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>ОКПД2 20.30.1. Поставка лакокрасочных материалов на эпоксидной основе для нужд Саратовского филиала</w:t>
      </w:r>
      <w:r>
        <w:rPr>
          <w:rFonts w:eastAsia="Calibri"/>
          <w:b/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b/>
          <w:sz w:val="24"/>
          <w:szCs w:val="24"/>
        </w:rPr>
        <w:t xml:space="preserve">Лот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/>
      </w:pPr>
      <w:r>
        <w:rPr>
          <w:lang w:val="ru-RU"/>
        </w:rPr>
        <w:t>Общие сведения</w:t>
      </w:r>
    </w:p>
    <w:p>
      <w:pPr>
        <w:pStyle w:val="Heading4"/>
        <w:numPr>
          <w:ilvl w:val="1"/>
          <w:numId w:val="3"/>
        </w:numPr>
        <w:rPr/>
      </w:pPr>
      <w:bookmarkStart w:id="2" w:name="_Toc75446568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ОКПД220.30.1. Поставка лакокрасочных материалов на эпоксидной основе для нужд Саратовского филиала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Toc75446569"/>
      <w:bookmarkStart w:id="5" w:name="_Toc46743507"/>
      <w:r>
        <w:rPr/>
        <w:t xml:space="preserve">Цель </w:t>
      </w:r>
      <w:bookmarkEnd w:id="5"/>
      <w:r>
        <w:rPr>
          <w:lang w:val="ru-RU"/>
        </w:rPr>
        <w:t xml:space="preserve">использования закупаемой продукции </w:t>
      </w:r>
      <w:bookmarkEnd w:id="4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Fonts w:eastAsia="Calibri"/>
          <w:sz w:val="24"/>
          <w:szCs w:val="24"/>
          <w:lang w:eastAsia="x-none"/>
        </w:rPr>
        <w:t>Лакокрасочные материалы на эпоксидной основе предназначены для выполнения работ по к</w:t>
      </w: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апитальному ремонту затворов и сороудерживающих решеток филиала ПАО «РусГидро» – «Саратовская ГЭС» в целях исполнения договора подряда № 1300-355-2023 от 02.11.2023 «Капитальный и текущий ремонт оборудования, зданий и сооружений», заключенного между ПАО «РусГидро» и АО «Гидроремонт-ВКК».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75446573"/>
      <w:r>
        <w:rPr>
          <w:iCs/>
        </w:rPr>
        <w:t>Требования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8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rPr/>
      </w:pPr>
      <w:bookmarkStart w:id="9" w:name="_Toc75446575"/>
      <w:r>
        <w:rPr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0" w:name="_Toc75446576"/>
      <w:bookmarkStart w:id="11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r>
        <w:rPr>
          <w:sz w:val="24"/>
          <w:szCs w:val="24"/>
          <w:lang w:val="ru-RU"/>
        </w:rPr>
        <w:t>и объем закупаемой продукции</w:t>
      </w:r>
      <w:bookmarkEnd w:id="10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7"/>
        <w:gridCol w:w="5560"/>
        <w:gridCol w:w="1845"/>
        <w:gridCol w:w="1557"/>
      </w:tblGrid>
      <w:tr>
        <w:trPr>
          <w:tblHeader w:val="true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Эмаль эпоксидная ЭП-1236 (с отвердителем) красно-коричневый (ОКПД2 20.30.1.)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Грунтовка ЭП-0199 (с отвердителем) </w:t>
            </w:r>
          </w:p>
          <w:p>
            <w:pPr>
              <w:pStyle w:val="Normal"/>
              <w:keepNext w:val="true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красно-коричневый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(ОКПД2 20.30.1.)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Растворитель Р-5 ГОСТ 7827-74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(ОКПД2 20.30.1.)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</w:t>
            </w:r>
          </w:p>
        </w:tc>
      </w:tr>
    </w:tbl>
    <w:p>
      <w:pPr>
        <w:pStyle w:val="Heading3"/>
        <w:numPr>
          <w:ilvl w:val="0"/>
          <w:numId w:val="0"/>
        </w:numPr>
        <w:ind w:left="1224" w:hanging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r>
        <w:rPr>
          <w:lang w:val="ru-RU"/>
        </w:rPr>
        <w:t xml:space="preserve">Требования к срокам поставки продукции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2" w:name="_Toc75446579"/>
      <w:bookmarkStart w:id="13" w:name="_Toc51339697"/>
      <w:bookmarkStart w:id="14" w:name="_Toc50125127"/>
      <w:bookmarkStart w:id="15" w:name="_Toc50125126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6" w:name="_Hlk50465284"/>
      <w:r>
        <w:rPr>
          <w:sz w:val="24"/>
          <w:szCs w:val="24"/>
        </w:rPr>
        <w:t xml:space="preserve">Требования по срокам </w:t>
      </w:r>
      <w:bookmarkEnd w:id="13"/>
      <w:bookmarkEnd w:id="14"/>
      <w:bookmarkEnd w:id="16"/>
      <w:r>
        <w:rPr>
          <w:sz w:val="24"/>
          <w:szCs w:val="24"/>
          <w:lang w:val="ru-RU"/>
        </w:rPr>
        <w:t>поставки продукции</w:t>
      </w:r>
      <w:bookmarkEnd w:id="12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5"/>
        <w:gridCol w:w="2555"/>
        <w:gridCol w:w="2409"/>
        <w:gridCol w:w="4111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bookmarkStart w:id="17" w:name="_Toc46743510"/>
            <w:r>
              <w:rPr>
                <w:b/>
                <w:sz w:val="24"/>
                <w:szCs w:val="24"/>
              </w:rPr>
              <w:t>4</w:t>
            </w:r>
            <w:bookmarkEnd w:id="17"/>
          </w:p>
        </w:tc>
      </w:tr>
      <w:tr>
        <w:trPr>
          <w:trHeight w:val="1092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sz w:val="24"/>
                <w:szCs w:val="24"/>
              </w:rPr>
              <w:t>Эмаль эпоксидная ЭП-1236 (с отвердителем) красно-коричневый (ОКПД2 20.30.1.)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 сторонами по заявкам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3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поставки по конкретной заявке устанавливается в заявке. Заявка на соответствующую партию продукции направляется по факсу/электронной почте/нарочно Поставщику в срок не менее 20 календарных дней до даты поставки (ориентировочное количество заявок-спецификаций - 1). </w:t>
            </w:r>
          </w:p>
          <w:p>
            <w:pPr>
              <w:pStyle w:val="Normal"/>
              <w:widowControl w:val="false"/>
              <w:ind w:right="3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Конечный срок поставки Продукции 15.03.2027*</w:t>
            </w:r>
          </w:p>
        </w:tc>
      </w:tr>
      <w:tr>
        <w:trPr>
          <w:trHeight w:val="981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Грунтовка ЭП-0199 (с отвердителем)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красно-коричневый (ОКПД2 20.30.1.)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eastAsia="Calibri"/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</w:rPr>
              <w:t>Растворитель Р-5 ГОСТ 7827-74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(ОКПД2 20.30.1.)</w:t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*срок установлен в соответствии с условиями договора, указанного в п. 1.2. Технических требований.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  <w:pStyle w:val="Heading1"/>
        <w:numPr>
          <w:ilvl w:val="0"/>
          <w:numId w:val="0"/>
        </w:numPr>
        <w:ind w:left="0" w:hanging="0"/>
        <w:rPr>
          <w:b w:val="false"/>
          <w:sz w:val="24"/>
          <w:szCs w:val="24"/>
          <w:lang w:val="ru-RU"/>
        </w:rPr>
      </w:pPr>
      <w:r>
        <w:rPr>
          <w:b w:val="false"/>
          <w:sz w:val="24"/>
          <w:szCs w:val="24"/>
          <w:lang w:val="ru-RU"/>
        </w:rPr>
      </w:r>
    </w:p>
    <w:p>
      <w:pPr>
        <w:pStyle w:val="Heading4"/>
        <w:numPr>
          <w:ilvl w:val="1"/>
          <w:numId w:val="3"/>
        </w:numPr>
        <w:rPr/>
      </w:pPr>
      <w:bookmarkStart w:id="18" w:name="_Toc51339698"/>
      <w:bookmarkStart w:id="19" w:name="_Toc75446581"/>
      <w:bookmarkStart w:id="20" w:name="_Toc46743511"/>
      <w:r>
        <w:rPr/>
        <w:t xml:space="preserve">Требования к </w:t>
      </w:r>
      <w:bookmarkEnd w:id="20"/>
      <w:r>
        <w:rPr>
          <w:lang w:val="ru-RU"/>
        </w:rPr>
        <w:t>качеству продукции</w:t>
      </w:r>
      <w:bookmarkEnd w:id="1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21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1"/>
      <w:r>
        <w:rPr>
          <w:sz w:val="24"/>
          <w:szCs w:val="24"/>
        </w:rPr>
        <w:t xml:space="preserve"> </w:t>
      </w:r>
      <w:bookmarkEnd w:id="18"/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(Таблица 1.1. «Перечень и объем закупаемой продукции»): Поставка лакокрасочных материалов на эпоксидной основе для нужд Саратовского филиала</w:t>
      </w:r>
    </w:p>
    <w:p>
      <w:pPr>
        <w:pStyle w:val="Normal"/>
        <w:jc w:val="both"/>
        <w:rPr>
          <w:rStyle w:val="Style8"/>
          <w:bCs/>
          <w:i w:val="false"/>
          <w:i w:val="false"/>
          <w:iCs/>
          <w:sz w:val="24"/>
          <w:szCs w:val="24"/>
          <w:shd w:fill="auto" w:val="clear"/>
        </w:rPr>
      </w:pPr>
      <w:r>
        <w:rPr>
          <w:bCs/>
          <w:i w:val="false"/>
          <w:iCs/>
          <w:sz w:val="24"/>
          <w:szCs w:val="24"/>
          <w:shd w:fill="auto" w:val="clear"/>
        </w:rPr>
      </w:r>
    </w:p>
    <w:tbl>
      <w:tblPr>
        <w:tblStyle w:val="affff4"/>
        <w:tblW w:w="48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98"/>
        <w:gridCol w:w="2317"/>
        <w:gridCol w:w="4777"/>
        <w:gridCol w:w="3083"/>
        <w:gridCol w:w="3792"/>
      </w:tblGrid>
      <w:tr>
        <w:trPr/>
        <w:tc>
          <w:tcPr>
            <w:tcW w:w="69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31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777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875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69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31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777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7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3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7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0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7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09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доставке, маркировке, упаковке, транспортировке, приемке </w:t>
            </w:r>
          </w:p>
        </w:tc>
        <w:tc>
          <w:tcPr>
            <w:tcW w:w="3083" w:type="dxa"/>
            <w:tcBorders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792" w:type="dxa"/>
            <w:tcBorders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8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47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РФ, 413865, Саратовская обл., г. Балаково, ул. Заовражная д.48</w:t>
            </w:r>
          </w:p>
        </w:tc>
        <w:tc>
          <w:tcPr>
            <w:tcW w:w="3083" w:type="dxa"/>
            <w:vMerge w:val="restart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79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8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477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сохранности упаковки (тары).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Покупателем за неисполнение или ненадлежащее исполнение обязательств привлеченными к исполнению договора третьими лицами.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доставка (только верхняя разгрузка), предоставляется покупателю не позднее, чем за 2 рабочих дня, предшествующий дню поставки.</w:t>
            </w:r>
          </w:p>
        </w:tc>
        <w:tc>
          <w:tcPr>
            <w:tcW w:w="3083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9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Максимальный 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бъем упаковки</w:t>
            </w:r>
          </w:p>
        </w:tc>
        <w:tc>
          <w:tcPr>
            <w:tcW w:w="47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 кг</w:t>
            </w:r>
          </w:p>
        </w:tc>
        <w:tc>
          <w:tcPr>
            <w:tcW w:w="308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</w:t>
            </w:r>
          </w:p>
        </w:tc>
        <w:tc>
          <w:tcPr>
            <w:tcW w:w="47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каждой упаковке полное наименование продукции</w:t>
            </w:r>
          </w:p>
        </w:tc>
        <w:tc>
          <w:tcPr>
            <w:tcW w:w="308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477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27" w:leader="none"/>
                <w:tab w:val="left" w:pos="269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 производится на склад Грузополучателя в г. Балаково в рабочие дни с 8-00 до 12-00 и с 13-00 до 16-00 (по местному времени).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</w:t>
            </w:r>
          </w:p>
        </w:tc>
        <w:tc>
          <w:tcPr>
            <w:tcW w:w="308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09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08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92" w:type="dxa"/>
            <w:tcBorders/>
          </w:tcPr>
          <w:p>
            <w:pPr>
              <w:pStyle w:val="Normal"/>
              <w:widowControl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-6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службы покрытия</w:t>
            </w:r>
          </w:p>
        </w:tc>
        <w:tc>
          <w:tcPr>
            <w:tcW w:w="47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60 месяцев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службы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покрытия, установленного изготовителем (производителем) продукции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308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44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left="-6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хранения с даты изготовления</w:t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6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6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ind w:left="-6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tabs>
                <w:tab w:val="clear" w:pos="708"/>
                <w:tab w:val="left" w:pos="178" w:leader="none"/>
              </w:tabs>
              <w:suppressAutoHyphens w:val="true"/>
              <w:spacing w:before="0" w:after="0"/>
              <w:ind w:left="-106" w:firstLine="41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Эмаль эпоксидная ЭП-1236 (с отвердителем) красно-коричневый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tabs>
                <w:tab w:val="clear" w:pos="708"/>
                <w:tab w:val="left" w:pos="178" w:leader="none"/>
              </w:tabs>
              <w:suppressAutoHyphens w:val="true"/>
              <w:spacing w:before="0" w:after="0"/>
              <w:ind w:left="-106" w:firstLine="41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Грунтовка ЭП-0199 (с отвердителем) красно-коричневый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tabs>
                <w:tab w:val="clear" w:pos="708"/>
                <w:tab w:val="left" w:pos="178" w:leader="none"/>
              </w:tabs>
              <w:suppressAutoHyphens w:val="true"/>
              <w:spacing w:before="0" w:after="0"/>
              <w:ind w:left="-106" w:firstLine="41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Растворитель Р-5 ГОСТ 7827-74</w:t>
            </w:r>
          </w:p>
        </w:tc>
        <w:tc>
          <w:tcPr>
            <w:tcW w:w="477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 xml:space="preserve">Остаточный гарантийный срок хранения с даты изготовления продукции на момент поставки должен составлять не менее 2/3 общего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гарантийного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срока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хранения продукции, для использования по назначению до истечения этого срока.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6 месяцев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6 месяцев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не менее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 месяцев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308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9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094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08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92" w:type="dxa"/>
            <w:tcBorders/>
          </w:tcPr>
          <w:p>
            <w:pPr>
              <w:pStyle w:val="Normal"/>
              <w:widowControl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 на русском языке</w:t>
            </w:r>
          </w:p>
        </w:tc>
        <w:tc>
          <w:tcPr>
            <w:tcW w:w="4777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поставке предоставляется на каждый компонент, с указанием: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количества продукции;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соответствия нормативным показателям;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даты изготовления;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отметки о проверке ОТК.</w:t>
            </w:r>
          </w:p>
        </w:tc>
        <w:tc>
          <w:tcPr>
            <w:tcW w:w="308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</w:tbl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lang w:val="ru-RU"/>
        </w:rPr>
      </w:pPr>
      <w:r>
        <w:rPr>
          <w:lang w:val="ru-RU"/>
        </w:rPr>
        <w:t>Требования к документации по ценообразованию на этапе закупки.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22" w:name="_Hlk88325985"/>
      <w:r>
        <w:rPr>
          <w:rFonts w:eastAsia="Calibri"/>
          <w:sz w:val="24"/>
          <w:szCs w:val="24"/>
          <w:lang w:eastAsia="x-none"/>
        </w:rPr>
        <w:t>(с учетом прилагаемой к ней инструкции по заполнению)</w:t>
      </w:r>
      <w:bookmarkEnd w:id="22"/>
      <w:r>
        <w:rPr>
          <w:rFonts w:eastAsia="Calibri"/>
          <w:sz w:val="24"/>
          <w:szCs w:val="24"/>
          <w:lang w:eastAsia="x-none"/>
        </w:rPr>
        <w:t>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bookmarkStart w:id="23" w:name="_Hlk88327292"/>
      <w:r>
        <w:rPr>
          <w:rFonts w:eastAsia="Calibri"/>
          <w:sz w:val="24"/>
          <w:szCs w:val="24"/>
          <w:lang w:eastAsia="x-none"/>
        </w:rPr>
        <w:t>3.2. Дополнительные документы по ценообразованию</w:t>
      </w:r>
      <w:bookmarkEnd w:id="23"/>
      <w:r>
        <w:rPr>
          <w:rFonts w:eastAsia="Calibri"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Heading1"/>
        <w:keepLines/>
        <w:numPr>
          <w:ilvl w:val="0"/>
          <w:numId w:val="0"/>
        </w:numPr>
        <w:ind w:left="0" w:hanging="0"/>
        <w:rPr>
          <w:i/>
          <w:i/>
          <w:iCs/>
          <w:sz w:val="24"/>
          <w:szCs w:val="24"/>
          <w:shd w:fill="FFFF99" w:val="clear"/>
          <w:lang w:val="ru-RU"/>
        </w:rPr>
      </w:pPr>
      <w:r>
        <w:rPr>
          <w:i/>
          <w:iCs/>
          <w:sz w:val="24"/>
          <w:szCs w:val="24"/>
          <w:shd w:fill="FFFF99" w:val="clear"/>
          <w:lang w:val="ru-RU"/>
        </w:rPr>
      </w:r>
    </w:p>
    <w:p>
      <w:pPr>
        <w:pStyle w:val="Heading1"/>
        <w:numPr>
          <w:ilvl w:val="0"/>
          <w:numId w:val="0"/>
        </w:numPr>
        <w:ind w:left="5038" w:hanging="360"/>
        <w:rPr/>
      </w:pPr>
      <w:r>
        <w:rPr/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/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127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29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45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1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5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4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FA860-ADF6-4CFE-95F6-3CF6A2DF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AlterOffice/3.4.0.9$Linux_X86_64 LibreOffice_project/b8daf9e823b1a5463a2f48435ddc2e8696e7d4fc</Application>
  <AppVersion>15.0000</AppVersion>
  <DocSecurity>4</DocSecurity>
  <Pages>5</Pages>
  <Words>711</Words>
  <Characters>4848</Characters>
  <CharactersWithSpaces>5426</CharactersWithSpaces>
  <Paragraphs>133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2026-08-11T06:10:00Z</dcterms:created>
  <dc:creator>Быстров Олег Геннадьевич</dc:creator>
  <dc:description/>
  <dc:language>ru-RU</dc:language>
  <cp:lastModifiedBy>Шиповалова Юлия Анатольевна</cp:lastModifiedBy>
  <cp:lastPrinted>2006-07-26T14:04:00Z</cp:lastPrinted>
  <dcterms:modified xsi:type="dcterms:W3CDTF">2026-08-11T06:10:00Z</dcterms:modified>
  <cp:revision>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