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/>
      </w:pPr>
      <w:r>
        <w:rPr>
          <w:rFonts w:eastAsia="Calibri"/>
          <w:b/>
          <w:sz w:val="24"/>
          <w:szCs w:val="24"/>
        </w:rPr>
        <w:t>Технические требования на постав</w:t>
      </w:r>
      <w:r>
        <w:rPr>
          <w:rFonts w:eastAsia="Calibri"/>
          <w:b/>
          <w:sz w:val="24"/>
          <w:szCs w:val="24"/>
          <w:shd w:fill="auto" w:val="clear"/>
        </w:rPr>
        <w:t>ку МТР</w:t>
      </w:r>
    </w:p>
    <w:p>
      <w:pPr>
        <w:pStyle w:val="Normal"/>
        <w:keepNext w:val="true"/>
        <w:keepLines/>
        <w:suppressAutoHyphens w:val="true"/>
        <w:jc w:val="center"/>
        <w:rPr>
          <w:rFonts w:ascii="Times New Roman" w:hAnsi="Times New Roman" w:eastAsia="Calibri"/>
          <w:b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</w:r>
    </w:p>
    <w:p>
      <w:pPr>
        <w:pStyle w:val="Normal"/>
        <w:suppressAutoHyphens w:val="true"/>
        <w:bidi w:val="0"/>
        <w:jc w:val="center"/>
        <w:rPr/>
      </w:pPr>
      <w:r>
        <w:rPr>
          <w:b/>
          <w:bCs/>
          <w:i/>
          <w:iCs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ОКПД2 25.11.23.115 Поставка комплектующих к опорам в рамках ремонтной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"Южно-Якутские электрические сети" и "Электрические сети Еврейской автономной области"</w:t>
      </w:r>
    </w:p>
    <w:p>
      <w:pPr>
        <w:pStyle w:val="Normal"/>
        <w:keepNext w:val="true"/>
        <w:keepLines/>
        <w:suppressAutoHyphens w:val="tru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uppressAutoHyphens w:val="true"/>
        <w:jc w:val="center"/>
        <w:rPr/>
      </w:pPr>
      <w:r>
        <w:rPr>
          <w:rFonts w:eastAsia="Calibri"/>
          <w:b/>
          <w:i/>
          <w:sz w:val="24"/>
          <w:szCs w:val="24"/>
          <w:shd w:fill="auto" w:val="clear"/>
        </w:rPr>
        <w:t xml:space="preserve">Лот </w:t>
      </w:r>
      <w:r>
        <w:rPr>
          <w:rFonts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№ 12201-РЕМ ПРОД-2027-ДРСК</w:t>
      </w:r>
    </w:p>
    <w:p>
      <w:pPr>
        <w:pStyle w:val="Normal"/>
        <w:keepNext w:val="true"/>
        <w:keepLines/>
        <w:suppressAutoHyphens w:val="true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suppressAutoHyphens w:val="tru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uppressAutoHyphens w:val="true"/>
        <w:jc w:val="center"/>
        <w:rPr/>
      </w:pPr>
      <w:r>
        <w:rPr>
          <w:b/>
          <w:bCs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\o "1-5" \h</w:instrText>
          </w:r>
          <w:r>
            <w:rPr>
              <w:rStyle w:val="Style15"/>
            </w:rPr>
            <w:fldChar w:fldCharType="separate"/>
          </w:r>
          <w:hyperlink w:anchor="__RefHeading___Toc89641_1475472420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3_1475472420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5_1475472420">
            <w:r>
              <w:rPr>
                <w:rStyle w:val="Style15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47_1475472420">
            <w:r>
              <w:rPr>
                <w:rStyle w:val="Style15"/>
              </w:rPr>
              <w:t xml:space="preserve">2.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9_1475472420">
            <w:r>
              <w:rPr>
                <w:rStyle w:val="Style15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4317" w:leader="dot"/>
            </w:tabs>
            <w:rPr/>
          </w:pPr>
          <w:hyperlink w:anchor="__RefHeading___Toc89651_1475472420">
            <w:r>
              <w:rPr>
                <w:rStyle w:val="Style15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14317" w:leader="dot"/>
            </w:tabs>
            <w:rPr>
              <w:rFonts w:ascii="Times New Roman" w:hAnsi="Times New Roman"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</w:pPr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 xml:space="preserve">3. </w:t>
          </w:r>
          <w:bookmarkStart w:id="0" w:name="_Toc75446583_Копия_1_Копия_1"/>
          <w:bookmarkStart w:id="1" w:name="_Toc75446581_Копия_1"/>
          <w:bookmarkStart w:id="2" w:name="_Toc53393312_Копия_1_Копия_1"/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>Требования к документации по ценообразованию</w:t>
          </w:r>
          <w:bookmarkEnd w:id="2"/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 xml:space="preserve"> на этапе закупки</w:t>
          </w:r>
          <w:hyperlink w:anchor="__RefHeading___Toc89647_1475472420">
            <w:bookmarkEnd w:id="0"/>
            <w:bookmarkEnd w:id="1"/>
            <w:r>
              <w:rPr>
                <w:rStyle w:val="Style15"/>
                <w:rFonts w:eastAsia="Times New Roman" w:cs="Calibri Light (Заголовки)"/>
                <w:b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ab/>
            </w:r>
          </w:hyperlink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>12</w:t>
          </w:r>
        </w:p>
        <w:p>
          <w:pPr>
            <w:pStyle w:val="Normal"/>
            <w:tabs>
              <w:tab w:val="clear" w:pos="708"/>
              <w:tab w:val="right" w:pos="14317" w:leader="dot"/>
            </w:tabs>
            <w:rPr>
              <w:rFonts w:ascii="Times New Roman" w:hAnsi="Times New Roman"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</w:pPr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>4. Приложение</w:t>
          </w:r>
          <w:hyperlink w:anchor="__RefHeading___Toc89647_1475472420">
            <w:r>
              <w:rPr>
                <w:rStyle w:val="Style15"/>
                <w:rFonts w:eastAsia="Times New Roman" w:cs="Calibri Light (Заголовки)"/>
                <w:b/>
                <w:bCs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ab/>
            </w:r>
          </w:hyperlink>
          <w:r>
            <w:rPr>
              <w:rFonts w:eastAsia="Times New Roman" w:cs="Calibri Light (Заголовки)"/>
              <w:b/>
              <w:bCs/>
              <w:iCs/>
              <w:color w:val="auto"/>
              <w:kern w:val="0"/>
              <w:sz w:val="24"/>
              <w:szCs w:val="24"/>
              <w:lang w:val="ru-RU" w:eastAsia="ru-RU" w:bidi="ar-SA"/>
            </w:rPr>
            <w:t>12</w:t>
          </w:r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53_1475472420">
            <w:r>
              <w:rPr>
                <w:rStyle w:val="Style15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4317" w:leader="dot"/>
            </w:tabs>
            <w:rPr/>
          </w:pPr>
          <w:hyperlink w:anchor="__RefHeading___Toc89655_1475472420">
            <w:r>
              <w:rPr>
                <w:rStyle w:val="Style15"/>
              </w:rPr>
              <w:t>2.1.2. Требования к срокам поставки продукции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57_1475472420">
            <w:r>
              <w:rPr>
                <w:rStyle w:val="Style15"/>
              </w:rPr>
              <w:t>Таблица 2.1 Требования по срокам поставки продукции</w:t>
              <w:tab/>
              <w:t>9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59_1475472420">
            <w:r>
              <w:rPr>
                <w:rStyle w:val="Style15"/>
              </w:rPr>
              <w:t>2.2. Требования к качеству продукции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61_1475472420">
            <w:r>
              <w:rPr>
                <w:rStyle w:val="Style15"/>
              </w:rPr>
              <w:t xml:space="preserve"> </w:t>
            </w:r>
            <w:r>
              <w:rPr>
                <w:rStyle w:val="Style15"/>
              </w:rPr>
              <w:t>Таблица 2.2. Требования к продукции</w:t>
              <w:tab/>
              <w:t>9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Normal"/>
        <w:suppressAutoHyphens w:val="true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uppressAutoHyphens w:val="true"/>
        <w:spacing w:before="120" w:after="0"/>
        <w:ind w:left="357" w:hanging="357"/>
        <w:jc w:val="center"/>
        <w:rPr/>
      </w:pPr>
      <w:bookmarkStart w:id="3" w:name="__RefHeading___Toc89641_1475472420"/>
      <w:bookmarkStart w:id="4" w:name="_Toc51339692"/>
      <w:bookmarkStart w:id="5" w:name="_Toc75446566"/>
      <w:bookmarkEnd w:id="3"/>
      <w:r>
        <w:rPr>
          <w:sz w:val="22"/>
          <w:szCs w:val="22"/>
          <w:lang w:val="ru-RU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6" w:name="__RefHeading___Toc89643_1475472420"/>
      <w:bookmarkEnd w:id="6"/>
      <w:r>
        <w:rPr>
          <w:sz w:val="22"/>
          <w:szCs w:val="22"/>
        </w:rPr>
        <w:t>Обозначения и сокращения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99"/>
        <w:gridCol w:w="10517"/>
      </w:tblGrid>
      <w:tr>
        <w:trPr/>
        <w:tc>
          <w:tcPr>
            <w:tcW w:w="1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/>
            </w:pPr>
            <w:r>
              <w:rPr>
                <w:b/>
                <w:bCs/>
                <w:iCs/>
                <w:sz w:val="22"/>
                <w:szCs w:val="22"/>
              </w:rPr>
              <w:t>Обозначения и сокращения:</w:t>
            </w:r>
          </w:p>
        </w:tc>
      </w:tr>
      <w:tr>
        <w:trPr>
          <w:trHeight w:val="357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ДРСК</w:t>
            </w:r>
          </w:p>
        </w:tc>
        <w:tc>
          <w:tcPr>
            <w:tcW w:w="10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Дальневосточная распределительная сетевая компания</w:t>
            </w:r>
          </w:p>
        </w:tc>
      </w:tr>
      <w:tr>
        <w:trPr>
          <w:trHeight w:val="357" w:hRule="atLeast"/>
        </w:trPr>
        <w:tc>
          <w:tcPr>
            <w:tcW w:w="14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rFonts w:eastAsia="Times New Roman" w:cs="Times New Roman"/>
                <w:b/>
                <w:bCs/>
                <w:iCs/>
                <w:color w:val="auto"/>
                <w:kern w:val="0"/>
                <w:sz w:val="22"/>
                <w:szCs w:val="22"/>
                <w:lang w:val="ru-RU" w:eastAsia="ru-RU" w:bidi="ar-SA"/>
              </w:rPr>
              <w:t>Термины и определения:</w:t>
            </w:r>
          </w:p>
        </w:tc>
      </w:tr>
      <w:tr>
        <w:trPr/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uppressAutoHyphens w:val="true"/>
              <w:jc w:val="left"/>
              <w:rPr/>
            </w:pPr>
            <w:r>
              <w:rPr>
                <w:sz w:val="22"/>
                <w:szCs w:val="22"/>
              </w:rPr>
              <w:t>ГОСТ</w:t>
            </w:r>
          </w:p>
        </w:tc>
        <w:tc>
          <w:tcPr>
            <w:tcW w:w="10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Система стандартов, устанавливающих требования к качеству продукции, процессов, работ и услуг в различных сферах деятельности.</w:t>
            </w:r>
          </w:p>
        </w:tc>
      </w:tr>
    </w:tbl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7" w:name="__RefHeading___Toc89645_1475472420"/>
      <w:bookmarkStart w:id="8" w:name="_Toc46743506"/>
      <w:bookmarkStart w:id="9" w:name="_Toc75446568"/>
      <w:bookmarkEnd w:id="7"/>
      <w:r>
        <w:rPr>
          <w:sz w:val="22"/>
          <w:szCs w:val="22"/>
        </w:rPr>
        <w:t>Наименование закупаемой продукции</w:t>
      </w:r>
      <w:bookmarkEnd w:id="8"/>
      <w:bookmarkEnd w:id="9"/>
    </w:p>
    <w:p>
      <w:pPr>
        <w:pStyle w:val="Normal"/>
        <w:suppressAutoHyphens w:val="true"/>
        <w:bidi w:val="0"/>
        <w:jc w:val="left"/>
        <w:rPr/>
      </w:pPr>
      <w:r>
        <w:rPr>
          <w:b/>
          <w:bCs/>
          <w:i/>
          <w:iCs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ОКПД2 25.11.23.115 Поставка комплектующих к опорам в рамках ремонтной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"Южно-Якутские электрические сети" и "Электрические сети Еврейской автономной области"</w:t>
      </w:r>
    </w:p>
    <w:p>
      <w:pPr>
        <w:pStyle w:val="Heading1"/>
        <w:keepLines/>
        <w:numPr>
          <w:ilvl w:val="0"/>
          <w:numId w:val="3"/>
        </w:numPr>
        <w:suppressAutoHyphens w:val="true"/>
        <w:spacing w:before="120" w:after="0"/>
        <w:ind w:left="357" w:hanging="357"/>
        <w:jc w:val="center"/>
        <w:rPr/>
      </w:pPr>
      <w:bookmarkStart w:id="10" w:name="__RefHeading___Toc89647_1475472420"/>
      <w:bookmarkStart w:id="11" w:name="_Toc75446573"/>
      <w:bookmarkStart w:id="12" w:name="_Toc51339693"/>
      <w:bookmarkStart w:id="13" w:name="_Toc50125126"/>
      <w:bookmarkStart w:id="14" w:name="_Toc46743510"/>
      <w:bookmarkEnd w:id="10"/>
      <w:bookmarkEnd w:id="13"/>
      <w:bookmarkEnd w:id="14"/>
      <w:r>
        <w:rPr>
          <w:iCs/>
          <w:sz w:val="22"/>
          <w:szCs w:val="22"/>
        </w:rPr>
        <w:t>Требования к продукции</w:t>
      </w:r>
      <w:bookmarkEnd w:id="11"/>
      <w:bookmarkEnd w:id="12"/>
    </w:p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15" w:name="__RefHeading___Toc89649_1475472420"/>
      <w:bookmarkStart w:id="16" w:name="_Toc75446574"/>
      <w:bookmarkEnd w:id="15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3"/>
        </w:numPr>
        <w:suppressAutoHyphens w:val="true"/>
        <w:spacing w:before="120" w:after="0"/>
        <w:rPr/>
      </w:pPr>
      <w:bookmarkStart w:id="17" w:name="__RefHeading___Toc89651_1475472420"/>
      <w:bookmarkStart w:id="18" w:name="_Toc75446575"/>
      <w:bookmarkEnd w:id="17"/>
      <w:r>
        <w:rPr>
          <w:sz w:val="22"/>
          <w:szCs w:val="22"/>
          <w:lang w:val="ru-RU"/>
        </w:rPr>
        <w:t>Перечень и объем закупаемой продукции</w:t>
      </w:r>
      <w:bookmarkEnd w:id="18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19" w:name="__RefHeading___Toc89653_1475472420"/>
      <w:bookmarkStart w:id="20" w:name="_Toc75446576"/>
      <w:bookmarkStart w:id="21" w:name="_Toc51339695"/>
      <w:bookmarkEnd w:id="19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21"/>
      <w:r>
        <w:rPr>
          <w:sz w:val="22"/>
          <w:szCs w:val="22"/>
          <w:lang w:val="ru-RU"/>
        </w:rPr>
        <w:t>и объем закупаемой продукции</w:t>
      </w:r>
      <w:bookmarkEnd w:id="20"/>
    </w:p>
    <w:p>
      <w:pPr>
        <w:pStyle w:val="Normal"/>
        <w:suppressAutoHyphens w:val="true"/>
        <w:rPr>
          <w:rFonts w:ascii="Times New Roman" w:hAnsi="Times New Roman"/>
          <w:lang w:eastAsia="x-none"/>
        </w:rPr>
      </w:pPr>
      <w:r>
        <w:rPr>
          <w:lang w:eastAsia="x-none"/>
        </w:rPr>
      </w:r>
    </w:p>
    <w:tbl>
      <w:tblPr>
        <w:tblW w:w="14884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11624"/>
        <w:gridCol w:w="1276"/>
        <w:gridCol w:w="1275"/>
      </w:tblGrid>
      <w:tr>
        <w:trPr/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Ед. измер.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1.1 Филиал АО «ДРСК» «Амурские ЭС» Адрес склада: 675003, Амурская область, г. Благовещенск, ул. Театральная, 179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РА-4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РА-5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У-1 3.407.1-143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ТС-1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ТС-2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ТС-6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Накладка ОГ-5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ЗП-1 1000мм ТП 3.407.1-143.8.54,27.0002-43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ЗП-6 2000мм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ЗП-1 3000мм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ЗП-1 4500мм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ЗП-6 3000мм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М-8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ТМ-1 3.407.1-143.8.1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ТМ-3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ТМ-58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ТМ-73 Л62-99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ТМ-8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ТН-2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У-3 3.407.1-136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Х-3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1.2. Филиал АО «ДРСК» «Приморские электрические сети» Адрес склада: 692524, Приморский край, г. Уссурийск, ул. Резервная 22А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 привода РА-3 черт.3.407.1-143.8 для РДЗ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монтажных частей для разъединителя РЛНД (кронштейн РА-5-3шт, РА-2, РА-1, хомут Х7-3шт, Вал РА-3-2шт)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РА-1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РА-2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РА-3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РА-4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РА-5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У-1 3.407.1-143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ТС-2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ТС-3 3.407.1-136.13.01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ЗП21 стальной 2000х10мм 25.0001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М-9 3.407-101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 53 27-0002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ТМ-1 3.407.1-143.8.1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ТМ-3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ТМ-51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ТМ-52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ТМ-54 27-0002-19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ТМ-56 27-0002-21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ТМ-65 27.0002-30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ТМ-8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ТН-2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ТН-9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У-3 3.407.1-136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 42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Х-10 (3.407.1-136)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Х-11 (3.407.1-136)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Х-12 (3.407.1-136)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Х-2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Х-3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Х-33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Х-34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Х-4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Х-51 (Л57-97.01.03)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Х-7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Х-8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1.3.1. Филиал АО «ДРСК» «Хабаровские электрические сети» для СП «Центральные электрические сети» Адрес склада: 680009, Хабаровский край, г. Хабаровск, ул. Промышленная, 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монтажных частей для разъединителя РЛНД (кронштейн РА-5-3шт, РА-2, РА-1, хомут Х7-3шт, Вал РА-3-2шт)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У-1 3.407.1-143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 монтажный КН-18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ТС-6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ТМ-1 3.407.1-143.8.1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ТМ-2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ТМ-2001 12.020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ТМ-2002 12.020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ТМ-51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ТМ-73 Л62-99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ТН-9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У-2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У-3 3.407.1-136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Х-10 (3.407.1-136)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Х-51 (27.0002) стальной 230х240мм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1.3.2. Филиал АО «ДРСК» «Хабаровские электрические сети» для СП «Северные электрические сети» Адрес склада: 681000, РФ, Хабаровский край, г. Комсомольск - на - Амуре, ул. Аллея Труда, 16А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 привода РА-8 с фланцем ТП 3.407.1-143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монтажных частей для разъединителя РЛНД (кронштейн РА-5-3шт, РА-2, РА-1, хомут Х7-3шт, Вал РА-3-2шт)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РА-1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РА-2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У-1 3.407.1-143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У-4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ТС-6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Накладка ОГ-2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Накладка ОГ-5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ЗП-1 1000мм ТП 3.407.1-143.8.54,27.0002-43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ТМ-1 3.407.1-143.8.1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ТМ-5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У-3 3.407.1-136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Х-7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для «Николаевского РЭС» Адрес склада: 680009, Хабаровский край, г. Хабаровск, ул. Промышленная, 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 привода РА-8 с фланцем ТП 3.407.1-143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монтажных частей для разъединителя РЛНД (кронштейн РА-5-3шт, РА-2, РА-1, хомут Х7-3шт, Вал РА-3-2шт)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У-1 3.407.1-143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1.4. Филиал АО «ДРСК» «ЭС ЕАО» Адрес склада: 679011, ЕАО, г. Биробиджан, ул. Черноморская, 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 привода РА-3 черт.3.407.1-143.8 для РДЗ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КМ-1 3.407.1-143.8.55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РА-1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РА-2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РА-3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РА-4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>
          <w:trHeight w:val="459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Кронштейн РА-5 3.407.1-143.8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ТС-1 3.407.1-143.8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Накладка ОГ-52 20.0027, Л56-97 для ЛЭП (серьга СРС-7-16)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Оголовок ОГ-13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ЗП-1 1000мм ТП 3.407.1-143.8.54,27.0002-43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ТМ-1 3.407.1-143.8.1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ТМ-2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ТМ-3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 3.407.1-143.8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ТН-2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крепления укоса У-3 3.407.1-136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Х-4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Х-7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Х-8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1.5. Филиал АО «ДРСК» «Южно-Якутские электрические сети» Адрес склада: 6678900, г. Алдан, ул. Тарабукина, 60А.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У-1 ТП 27.0002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подкоса У-71 ТП Л57-97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 монтажный КВ-22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 монтажный КН-18 для опор ВЛ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Надставка ТС-4 ч.3.407.1-143.8.25 для ЛЭП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ЗП-1 1000мм ТП 3.407.1-143.8.54,27.0002-43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 заземляющий ЗП-2 стальной 1000х10мм 3.407.1-136.01.04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ТМ-2002 12.020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ТМ-65 27.0002-30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ТМ-73 Л62-99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высоковольтная ТМ-80А Л56-97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ТН-18 20.0096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Траверса низковольтная ТН-9 3.407.1-136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 42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 (3.407.1-143.8)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 Х-10 (3.407.1-136) стальной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Normal"/>
        <w:suppressAutoHyphens w:val="true"/>
        <w:rPr>
          <w:rFonts w:ascii="Times New Roman" w:hAnsi="Times New Roman"/>
          <w:lang w:eastAsia="x-none"/>
        </w:rPr>
      </w:pPr>
      <w:r>
        <w:rPr/>
      </w:r>
      <w:bookmarkStart w:id="22" w:name="_Toc51339698_Копия_1"/>
      <w:bookmarkStart w:id="23" w:name="_Toc51339698_Копия_1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24" w:name="__RefHeading___Toc89661_1475472420"/>
      <w:bookmarkEnd w:id="24"/>
      <w:r>
        <w:rPr>
          <w:sz w:val="22"/>
          <w:szCs w:val="22"/>
        </w:rPr>
        <w:t xml:space="preserve"> </w:t>
      </w:r>
      <w:bookmarkStart w:id="25" w:name="_Toc75446582_Копия_1"/>
      <w:r>
        <w:rPr>
          <w:sz w:val="22"/>
          <w:szCs w:val="22"/>
        </w:rPr>
        <w:t>Таблица </w:t>
      </w:r>
      <w:r>
        <w:rPr>
          <w:sz w:val="22"/>
          <w:szCs w:val="22"/>
          <w:shd w:fill="auto" w:val="clear"/>
          <w:lang w:val="ru-RU"/>
        </w:rPr>
        <w:t>2</w:t>
      </w:r>
      <w:r>
        <w:rPr>
          <w:sz w:val="22"/>
          <w:szCs w:val="22"/>
          <w:shd w:fill="auto" w:val="clear"/>
        </w:rPr>
        <w:t>.</w:t>
      </w:r>
      <w:r>
        <w:rPr>
          <w:sz w:val="22"/>
          <w:szCs w:val="22"/>
          <w:shd w:fill="auto" w:val="clear"/>
        </w:rPr>
        <w:t>1</w:t>
      </w:r>
      <w:r>
        <w:rPr>
          <w:sz w:val="22"/>
          <w:szCs w:val="22"/>
          <w:shd w:fill="auto" w:val="clear"/>
          <w:lang w:val="ru-RU"/>
        </w:rPr>
        <w:t>.</w:t>
      </w:r>
      <w:r>
        <w:rPr>
          <w:sz w:val="22"/>
          <w:szCs w:val="22"/>
          <w:shd w:fill="auto" w:val="clear"/>
        </w:rPr>
        <w:t xml:space="preserve"> Требования к </w:t>
      </w:r>
      <w:r>
        <w:rPr>
          <w:sz w:val="22"/>
          <w:szCs w:val="22"/>
          <w:shd w:fill="auto" w:val="clear"/>
          <w:lang w:val="ru-RU"/>
        </w:rPr>
        <w:t>продукции</w:t>
      </w:r>
      <w:bookmarkEnd w:id="25"/>
      <w:r>
        <w:rPr>
          <w:sz w:val="22"/>
          <w:szCs w:val="22"/>
          <w:shd w:fill="auto" w:val="clear"/>
        </w:rPr>
        <w:t xml:space="preserve"> </w:t>
      </w:r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spacing w:before="120" w:after="0"/>
        <w:jc w:val="both"/>
        <w:rPr/>
      </w:pPr>
      <w:r>
        <w:rPr>
          <w:rStyle w:val="Style8"/>
          <w:rFonts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ОКПД2 25.11.23.115 Поставка комплектующих к опорам в рамках ремонтной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"Южно-Якутские электрические сети" и "Электрические сети Еврейской автономной области"</w:t>
      </w:r>
    </w:p>
    <w:tbl>
      <w:tblPr>
        <w:tblStyle w:val="af0"/>
        <w:tblpPr w:bottomFromText="0" w:horzAnchor="text" w:leftFromText="180" w:rightFromText="180" w:tblpX="74" w:tblpY="1" w:topFromText="0" w:vertAnchor="text"/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3262"/>
        <w:gridCol w:w="4394"/>
        <w:gridCol w:w="1843"/>
        <w:gridCol w:w="2551"/>
        <w:gridCol w:w="1842"/>
      </w:tblGrid>
      <w:tr>
        <w:trPr/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Гарантия на поставляемую продукцию должна составлять не менее 12 месяцев с даты подписания накладной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71" w:hRule="atLeast"/>
        </w:trPr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Гарантия на защиту от коррозии, при отсутствии механических повреждений, не менее 120 месяцев с даты подписания накладной ТОРГ-12/УПД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«Амурские электрические сети»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675000, РФ, Амурская обл., г.  Благовещенск, ул. Театральная, 179.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«Приморские электрические сети»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Продукция должна быть доставлена: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692524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, РФ, Приморский край, г. Уссурийск,  ул. Резервная, 22А.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«Хабаровские электрические сети»(СП ЦЭС)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Продукция должна быть доставлена: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680009 РФ, Хабаровский край, г. Хабаровск, ул. Промышленная, 13.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«Хабаровские электрические сети»(СП СЭС)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                          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681000, РФ, Хабаровский край, г. Комсомольск-на-Амуре, Северное шоссе, 59.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2.5.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ЭС ЕАО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679011 РФ, Еврейская Автономная область, г. Биробиджан, ул. Черноморская, 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2.6.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Южно-Якутские ЭС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678900, г. Алдан, ул. Тарабукина, 60А.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3.</w:t>
            </w:r>
          </w:p>
        </w:tc>
        <w:tc>
          <w:tcPr>
            <w:tcW w:w="1389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поставляемой продукции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Продукция должна быть новой, ранее неиспользованной, произведенной 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не ранее 2026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года.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3.2.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Параметрами эквивалентности являются ГОСТ, стандарты и марки, указанные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>таблице № 1.1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таблице № 1.1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4.</w:t>
            </w:r>
          </w:p>
        </w:tc>
        <w:tc>
          <w:tcPr>
            <w:tcW w:w="13892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техническим и функциональным характеристикам</w:t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4.1.</w:t>
            </w:r>
          </w:p>
        </w:tc>
        <w:tc>
          <w:tcPr>
            <w:tcW w:w="7656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должно быть серийного производства и соответствовать техническим требованиям, ГОСТ, ПУЭ, ТУ, руководствам (инструкциям) по эксплуатации завода-изготовителя, техническому описанию, а также техническим требованиям указанным в таблице 1.1 данных технических требований, а так же указанным в Приложении.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4"/>
        <w:numPr>
          <w:ilvl w:val="0"/>
          <w:numId w:val="0"/>
        </w:numPr>
        <w:suppressAutoHyphens w:val="true"/>
        <w:spacing w:before="120" w:after="0"/>
        <w:ind w:left="432" w:hanging="0"/>
        <w:rPr/>
      </w:pPr>
      <w:bookmarkStart w:id="26" w:name="__RefHeading___Toc89663_1475472420"/>
      <w:bookmarkEnd w:id="26"/>
      <w:r>
        <w:rPr>
          <w:sz w:val="22"/>
          <w:szCs w:val="22"/>
          <w:shd w:fill="auto" w:val="clear"/>
        </w:rPr>
        <w:t xml:space="preserve">3. </w:t>
      </w:r>
      <w:bookmarkStart w:id="27" w:name="_Toc75446583_Копия_1"/>
      <w:bookmarkStart w:id="28" w:name="_Toc75446581"/>
      <w:bookmarkStart w:id="29" w:name="_Toc53393312_Копия_1"/>
      <w:r>
        <w:rPr>
          <w:sz w:val="22"/>
          <w:szCs w:val="22"/>
          <w:shd w:fill="auto" w:val="clear"/>
          <w:lang w:val="ru-RU"/>
        </w:rPr>
        <w:t>Требования к документации по ценообразованию</w:t>
      </w:r>
      <w:bookmarkEnd w:id="29"/>
      <w:r>
        <w:rPr>
          <w:sz w:val="22"/>
          <w:szCs w:val="22"/>
          <w:shd w:fill="auto" w:val="clear"/>
          <w:lang w:val="ru-RU"/>
        </w:rPr>
        <w:t xml:space="preserve"> на этапе закупки</w:t>
      </w:r>
      <w:bookmarkStart w:id="30" w:name="_Toc51339698"/>
      <w:bookmarkEnd w:id="27"/>
      <w:bookmarkEnd w:id="28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31" w:name="__RefHeading___Toc39106_1870262708"/>
      <w:bookmarkEnd w:id="31"/>
      <w:r>
        <w:rPr>
          <w:sz w:val="22"/>
          <w:szCs w:val="22"/>
          <w:shd w:fill="auto" w:val="clear"/>
        </w:rPr>
        <w:t xml:space="preserve"> </w:t>
      </w:r>
      <w:bookmarkStart w:id="32" w:name="_Toc75446582"/>
      <w:bookmarkEnd w:id="30"/>
      <w:bookmarkEnd w:id="32"/>
      <w:r>
        <w:rPr>
          <w:b/>
          <w:bCs/>
          <w:i/>
          <w:iCs/>
          <w:sz w:val="22"/>
          <w:szCs w:val="22"/>
          <w:shd w:fill="auto" w:val="clear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shd w:fill="auto" w:val="clear"/>
          <w:lang w:eastAsia="x-none"/>
        </w:rPr>
        <w:t>«</w:t>
      </w:r>
      <w:r>
        <w:rPr>
          <w:rFonts w:eastAsia="Calibri"/>
          <w:b/>
          <w:i/>
          <w:sz w:val="22"/>
          <w:szCs w:val="22"/>
          <w:shd w:fill="auto" w:val="clear"/>
          <w:lang w:eastAsia="x-none"/>
        </w:rPr>
        <w:t>ОКПД2 25.11.23.115 Поставка комплектующих к опорам в рамках ремонтной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"Южно-Якутские электрические сети" и "Электрические сети Еврейской автономной области"</w:t>
      </w:r>
      <w:r>
        <w:rPr>
          <w:rFonts w:eastAsia="Calibri"/>
          <w:i/>
          <w:sz w:val="22"/>
          <w:szCs w:val="22"/>
          <w:shd w:fill="auto" w:val="clear"/>
          <w:lang w:eastAsia="x-none"/>
        </w:rPr>
        <w:t>»</w:t>
      </w:r>
    </w:p>
    <w:p>
      <w:pPr>
        <w:pStyle w:val="Normal"/>
        <w:suppressAutoHyphens w:val="true"/>
        <w:jc w:val="both"/>
        <w:rPr>
          <w:rFonts w:eastAsia="Calibri"/>
          <w:i/>
          <w:i/>
          <w:sz w:val="22"/>
          <w:szCs w:val="22"/>
          <w:lang w:eastAsia="x-none"/>
        </w:rPr>
      </w:pPr>
      <w:r>
        <w:rPr>
          <w:rFonts w:eastAsia="Calibri"/>
          <w:i/>
          <w:sz w:val="22"/>
          <w:szCs w:val="22"/>
          <w:lang w:eastAsia="x-none"/>
        </w:rPr>
      </w:r>
    </w:p>
    <w:p>
      <w:pPr>
        <w:pStyle w:val="Normal"/>
        <w:suppressAutoHyphens w:val="true"/>
        <w:jc w:val="both"/>
        <w:rPr/>
      </w:pPr>
      <w:bookmarkStart w:id="33" w:name="_Toc75446583"/>
      <w:bookmarkStart w:id="34" w:name="_Toc53393312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34"/>
      <w:r>
        <w:rPr>
          <w:sz w:val="22"/>
          <w:szCs w:val="22"/>
          <w:lang w:val="ru-RU"/>
        </w:rPr>
        <w:t xml:space="preserve"> на этапе закупки</w:t>
      </w:r>
      <w:bookmarkEnd w:id="33"/>
    </w:p>
    <w:p>
      <w:pPr>
        <w:pStyle w:val="Normal"/>
        <w:tabs>
          <w:tab w:val="clear" w:pos="708"/>
          <w:tab w:val="left" w:pos="1134" w:leader="none"/>
        </w:tabs>
        <w:suppressAutoHyphens w:val="true"/>
        <w:ind w:right="593" w:firstLine="567"/>
        <w:jc w:val="both"/>
        <w:rPr/>
      </w:pPr>
      <w:r>
        <w:rPr>
          <w:bCs/>
          <w:iCs/>
          <w:sz w:val="22"/>
          <w:szCs w:val="22"/>
          <w:lang w:eastAsia="x-none"/>
        </w:rPr>
        <w:t xml:space="preserve"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Участник должен в форме коммерческого предложения указать Производителя предлагаемой продукции. </w:t>
      </w:r>
    </w:p>
    <w:p>
      <w:pPr>
        <w:pStyle w:val="Normal"/>
        <w:suppressAutoHyphens w:val="true"/>
        <w:ind w:right="593" w:firstLine="567"/>
        <w:jc w:val="both"/>
        <w:rPr/>
      </w:pPr>
      <w:r>
        <w:rPr>
          <w:bCs/>
          <w:iCs/>
          <w:sz w:val="22"/>
          <w:szCs w:val="22"/>
          <w:lang w:eastAsia="x-none"/>
        </w:rPr>
        <w:t>3.2.</w:t>
      </w:r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suppressAutoHyphens w:val="true"/>
        <w:ind w:right="593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true"/>
        <w:ind w:right="593" w:firstLine="567"/>
        <w:jc w:val="both"/>
        <w:rPr>
          <w:sz w:val="22"/>
          <w:szCs w:val="22"/>
        </w:rPr>
      </w:pPr>
      <w:r>
        <w:rPr/>
      </w:r>
    </w:p>
    <w:p>
      <w:pPr>
        <w:pStyle w:val="Normal"/>
        <w:suppressAutoHyphens w:val="true"/>
        <w:ind w:right="593" w:firstLine="567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418" w:right="1103" w:gutter="0" w:header="68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Style15">
    <w:name w:val="Ссылка указателя"/>
    <w:qFormat/>
    <w:rPr/>
  </w:style>
  <w:style w:type="character" w:styleId="Style16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40124915411">
    <w:name w:val="4012491541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3187-CB0A-4DE0-A69C-A9512B3D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3380</TotalTime>
  <Application>AlterOffice/3.4.0.6$Linux_X86_64 LibreOffice_project/ad8c41dce69105450bf791d4900d64b1f82e10d0</Application>
  <AppVersion>15.0000</AppVersion>
  <Pages>12</Pages>
  <Words>2192</Words>
  <Characters>12785</Characters>
  <CharactersWithSpaces>14436</CharactersWithSpaces>
  <Paragraphs>736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alieva_di</cp:lastModifiedBy>
  <cp:lastPrinted>2006-07-26T14:04:00Z</cp:lastPrinted>
  <dcterms:modified xsi:type="dcterms:W3CDTF">2026-08-11T16:35:29Z</dcterms:modified>
  <cp:revision>254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