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DB2" w:rsidRDefault="00997DB2">
      <w:pPr>
        <w:rPr>
          <w:sz w:val="24"/>
          <w:szCs w:val="24"/>
        </w:rPr>
      </w:pPr>
    </w:p>
    <w:p w:rsidR="00997DB2" w:rsidRDefault="00997DB2">
      <w:pPr>
        <w:keepNext/>
        <w:keepLines/>
        <w:rPr>
          <w:sz w:val="24"/>
          <w:szCs w:val="24"/>
        </w:rPr>
      </w:pPr>
    </w:p>
    <w:p w:rsidR="00997DB2" w:rsidRDefault="00997DB2">
      <w:pPr>
        <w:keepNext/>
        <w:keepLines/>
        <w:rPr>
          <w:sz w:val="24"/>
          <w:szCs w:val="24"/>
        </w:rPr>
      </w:pPr>
    </w:p>
    <w:p w:rsidR="00997DB2" w:rsidRDefault="00997DB2">
      <w:pPr>
        <w:keepNext/>
        <w:keepLines/>
        <w:rPr>
          <w:sz w:val="24"/>
          <w:szCs w:val="24"/>
        </w:rPr>
      </w:pPr>
    </w:p>
    <w:p w:rsidR="00997DB2" w:rsidRDefault="00997DB2">
      <w:pPr>
        <w:keepNext/>
        <w:keepLines/>
        <w:rPr>
          <w:sz w:val="24"/>
          <w:szCs w:val="24"/>
        </w:rPr>
      </w:pPr>
    </w:p>
    <w:p w:rsidR="00997DB2" w:rsidRDefault="00997DB2">
      <w:pPr>
        <w:keepNext/>
        <w:keepLines/>
        <w:rPr>
          <w:sz w:val="24"/>
          <w:szCs w:val="24"/>
        </w:rPr>
      </w:pPr>
    </w:p>
    <w:p w:rsidR="00997DB2" w:rsidRDefault="00997DB2">
      <w:pPr>
        <w:keepNext/>
        <w:keepLines/>
        <w:rPr>
          <w:sz w:val="24"/>
          <w:szCs w:val="24"/>
        </w:rPr>
      </w:pPr>
    </w:p>
    <w:p w:rsidR="00997DB2" w:rsidRDefault="00997DB2">
      <w:pPr>
        <w:keepNext/>
        <w:keepLines/>
        <w:rPr>
          <w:sz w:val="24"/>
          <w:szCs w:val="24"/>
        </w:rPr>
      </w:pPr>
    </w:p>
    <w:p w:rsidR="00997DB2" w:rsidRDefault="00997DB2">
      <w:pPr>
        <w:keepNext/>
        <w:keepLines/>
        <w:rPr>
          <w:sz w:val="24"/>
          <w:szCs w:val="24"/>
        </w:rPr>
      </w:pPr>
    </w:p>
    <w:p w:rsidR="00997DB2" w:rsidRDefault="00997DB2">
      <w:pPr>
        <w:keepNext/>
        <w:keepLines/>
        <w:rPr>
          <w:sz w:val="24"/>
          <w:szCs w:val="24"/>
        </w:rPr>
      </w:pPr>
    </w:p>
    <w:p w:rsidR="00997DB2" w:rsidRDefault="00997DB2">
      <w:pPr>
        <w:keepNext/>
        <w:keepLines/>
        <w:rPr>
          <w:sz w:val="24"/>
          <w:szCs w:val="24"/>
        </w:rPr>
      </w:pPr>
    </w:p>
    <w:p w:rsidR="00997DB2" w:rsidRDefault="00CA2FFB">
      <w:pPr>
        <w:keepNext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</w:t>
      </w:r>
    </w:p>
    <w:p w:rsidR="00997DB2" w:rsidRDefault="00997DB2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997DB2" w:rsidRDefault="00997DB2">
      <w:pPr>
        <w:keepNext/>
        <w:keepLines/>
        <w:jc w:val="center"/>
        <w:rPr>
          <w:rFonts w:eastAsia="Calibri"/>
          <w:sz w:val="24"/>
          <w:szCs w:val="24"/>
        </w:rPr>
      </w:pPr>
    </w:p>
    <w:p w:rsidR="00997DB2" w:rsidRDefault="00CA2FFB">
      <w:pPr>
        <w:jc w:val="center"/>
        <w:rPr>
          <w:rFonts w:eastAsia="Calibri"/>
          <w:b/>
          <w:sz w:val="24"/>
          <w:szCs w:val="24"/>
          <w:highlight w:val="yellow"/>
        </w:rPr>
      </w:pPr>
      <w:r>
        <w:rPr>
          <w:rFonts w:eastAsia="Calibri"/>
          <w:b/>
          <w:sz w:val="24"/>
          <w:szCs w:val="24"/>
          <w:highlight w:val="yellow"/>
        </w:rPr>
        <w:t xml:space="preserve">ОКПД2 </w:t>
      </w:r>
      <w:r w:rsidRPr="00462401">
        <w:rPr>
          <w:b/>
          <w:bCs/>
          <w:color w:val="000000"/>
          <w:spacing w:val="-6"/>
          <w:szCs w:val="24"/>
        </w:rPr>
        <w:t>26.20.21.140</w:t>
      </w:r>
      <w:r>
        <w:rPr>
          <w:b/>
          <w:bCs/>
          <w:color w:val="000000"/>
          <w:spacing w:val="-6"/>
          <w:szCs w:val="24"/>
        </w:rPr>
        <w:t xml:space="preserve"> </w:t>
      </w:r>
      <w:bookmarkStart w:id="0" w:name="_GoBack"/>
      <w:bookmarkEnd w:id="0"/>
      <w:r>
        <w:rPr>
          <w:rFonts w:eastAsia="Calibri"/>
          <w:b/>
          <w:sz w:val="24"/>
          <w:szCs w:val="24"/>
        </w:rPr>
        <w:t xml:space="preserve">Поставка </w:t>
      </w:r>
      <w:r>
        <w:rPr>
          <w:rFonts w:eastAsia="Calibri"/>
          <w:b/>
          <w:sz w:val="24"/>
          <w:szCs w:val="24"/>
          <w:highlight w:val="yellow"/>
        </w:rPr>
        <w:t>оборудования IPDROM</w:t>
      </w:r>
      <w:r>
        <w:rPr>
          <w:rFonts w:eastAsia="Calibri"/>
          <w:b/>
          <w:sz w:val="24"/>
          <w:szCs w:val="24"/>
        </w:rPr>
        <w:t xml:space="preserve"> для Новосибирской ГЭС</w:t>
      </w:r>
    </w:p>
    <w:p w:rsidR="00997DB2" w:rsidRDefault="00CA2FFB">
      <w:pPr>
        <w:pStyle w:val="22"/>
        <w:spacing w:before="300" w:after="75"/>
        <w:jc w:val="center"/>
        <w:rPr>
          <w:bCs w:val="0"/>
          <w:lang w:val="ru-RU" w:eastAsia="ru-RU"/>
        </w:rPr>
      </w:pPr>
      <w:bookmarkStart w:id="1" w:name="_Toc205981909"/>
      <w:r>
        <w:rPr>
          <w:bCs w:val="0"/>
          <w:lang w:val="ru-RU" w:eastAsia="ru-RU"/>
        </w:rPr>
        <w:t xml:space="preserve">Лот № </w:t>
      </w:r>
      <w:r>
        <w:rPr>
          <w:bCs w:val="0"/>
          <w:highlight w:val="yellow"/>
          <w:lang w:val="ru-RU" w:eastAsia="ru-RU"/>
        </w:rPr>
        <w:t>0000-ТПиР БЕЗОП ДОХ-2026-ГРВКК-СШФ</w:t>
      </w:r>
      <w:bookmarkEnd w:id="1"/>
    </w:p>
    <w:p w:rsidR="00997DB2" w:rsidRDefault="00997DB2">
      <w:pPr>
        <w:jc w:val="center"/>
        <w:rPr>
          <w:sz w:val="24"/>
          <w:szCs w:val="24"/>
        </w:rPr>
        <w:sectPr w:rsidR="00997DB2">
          <w:headerReference w:type="default" r:id="rId8"/>
          <w:pgSz w:w="11906" w:h="16838"/>
          <w:pgMar w:top="1134" w:right="851" w:bottom="992" w:left="1134" w:header="680" w:footer="0" w:gutter="0"/>
          <w:cols w:space="720"/>
          <w:formProt w:val="0"/>
          <w:docGrid w:linePitch="360"/>
        </w:sectPr>
      </w:pPr>
    </w:p>
    <w:p w:rsidR="00997DB2" w:rsidRDefault="00CA2FFB">
      <w:pPr>
        <w:pStyle w:val="1"/>
        <w:keepLines/>
        <w:ind w:left="357" w:hanging="357"/>
        <w:jc w:val="center"/>
        <w:rPr>
          <w:sz w:val="24"/>
          <w:szCs w:val="24"/>
        </w:rPr>
      </w:pPr>
      <w:bookmarkStart w:id="2" w:name="_Toc205981910"/>
      <w:bookmarkStart w:id="3" w:name="_Toc51339692"/>
      <w:r>
        <w:rPr>
          <w:sz w:val="24"/>
          <w:szCs w:val="24"/>
          <w:lang w:val="ru-RU"/>
        </w:rPr>
        <w:lastRenderedPageBreak/>
        <w:t>Общие сведения</w:t>
      </w:r>
      <w:bookmarkEnd w:id="2"/>
      <w:bookmarkEnd w:id="3"/>
    </w:p>
    <w:p w:rsidR="00997DB2" w:rsidRDefault="00997DB2">
      <w:pPr>
        <w:ind w:left="357" w:hanging="357"/>
        <w:jc w:val="center"/>
        <w:rPr>
          <w:sz w:val="24"/>
          <w:szCs w:val="24"/>
        </w:rPr>
      </w:pPr>
    </w:p>
    <w:p w:rsidR="00997DB2" w:rsidRDefault="00CA2FFB">
      <w:pPr>
        <w:pStyle w:val="40"/>
        <w:numPr>
          <w:ilvl w:val="1"/>
          <w:numId w:val="3"/>
        </w:numPr>
      </w:pPr>
      <w:bookmarkStart w:id="4" w:name="_Toc205981911"/>
      <w:bookmarkStart w:id="5" w:name="_Toc46743506"/>
      <w:r>
        <w:t>Наименование закупаемой продукции</w:t>
      </w:r>
      <w:bookmarkEnd w:id="4"/>
      <w:bookmarkEnd w:id="5"/>
    </w:p>
    <w:p w:rsidR="00997DB2" w:rsidRDefault="00CA2FFB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highlight w:val="yellow"/>
          <w:lang w:eastAsia="x-none"/>
        </w:rPr>
        <w:t>ОКПД2 00.00.00</w:t>
      </w:r>
      <w:r>
        <w:rPr>
          <w:rFonts w:eastAsia="Calibri"/>
          <w:sz w:val="24"/>
          <w:szCs w:val="24"/>
          <w:lang w:eastAsia="x-none"/>
        </w:rPr>
        <w:t xml:space="preserve"> Поставка </w:t>
      </w:r>
      <w:r>
        <w:rPr>
          <w:rFonts w:eastAsia="Calibri"/>
          <w:sz w:val="24"/>
          <w:szCs w:val="24"/>
          <w:highlight w:val="yellow"/>
          <w:lang w:eastAsia="x-none"/>
        </w:rPr>
        <w:t>оборудования IPDROM</w:t>
      </w:r>
      <w:r>
        <w:rPr>
          <w:rFonts w:eastAsia="Calibri"/>
          <w:sz w:val="24"/>
          <w:szCs w:val="24"/>
          <w:lang w:eastAsia="x-none"/>
        </w:rPr>
        <w:t xml:space="preserve"> для Новосибирской ГЭС (далее – продукция).</w:t>
      </w:r>
    </w:p>
    <w:p w:rsidR="00997DB2" w:rsidRDefault="00997DB2">
      <w:pPr>
        <w:jc w:val="both"/>
        <w:rPr>
          <w:sz w:val="24"/>
          <w:szCs w:val="24"/>
        </w:rPr>
      </w:pPr>
    </w:p>
    <w:p w:rsidR="00997DB2" w:rsidRDefault="00CA2FFB">
      <w:pPr>
        <w:pStyle w:val="40"/>
        <w:numPr>
          <w:ilvl w:val="1"/>
          <w:numId w:val="3"/>
        </w:numPr>
        <w:spacing w:before="0"/>
        <w:ind w:left="431" w:hanging="431"/>
      </w:pPr>
      <w:bookmarkStart w:id="6" w:name="_Toc46743507"/>
      <w:bookmarkStart w:id="7" w:name="_Toc205981912"/>
      <w:r>
        <w:t xml:space="preserve">Цель </w:t>
      </w:r>
      <w:bookmarkEnd w:id="6"/>
      <w:r>
        <w:rPr>
          <w:lang w:val="ru-RU"/>
        </w:rPr>
        <w:t>использования закупаемой продукции</w:t>
      </w:r>
      <w:bookmarkEnd w:id="7"/>
    </w:p>
    <w:p w:rsidR="00997DB2" w:rsidRDefault="00CA2FFB">
      <w:pPr>
        <w:suppressAutoHyphens w:val="0"/>
        <w:overflowPunct w:val="0"/>
        <w:rPr>
          <w:rStyle w:val="aff1"/>
          <w:rFonts w:ascii="TimesNewRomanPSMT" w:hAnsi="TimesNewRomanPSMT" w:cs="TimesNewRomanPSMT"/>
          <w:b w:val="0"/>
          <w:i w:val="0"/>
          <w:sz w:val="24"/>
          <w:szCs w:val="24"/>
          <w:shd w:val="clear" w:color="auto" w:fill="auto"/>
        </w:rPr>
      </w:pPr>
      <w:r>
        <w:rPr>
          <w:rStyle w:val="aff1"/>
          <w:b w:val="0"/>
          <w:i w:val="0"/>
          <w:sz w:val="24"/>
          <w:szCs w:val="24"/>
          <w:shd w:val="clear" w:color="auto" w:fill="auto"/>
        </w:rPr>
        <w:t>Исполнение обязательств по договору подряда</w:t>
      </w:r>
      <w:r>
        <w:rPr>
          <w:rStyle w:val="aff1"/>
          <w:shd w:val="clear" w:color="auto" w:fill="auto"/>
        </w:rPr>
        <w:t xml:space="preserve"> </w:t>
      </w:r>
      <w:r>
        <w:rPr>
          <w:rStyle w:val="aff1"/>
          <w:b w:val="0"/>
          <w:i w:val="0"/>
          <w:sz w:val="24"/>
          <w:szCs w:val="24"/>
          <w:shd w:val="clear" w:color="auto" w:fill="auto"/>
        </w:rPr>
        <w:t xml:space="preserve">№3-ТПиР-2026 от 05.06.2026 «Поставка, монтаж и </w:t>
      </w:r>
      <w:r>
        <w:rPr>
          <w:rStyle w:val="aff1"/>
          <w:b w:val="0"/>
          <w:i w:val="0"/>
          <w:sz w:val="24"/>
          <w:szCs w:val="24"/>
          <w:shd w:val="clear" w:color="auto" w:fill="auto"/>
        </w:rPr>
        <w:t>наладка оборудования технологического телевидения Новосибирской ГЭС в рамках выполнения инвестиционного проекта I_T-1260-025», заключенного между филиалом ПАО «РусГидро» - «Новосибирская ГЭС» и Саяно-Шушенским филиалом АО «</w:t>
      </w:r>
      <w:proofErr w:type="spellStart"/>
      <w:r>
        <w:rPr>
          <w:rStyle w:val="aff1"/>
          <w:b w:val="0"/>
          <w:i w:val="0"/>
          <w:sz w:val="24"/>
          <w:szCs w:val="24"/>
          <w:shd w:val="clear" w:color="auto" w:fill="auto"/>
        </w:rPr>
        <w:t>Гидроремонт</w:t>
      </w:r>
      <w:proofErr w:type="spellEnd"/>
      <w:r>
        <w:rPr>
          <w:rStyle w:val="aff1"/>
          <w:b w:val="0"/>
          <w:i w:val="0"/>
          <w:sz w:val="24"/>
          <w:szCs w:val="24"/>
          <w:shd w:val="clear" w:color="auto" w:fill="auto"/>
        </w:rPr>
        <w:t>-ВКК».</w:t>
      </w:r>
    </w:p>
    <w:p w:rsidR="00997DB2" w:rsidRDefault="00997DB2">
      <w:pPr>
        <w:ind w:firstLine="708"/>
        <w:jc w:val="both"/>
        <w:rPr>
          <w:sz w:val="24"/>
          <w:szCs w:val="24"/>
        </w:rPr>
      </w:pPr>
    </w:p>
    <w:p w:rsidR="00997DB2" w:rsidRDefault="00CA2FFB">
      <w:pPr>
        <w:pStyle w:val="1"/>
        <w:keepLines/>
        <w:ind w:left="357" w:hanging="357"/>
        <w:jc w:val="center"/>
        <w:rPr>
          <w:sz w:val="24"/>
          <w:szCs w:val="24"/>
        </w:rPr>
      </w:pPr>
      <w:bookmarkStart w:id="8" w:name="_Toc205981913"/>
      <w:bookmarkStart w:id="9" w:name="_Toc51339693"/>
      <w:r>
        <w:rPr>
          <w:iCs/>
          <w:sz w:val="24"/>
          <w:szCs w:val="24"/>
        </w:rPr>
        <w:t>Требования к п</w:t>
      </w:r>
      <w:r>
        <w:rPr>
          <w:iCs/>
          <w:sz w:val="24"/>
          <w:szCs w:val="24"/>
        </w:rPr>
        <w:t>родукции</w:t>
      </w:r>
      <w:bookmarkEnd w:id="8"/>
      <w:bookmarkEnd w:id="9"/>
    </w:p>
    <w:p w:rsidR="00997DB2" w:rsidRDefault="00CA2FFB">
      <w:pPr>
        <w:pStyle w:val="40"/>
        <w:numPr>
          <w:ilvl w:val="1"/>
          <w:numId w:val="3"/>
        </w:numPr>
      </w:pPr>
      <w:bookmarkStart w:id="10" w:name="_Toc20598191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10"/>
    </w:p>
    <w:p w:rsidR="00997DB2" w:rsidRDefault="00CA2FFB">
      <w:pPr>
        <w:pStyle w:val="31"/>
      </w:pPr>
      <w:bookmarkStart w:id="11" w:name="_Toc205981915"/>
      <w:r>
        <w:rPr>
          <w:lang w:val="ru-RU"/>
        </w:rPr>
        <w:t>Перечень и объем закупаемой продукции</w:t>
      </w:r>
      <w:bookmarkEnd w:id="11"/>
    </w:p>
    <w:p w:rsidR="00997DB2" w:rsidRDefault="00CA2FFB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12" w:name="_Toc51339695"/>
      <w:bookmarkStart w:id="13" w:name="_Toc20598191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закупаемой продукции</w:t>
      </w:r>
      <w:bookmarkEnd w:id="13"/>
    </w:p>
    <w:tbl>
      <w:tblPr>
        <w:tblW w:w="9915" w:type="dxa"/>
        <w:jc w:val="right"/>
        <w:tblLayout w:type="fixed"/>
        <w:tblLook w:val="04A0" w:firstRow="1" w:lastRow="0" w:firstColumn="1" w:lastColumn="0" w:noHBand="0" w:noVBand="1"/>
      </w:tblPr>
      <w:tblGrid>
        <w:gridCol w:w="675"/>
        <w:gridCol w:w="6407"/>
        <w:gridCol w:w="1309"/>
        <w:gridCol w:w="1524"/>
      </w:tblGrid>
      <w:tr w:rsidR="00997DB2">
        <w:trPr>
          <w:trHeight w:val="780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97DB2" w:rsidRDefault="00CA2FFB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997DB2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997DB2">
        <w:trPr>
          <w:trHeight w:val="336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CA2FFB">
            <w:pPr>
              <w:pStyle w:val="aff0"/>
              <w:widowControl w:val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CA2FFB">
            <w:pPr>
              <w:widowControl w:val="0"/>
              <w:overflowPunct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Программно-Аппаратный Комплекс IPDROM PRO на базе </w:t>
            </w:r>
            <w:r>
              <w:rPr>
                <w:color w:val="000000"/>
                <w:sz w:val="24"/>
                <w:szCs w:val="24"/>
              </w:rPr>
              <w:t>сервера 2U QSRV-271212-P-R-IPD (yk11072025_1sw) и Программного Обеспечения Интеллект X Корпоративная</w:t>
            </w: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CA2FFB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CA2FFB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997DB2">
        <w:trPr>
          <w:trHeight w:val="336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CA2FFB">
            <w:pPr>
              <w:pStyle w:val="aff0"/>
              <w:widowControl w:val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CA2FFB">
            <w:pPr>
              <w:widowControl w:val="0"/>
              <w:overflowPunct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Программно-Аппаратный Комплекс IPDROM PRO на базе сервера 2U QSRV-271212-P-R-IPD (yk11072025_2sw)  и Программного Обеспечения Интеллект X Корпоративная </w:t>
            </w:r>
            <w:r>
              <w:rPr>
                <w:color w:val="000000"/>
                <w:sz w:val="24"/>
                <w:szCs w:val="24"/>
                <w:lang w:val="en-US"/>
              </w:rPr>
              <w:t>QSRV</w:t>
            </w:r>
            <w:r>
              <w:rPr>
                <w:color w:val="000000"/>
                <w:sz w:val="24"/>
                <w:szCs w:val="24"/>
              </w:rPr>
              <w:t>-271212-</w:t>
            </w:r>
            <w:r>
              <w:rPr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R</w:t>
            </w: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IPD</w:t>
            </w:r>
            <w:r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yk</w:t>
            </w:r>
            <w:proofErr w:type="spellEnd"/>
            <w:r>
              <w:rPr>
                <w:color w:val="000000"/>
                <w:sz w:val="24"/>
                <w:szCs w:val="24"/>
              </w:rPr>
              <w:t>11072025_2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sw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CA2FFB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CA2FFB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</w:tr>
    </w:tbl>
    <w:p w:rsidR="00997DB2" w:rsidRDefault="00997DB2">
      <w:pPr>
        <w:rPr>
          <w:sz w:val="24"/>
          <w:szCs w:val="24"/>
          <w:lang w:eastAsia="x-none"/>
        </w:rPr>
      </w:pPr>
    </w:p>
    <w:p w:rsidR="00997DB2" w:rsidRDefault="00CA2FFB">
      <w:pPr>
        <w:pStyle w:val="31"/>
        <w:rPr>
          <w:lang w:val="ru-RU"/>
        </w:rPr>
      </w:pPr>
      <w:bookmarkStart w:id="14" w:name="_Toc205981917"/>
      <w:r>
        <w:rPr>
          <w:lang w:val="ru-RU"/>
        </w:rPr>
        <w:t xml:space="preserve">Требования к срокам поставки продукции </w:t>
      </w:r>
      <w:bookmarkEnd w:id="14"/>
    </w:p>
    <w:p w:rsidR="00997DB2" w:rsidRDefault="00CA2FFB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15" w:name="_Toc50125126_Копия_1"/>
      <w:bookmarkStart w:id="16" w:name="_Toc50125127"/>
      <w:bookmarkStart w:id="17" w:name="_Toc51339697"/>
      <w:bookmarkStart w:id="18" w:name="_Toc205981918"/>
      <w:bookmarkEnd w:id="1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 </w:t>
      </w:r>
      <w:bookmarkStart w:id="19" w:name="_Hlk50465284"/>
      <w:r>
        <w:rPr>
          <w:sz w:val="24"/>
          <w:szCs w:val="24"/>
        </w:rPr>
        <w:t xml:space="preserve">Требования по срокам </w:t>
      </w:r>
      <w:bookmarkEnd w:id="16"/>
      <w:bookmarkEnd w:id="17"/>
      <w:bookmarkEnd w:id="19"/>
      <w:r>
        <w:rPr>
          <w:sz w:val="24"/>
          <w:szCs w:val="24"/>
          <w:lang w:val="ru-RU"/>
        </w:rPr>
        <w:t>поставки продукции</w:t>
      </w:r>
      <w:bookmarkEnd w:id="18"/>
      <w:r>
        <w:rPr>
          <w:sz w:val="24"/>
          <w:szCs w:val="24"/>
          <w:lang w:val="ru-RU"/>
        </w:rPr>
        <w:t xml:space="preserve"> </w:t>
      </w:r>
      <w:bookmarkStart w:id="20" w:name="_Toc46743511"/>
      <w:bookmarkEnd w:id="20"/>
    </w:p>
    <w:tbl>
      <w:tblPr>
        <w:tblW w:w="9916" w:type="dxa"/>
        <w:jc w:val="right"/>
        <w:tblLayout w:type="fixed"/>
        <w:tblLook w:val="04A0" w:firstRow="1" w:lastRow="0" w:firstColumn="1" w:lastColumn="0" w:noHBand="0" w:noVBand="1"/>
      </w:tblPr>
      <w:tblGrid>
        <w:gridCol w:w="675"/>
        <w:gridCol w:w="5110"/>
        <w:gridCol w:w="2104"/>
        <w:gridCol w:w="2027"/>
      </w:tblGrid>
      <w:tr w:rsidR="00997DB2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997DB2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DB2" w:rsidRDefault="00CA2FFB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DB2" w:rsidRDefault="00CA2FFB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997DB2">
        <w:trPr>
          <w:trHeight w:val="905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pStyle w:val="aff0"/>
              <w:widowControl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DB2" w:rsidRDefault="00CA2FFB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ОКПД2 00.00.00</w:t>
            </w:r>
            <w:r>
              <w:rPr>
                <w:sz w:val="24"/>
                <w:szCs w:val="24"/>
              </w:rPr>
              <w:t xml:space="preserve"> Поставка </w:t>
            </w:r>
            <w:r>
              <w:rPr>
                <w:sz w:val="24"/>
                <w:szCs w:val="24"/>
                <w:highlight w:val="yellow"/>
              </w:rPr>
              <w:t>оборудования IPDROM</w:t>
            </w:r>
            <w:r>
              <w:rPr>
                <w:sz w:val="24"/>
                <w:szCs w:val="24"/>
              </w:rPr>
              <w:t xml:space="preserve"> для Новосибирской ГЭС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  <w:lang w:val="en-US"/>
              </w:rPr>
              <w:t>29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января</w:t>
            </w:r>
            <w:proofErr w:type="spellEnd"/>
            <w:r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 xml:space="preserve"> г.*</w:t>
            </w:r>
          </w:p>
        </w:tc>
      </w:tr>
    </w:tbl>
    <w:p w:rsidR="00997DB2" w:rsidRDefault="00CA2FFB">
      <w:pPr>
        <w:pStyle w:val="aff0"/>
        <w:ind w:left="0"/>
        <w:jc w:val="both"/>
        <w:rPr>
          <w:i/>
          <w:sz w:val="24"/>
          <w:szCs w:val="24"/>
        </w:rPr>
        <w:sectPr w:rsidR="00997DB2">
          <w:headerReference w:type="default" r:id="rId9"/>
          <w:headerReference w:type="first" r:id="rId10"/>
          <w:pgSz w:w="11906" w:h="16838"/>
          <w:pgMar w:top="851" w:right="1134" w:bottom="1134" w:left="1134" w:header="0" w:footer="0" w:gutter="0"/>
          <w:cols w:space="720"/>
          <w:formProt w:val="0"/>
          <w:docGrid w:linePitch="100"/>
        </w:sectPr>
      </w:pPr>
      <w:r>
        <w:rPr>
          <w:i/>
          <w:sz w:val="24"/>
          <w:szCs w:val="24"/>
        </w:rPr>
        <w:t xml:space="preserve">*В соответствии с календарным графиком поставки оборудования и выполнения работ по доходному договору №3-ТПиР-2026 «Поставка, монтаж и наладка </w:t>
      </w:r>
      <w:r>
        <w:rPr>
          <w:i/>
          <w:sz w:val="24"/>
          <w:szCs w:val="24"/>
        </w:rPr>
        <w:t>оборудования технологического телевидения Новосибирской ГЭС в рамках выполнения инвестиционного проекта I_T-1260-025»</w:t>
      </w:r>
    </w:p>
    <w:p w:rsidR="00997DB2" w:rsidRDefault="00997DB2">
      <w:pPr>
        <w:pStyle w:val="aff0"/>
        <w:ind w:left="0"/>
        <w:jc w:val="both"/>
        <w:rPr>
          <w:i/>
          <w:szCs w:val="24"/>
        </w:rPr>
      </w:pPr>
    </w:p>
    <w:p w:rsidR="00997DB2" w:rsidRDefault="00997DB2">
      <w:pPr>
        <w:pStyle w:val="aff0"/>
        <w:ind w:left="0"/>
        <w:jc w:val="both"/>
        <w:rPr>
          <w:i/>
          <w:szCs w:val="24"/>
        </w:rPr>
      </w:pPr>
    </w:p>
    <w:p w:rsidR="00997DB2" w:rsidRDefault="00CA2FFB">
      <w:pPr>
        <w:pStyle w:val="aff0"/>
        <w:ind w:left="0"/>
        <w:jc w:val="center"/>
        <w:rPr>
          <w:rFonts w:eastAsia="Calibri"/>
          <w:b/>
          <w:bCs/>
          <w:sz w:val="24"/>
          <w:szCs w:val="24"/>
          <w:lang w:val="x-none" w:eastAsia="x-none"/>
        </w:rPr>
      </w:pPr>
      <w:r>
        <w:rPr>
          <w:rFonts w:eastAsia="Calibri"/>
          <w:b/>
          <w:bCs/>
          <w:sz w:val="24"/>
          <w:szCs w:val="24"/>
          <w:lang w:val="x-none" w:eastAsia="x-none"/>
        </w:rPr>
        <w:t xml:space="preserve">2.2. Требования к качеству продукции </w:t>
      </w:r>
    </w:p>
    <w:p w:rsidR="00997DB2" w:rsidRDefault="00CA2FFB">
      <w:pPr>
        <w:pStyle w:val="40"/>
        <w:tabs>
          <w:tab w:val="clear" w:pos="0"/>
        </w:tabs>
        <w:ind w:left="0" w:firstLine="0"/>
      </w:pPr>
      <w:bookmarkStart w:id="21" w:name="_Toc51339698"/>
      <w:bookmarkStart w:id="22" w:name="_Toc205981920"/>
      <w:bookmarkStart w:id="23" w:name="_Toc75446582"/>
      <w:r>
        <w:t>Таблица </w:t>
      </w:r>
      <w:r>
        <w:rPr>
          <w:lang w:val="ru-RU"/>
        </w:rPr>
        <w:t>3</w:t>
      </w:r>
      <w:r>
        <w:t xml:space="preserve">. Требования к </w:t>
      </w:r>
      <w:r>
        <w:rPr>
          <w:lang w:val="ru-RU"/>
        </w:rPr>
        <w:t>продукции</w:t>
      </w:r>
      <w:bookmarkEnd w:id="21"/>
      <w:bookmarkEnd w:id="22"/>
      <w:bookmarkEnd w:id="23"/>
    </w:p>
    <w:tbl>
      <w:tblPr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682"/>
        <w:gridCol w:w="955"/>
        <w:gridCol w:w="1487"/>
        <w:gridCol w:w="29"/>
        <w:gridCol w:w="2413"/>
        <w:gridCol w:w="4195"/>
        <w:gridCol w:w="1767"/>
        <w:gridCol w:w="1630"/>
        <w:gridCol w:w="2005"/>
        <w:gridCol w:w="236"/>
        <w:gridCol w:w="236"/>
        <w:gridCol w:w="236"/>
      </w:tblGrid>
      <w:tr w:rsidR="00997DB2">
        <w:trPr>
          <w:trHeight w:val="20"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продукции (позиции № 1.1-1.2 (Таблицы 1.1): соглас</w:t>
            </w:r>
            <w:r>
              <w:rPr>
                <w:b/>
                <w:bCs/>
                <w:color w:val="000000"/>
                <w:sz w:val="24"/>
                <w:szCs w:val="24"/>
              </w:rPr>
              <w:t>но Таблицы 1.1 «Перечень и объем закупаемой продукции</w:t>
            </w: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2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4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Требование заказчика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DotumChe"/>
                <w:b/>
                <w:color w:val="000000"/>
                <w:sz w:val="24"/>
                <w:szCs w:val="24"/>
              </w:rPr>
              <w:t>Соответствие стандартам</w:t>
            </w:r>
          </w:p>
        </w:tc>
        <w:tc>
          <w:tcPr>
            <w:tcW w:w="3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Согласие с требованием/ указание </w:t>
            </w:r>
            <w:r>
              <w:rPr>
                <w:b/>
                <w:bCs/>
                <w:color w:val="000000"/>
                <w:sz w:val="24"/>
                <w:szCs w:val="24"/>
              </w:rPr>
              <w:t>характеристик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DotumChe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jc w:val="center"/>
              <w:rPr>
                <w:rFonts w:eastAsia="DotumChe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DotumChe"/>
                <w:b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DotumChe"/>
                <w:b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1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DB2" w:rsidRDefault="00CA2FFB">
            <w:pPr>
              <w:widowControl w:val="0"/>
              <w:rPr>
                <w:rFonts w:eastAsia="DotumChe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29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</w:t>
            </w:r>
          </w:p>
        </w:tc>
        <w:tc>
          <w:tcPr>
            <w:tcW w:w="25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CA2FFB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Программно-Аппаратный Комплекс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Модель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тип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марка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IPDROM PRO 2U QSRV-271212-P-R-IPD (yk11072025_1sw)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7DB2" w:rsidRDefault="00CA2FFB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Спецификация оборудования, Приложение №3</w:t>
            </w:r>
          </w:p>
          <w:p w:rsidR="00997DB2" w:rsidRDefault="00CA2FFB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 договору подряда</w:t>
            </w:r>
          </w:p>
          <w:p w:rsidR="00997DB2" w:rsidRDefault="00CA2FFB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№ 3-ТПиР-2026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05.06.2026</w:t>
            </w:r>
          </w:p>
        </w:tc>
        <w:tc>
          <w:tcPr>
            <w:tcW w:w="170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Производитель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ООО "АЙ ПИ ДРОМ"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Платформа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Чипсет: </w:t>
            </w:r>
            <w:proofErr w:type="spellStart"/>
            <w:r>
              <w:rPr>
                <w:color w:val="000000"/>
                <w:sz w:val="24"/>
                <w:szCs w:val="24"/>
              </w:rPr>
              <w:t>Intel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C621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Интерфейсы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Порты </w:t>
            </w:r>
            <w:r>
              <w:rPr>
                <w:color w:val="000000"/>
                <w:sz w:val="24"/>
                <w:szCs w:val="24"/>
              </w:rPr>
              <w:t>10/100/1000BASE-T: 2 порта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Порты консоли: 1 порт RS-232 (на задней панели)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USB интерфейс: 2 порта USB 3.0 (на задней панели), 2 порта USB 3.0 (на передней панели), 1 порт USB 3.0 (внутренний)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Конструкция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Дисковая корзина (</w:t>
            </w:r>
            <w:proofErr w:type="spellStart"/>
            <w:r>
              <w:rPr>
                <w:color w:val="000000"/>
                <w:sz w:val="24"/>
                <w:szCs w:val="24"/>
              </w:rPr>
              <w:t>front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): 12×3.5/2.5 </w:t>
            </w:r>
            <w:r>
              <w:rPr>
                <w:color w:val="000000"/>
                <w:sz w:val="24"/>
                <w:szCs w:val="24"/>
              </w:rPr>
              <w:t>SATA/SAS c возможностью горячей замены. Опционально: 12×3.5/2.5 U.2/U.3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Дисковая корзина (</w:t>
            </w:r>
            <w:proofErr w:type="spellStart"/>
            <w:r>
              <w:rPr>
                <w:color w:val="000000"/>
                <w:sz w:val="24"/>
                <w:szCs w:val="24"/>
              </w:rPr>
              <w:t>back</w:t>
            </w:r>
            <w:proofErr w:type="spellEnd"/>
            <w:r>
              <w:rPr>
                <w:color w:val="000000"/>
                <w:sz w:val="24"/>
                <w:szCs w:val="24"/>
              </w:rPr>
              <w:t>): до 8 HDD/SSD/U.2/U.3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PCI-E: До 6*</w:t>
            </w:r>
            <w:proofErr w:type="spellStart"/>
            <w:r>
              <w:rPr>
                <w:color w:val="000000"/>
                <w:sz w:val="24"/>
                <w:szCs w:val="24"/>
              </w:rPr>
              <w:t>FH×PCIe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4.0; 4*</w:t>
            </w:r>
            <w:proofErr w:type="spellStart"/>
            <w:r>
              <w:rPr>
                <w:color w:val="000000"/>
                <w:sz w:val="24"/>
                <w:szCs w:val="24"/>
              </w:rPr>
              <w:t>HH×PCIe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4.0; 1*OCP 3.0; 2*</w:t>
            </w:r>
            <w:proofErr w:type="spellStart"/>
            <w:r>
              <w:rPr>
                <w:color w:val="000000"/>
                <w:sz w:val="24"/>
                <w:szCs w:val="24"/>
              </w:rPr>
              <w:t>Slimline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x8 </w:t>
            </w:r>
            <w:proofErr w:type="spellStart"/>
            <w:r>
              <w:rPr>
                <w:color w:val="000000"/>
                <w:sz w:val="24"/>
                <w:szCs w:val="24"/>
              </w:rPr>
              <w:t>PCIe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4.0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Слоты для модулей памяти:   До 32 модулей памяти </w:t>
            </w:r>
            <w:r>
              <w:rPr>
                <w:color w:val="000000"/>
                <w:sz w:val="24"/>
                <w:szCs w:val="24"/>
              </w:rPr>
              <w:t>DDR4-2133/2400/2666/2933/3200 МГц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Производительность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Процессор: до 2 CPU </w:t>
            </w:r>
            <w:proofErr w:type="spellStart"/>
            <w:r>
              <w:rPr>
                <w:color w:val="000000"/>
                <w:sz w:val="24"/>
                <w:szCs w:val="24"/>
              </w:rPr>
              <w:t>Intel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Xeon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Ice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Lake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Scalable</w:t>
            </w:r>
            <w:proofErr w:type="spellEnd"/>
            <w:r>
              <w:rPr>
                <w:color w:val="000000"/>
                <w:sz w:val="24"/>
                <w:szCs w:val="24"/>
              </w:rPr>
              <w:t>, до 40 физических ядер на процессор с тепловыделением до 270Вт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процессоров: 2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Чипсет: </w:t>
            </w:r>
            <w:r>
              <w:rPr>
                <w:color w:val="000000"/>
                <w:sz w:val="24"/>
                <w:szCs w:val="24"/>
                <w:lang w:val="en-US"/>
              </w:rPr>
              <w:t>Intel</w:t>
            </w:r>
            <w:r>
              <w:rPr>
                <w:color w:val="000000"/>
                <w:sz w:val="24"/>
                <w:szCs w:val="24"/>
              </w:rPr>
              <w:t xml:space="preserve"> С621</w:t>
            </w:r>
            <w:r>
              <w:rPr>
                <w:color w:val="000000"/>
                <w:sz w:val="24"/>
                <w:szCs w:val="24"/>
                <w:lang w:val="en-US"/>
              </w:rPr>
              <w:t>A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Aspeed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AST</w:t>
            </w:r>
            <w:r>
              <w:rPr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 w:rsidRPr="00CA2FFB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Функциональность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Слоты для модулей расширения: 2×</w:t>
            </w:r>
            <w:r>
              <w:rPr>
                <w:color w:val="000000"/>
                <w:sz w:val="24"/>
                <w:szCs w:val="24"/>
                <w:lang w:val="en-US"/>
              </w:rPr>
              <w:t>M</w:t>
            </w:r>
            <w:r>
              <w:rPr>
                <w:color w:val="000000"/>
                <w:sz w:val="24"/>
                <w:szCs w:val="24"/>
              </w:rPr>
              <w:t xml:space="preserve">.2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NVMe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PCIe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4.0 на мат.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Плате</w:t>
            </w:r>
            <w:proofErr w:type="spellEnd"/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RAID:   Intel® VROC (SATA RAID) SW 0, 1, 10;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опционально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: VROC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ключ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0,1,10,5; SAS RAID controller 12Gb/s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  <w:lang w:val="en-US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" w:type="dxa"/>
          </w:tcPr>
          <w:p w:rsidR="00997DB2" w:rsidRPr="00CA2FFB" w:rsidRDefault="00997DB2">
            <w:pPr>
              <w:widowControl w:val="0"/>
              <w:rPr>
                <w:lang w:val="en-US"/>
              </w:rPr>
            </w:pPr>
          </w:p>
        </w:tc>
        <w:tc>
          <w:tcPr>
            <w:tcW w:w="14" w:type="dxa"/>
          </w:tcPr>
          <w:p w:rsidR="00997DB2" w:rsidRPr="00CA2FFB" w:rsidRDefault="00997DB2">
            <w:pPr>
              <w:widowControl w:val="0"/>
              <w:rPr>
                <w:lang w:val="en-US"/>
              </w:rPr>
            </w:pPr>
          </w:p>
        </w:tc>
        <w:tc>
          <w:tcPr>
            <w:tcW w:w="10" w:type="dxa"/>
          </w:tcPr>
          <w:p w:rsidR="00997DB2" w:rsidRPr="00CA2FFB" w:rsidRDefault="00997DB2">
            <w:pPr>
              <w:widowControl w:val="0"/>
              <w:rPr>
                <w:lang w:val="en-US"/>
              </w:rPr>
            </w:pPr>
          </w:p>
        </w:tc>
      </w:tr>
      <w:tr w:rsidR="00997DB2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Охлаждение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Тип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охлаждения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:   4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тип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8056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  <w:lang w:val="en-US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Питание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Напряжение питания: 220 В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Мощность блоков питания, Вт: 550 Вт, опционально поддерживаются блоки питания на 800, 1200, 1300, 1600, 2000, 2200 Вт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Резервирование блока питания: Да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источника питания: 2 сменных БП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Тип питания: АС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Габариты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Высота, </w:t>
            </w:r>
            <w:r>
              <w:rPr>
                <w:color w:val="000000"/>
                <w:sz w:val="24"/>
                <w:szCs w:val="24"/>
              </w:rPr>
              <w:t>U: 2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Высота, мм: 88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Глубина, мм: 748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Ширина, мм: 435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Характеристики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Оперативная память: 64 Гб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Корпус с возможностью установки в </w:t>
            </w:r>
            <w:proofErr w:type="spellStart"/>
            <w:r>
              <w:rPr>
                <w:color w:val="000000"/>
                <w:sz w:val="24"/>
                <w:szCs w:val="24"/>
              </w:rPr>
              <w:t>HotSwap</w:t>
            </w:r>
            <w:proofErr w:type="spellEnd"/>
            <w:r>
              <w:rPr>
                <w:color w:val="000000"/>
                <w:sz w:val="24"/>
                <w:szCs w:val="24"/>
              </w:rPr>
              <w:t>-корзины до 12-ти жестких дисков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Поддержка RAID уровней 0,1,5, 6, 10, 50, 60 с функцией предотвращения потери </w:t>
            </w:r>
            <w:r>
              <w:rPr>
                <w:color w:val="000000"/>
                <w:sz w:val="24"/>
                <w:szCs w:val="24"/>
              </w:rPr>
              <w:t>данных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Серверный SSD объемом 240 Гб — 1 шт.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Серверный HDD диск объемом 18 Тб — 12 шт. (организован RAID-массив 6 уровня с 1-м резервным диском.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Расчетное энергопотребление 740 Вт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Габариты упаковки: 600х300х900 мм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Программное обеспечение включено в Реестр р</w:t>
            </w:r>
            <w:r>
              <w:rPr>
                <w:color w:val="000000"/>
                <w:sz w:val="24"/>
                <w:szCs w:val="24"/>
              </w:rPr>
              <w:t>оссийского программного обеспечения.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Графическая подсистема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Интегрированный графический контроллер.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Порт для подключения монитора VGA для IPMI </w:t>
            </w:r>
            <w:proofErr w:type="spellStart"/>
            <w:r>
              <w:rPr>
                <w:color w:val="000000"/>
                <w:sz w:val="24"/>
                <w:szCs w:val="24"/>
              </w:rPr>
              <w:t>cо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встроенной KVM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 w:rsidRPr="00CA2FFB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Предустановлена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операционная система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Astra Linux® Special Edition </w:t>
            </w:r>
            <w:r>
              <w:rPr>
                <w:color w:val="000000"/>
                <w:sz w:val="24"/>
                <w:szCs w:val="24"/>
              </w:rPr>
              <w:t>версии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1.8 (</w:t>
            </w:r>
            <w:r>
              <w:rPr>
                <w:color w:val="000000"/>
                <w:sz w:val="24"/>
                <w:szCs w:val="24"/>
              </w:rPr>
              <w:t>Смоленск</w:t>
            </w:r>
            <w:r>
              <w:rPr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  <w:lang w:val="en-US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" w:type="dxa"/>
          </w:tcPr>
          <w:p w:rsidR="00997DB2" w:rsidRPr="00CA2FFB" w:rsidRDefault="00997DB2">
            <w:pPr>
              <w:widowControl w:val="0"/>
              <w:rPr>
                <w:lang w:val="en-US"/>
              </w:rPr>
            </w:pPr>
          </w:p>
        </w:tc>
        <w:tc>
          <w:tcPr>
            <w:tcW w:w="14" w:type="dxa"/>
          </w:tcPr>
          <w:p w:rsidR="00997DB2" w:rsidRPr="00CA2FFB" w:rsidRDefault="00997DB2">
            <w:pPr>
              <w:widowControl w:val="0"/>
              <w:rPr>
                <w:lang w:val="en-US"/>
              </w:rPr>
            </w:pPr>
          </w:p>
        </w:tc>
        <w:tc>
          <w:tcPr>
            <w:tcW w:w="10" w:type="dxa"/>
          </w:tcPr>
          <w:p w:rsidR="00997DB2" w:rsidRPr="00CA2FFB" w:rsidRDefault="00997DB2">
            <w:pPr>
              <w:widowControl w:val="0"/>
              <w:rPr>
                <w:lang w:val="en-US"/>
              </w:rPr>
            </w:pPr>
          </w:p>
        </w:tc>
      </w:tr>
      <w:tr w:rsidR="00997DB2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Предустановлено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ПО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видеонаблюдения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Программное обеспечение Интеллект Х Корпоративная: Электронный ключ </w:t>
            </w:r>
            <w:r>
              <w:rPr>
                <w:color w:val="000000"/>
                <w:sz w:val="24"/>
                <w:szCs w:val="24"/>
                <w:lang w:val="en-US"/>
              </w:rPr>
              <w:t>Guardant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Sign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usb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en-US"/>
              </w:rPr>
              <w:t>micro</w:t>
            </w:r>
            <w:r>
              <w:rPr>
                <w:color w:val="000000"/>
                <w:sz w:val="24"/>
                <w:szCs w:val="24"/>
              </w:rPr>
              <w:t xml:space="preserve"> - 1 шт. (Электронный ключ идет в комплекте поставки сервера)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Программное обеспечение Интеллект </w:t>
            </w:r>
            <w:r>
              <w:rPr>
                <w:color w:val="000000"/>
                <w:sz w:val="24"/>
                <w:szCs w:val="24"/>
                <w:lang w:val="en-US"/>
              </w:rPr>
              <w:t>X</w:t>
            </w:r>
            <w:r>
              <w:rPr>
                <w:color w:val="000000"/>
                <w:sz w:val="24"/>
                <w:szCs w:val="24"/>
              </w:rPr>
              <w:t xml:space="preserve"> Корпоративная: Подключение видеокамеры - 100 шт. (Лицензия на подключение 100 видеокамер, ПО </w:t>
            </w: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proofErr w:type="spellStart"/>
            <w:r>
              <w:rPr>
                <w:color w:val="000000"/>
                <w:sz w:val="24"/>
                <w:szCs w:val="24"/>
              </w:rPr>
              <w:t>редустановлено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на сервере)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Клавиатура и мышь в комплекте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Проводная мышь с оптическим сенсором, 3-мя кнопками и роликом прокрутки, интерфейс USB.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Клавиатура с цифровым блоком проводная, интерфейс USB.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Требования к электропитанию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Подсистема питания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Двоированный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блок питания 800 Ватт с возможностью горячей замены.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Основное питание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Линейное напряжение: 110–240 В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Требования к конструкции корпуса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Оборудование для установки корпуса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В комплект поставки входят телескопические рельсы для установки оборудования в стойку 19"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Корпус сервера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Исполнение: RACK 2U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Требования к гарантиям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Гарантия и поддержка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Гарантийный срок 36 месяцев с даты ввода в эксплуатацию в ближайшем к месту эксплуатации изделия авторизованном сервисном центре.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Бесплатная поддержка на протяжении всего гарантийного срока.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70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1.22</w:t>
            </w:r>
          </w:p>
        </w:tc>
        <w:tc>
          <w:tcPr>
            <w:tcW w:w="25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CA2FFB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Программно-Аппаратный Комплекс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Модель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тип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марка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IPDROM PRO 2U QSRV-271212-P-R-IPD (yk11072025_2sw)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7DB2" w:rsidRDefault="00CA2FFB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Спецификация оборудования, Приложение №3</w:t>
            </w:r>
          </w:p>
          <w:p w:rsidR="00997DB2" w:rsidRDefault="00CA2FFB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 договору подряда</w:t>
            </w:r>
          </w:p>
          <w:p w:rsidR="00997DB2" w:rsidRDefault="00CA2FFB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№ 3-ТПиР-2026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05.06.2026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Производитель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suppressAutoHyphens w:val="0"/>
              <w:overflowPunct w:val="0"/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ООО "АЙ ПИ ДРОМ"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Платформа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Чипсет: </w:t>
            </w:r>
            <w:proofErr w:type="spellStart"/>
            <w:r>
              <w:rPr>
                <w:color w:val="000000"/>
                <w:sz w:val="24"/>
                <w:szCs w:val="24"/>
              </w:rPr>
              <w:t>Intel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C621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68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Интерфейсы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Порты 10/100/1000BASE-T: 2 порта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Порты консоли: 1 порт RS-232 (на задней панели)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USB интерфейс: 2 порта USB 3.0 (на задней панели), 2 порта USB 3.0 (на передней панели), 1 порт USB 3.0 (внутренний)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416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Конструкция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Дисковая корзина (</w:t>
            </w:r>
            <w:proofErr w:type="spellStart"/>
            <w:r>
              <w:rPr>
                <w:color w:val="000000"/>
                <w:sz w:val="24"/>
                <w:szCs w:val="24"/>
              </w:rPr>
              <w:t>front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): 12×3.5/2.5 </w:t>
            </w:r>
            <w:r>
              <w:rPr>
                <w:color w:val="000000"/>
                <w:sz w:val="24"/>
                <w:szCs w:val="24"/>
              </w:rPr>
              <w:t>SATA/SAS c возможностью горячей замены. Опционально: 12×3.5/2.5 U.2/U.3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Дисковая корзина (</w:t>
            </w:r>
            <w:proofErr w:type="spellStart"/>
            <w:r>
              <w:rPr>
                <w:color w:val="000000"/>
                <w:sz w:val="24"/>
                <w:szCs w:val="24"/>
              </w:rPr>
              <w:t>back</w:t>
            </w:r>
            <w:proofErr w:type="spellEnd"/>
            <w:r>
              <w:rPr>
                <w:color w:val="000000"/>
                <w:sz w:val="24"/>
                <w:szCs w:val="24"/>
              </w:rPr>
              <w:t>): до 8 HDD/SSD/U.2/U.3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PCI-E: До 6*</w:t>
            </w:r>
            <w:proofErr w:type="spellStart"/>
            <w:r>
              <w:rPr>
                <w:color w:val="000000"/>
                <w:sz w:val="24"/>
                <w:szCs w:val="24"/>
              </w:rPr>
              <w:t>FH×PCIe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4.0; 4*</w:t>
            </w:r>
            <w:proofErr w:type="spellStart"/>
            <w:r>
              <w:rPr>
                <w:color w:val="000000"/>
                <w:sz w:val="24"/>
                <w:szCs w:val="24"/>
              </w:rPr>
              <w:t>HH×PCIe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4.0; 1*OCP 3.0; 2*</w:t>
            </w:r>
            <w:proofErr w:type="spellStart"/>
            <w:r>
              <w:rPr>
                <w:color w:val="000000"/>
                <w:sz w:val="24"/>
                <w:szCs w:val="24"/>
              </w:rPr>
              <w:t>Slimline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x8 </w:t>
            </w:r>
            <w:proofErr w:type="spellStart"/>
            <w:r>
              <w:rPr>
                <w:color w:val="000000"/>
                <w:sz w:val="24"/>
                <w:szCs w:val="24"/>
              </w:rPr>
              <w:t>PCIe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4.0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Слоты для модулей памяти:   До 32 модулей памяти DDR4-2133/2400/</w:t>
            </w:r>
            <w:r>
              <w:rPr>
                <w:color w:val="000000"/>
                <w:sz w:val="24"/>
                <w:szCs w:val="24"/>
              </w:rPr>
              <w:t>2666/2933/3200 МГц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68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Производительность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Процессор: до 2 CPU </w:t>
            </w:r>
            <w:proofErr w:type="spellStart"/>
            <w:r>
              <w:rPr>
                <w:color w:val="000000"/>
                <w:sz w:val="24"/>
                <w:szCs w:val="24"/>
              </w:rPr>
              <w:t>Intel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Xeon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Ice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Lake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Scalable</w:t>
            </w:r>
            <w:proofErr w:type="spellEnd"/>
            <w:r>
              <w:rPr>
                <w:color w:val="000000"/>
                <w:sz w:val="24"/>
                <w:szCs w:val="24"/>
              </w:rPr>
              <w:t>, до 40 физических ядер на процессор с тепловыделением до 270Вт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процессоров: 2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Чипсет: </w:t>
            </w:r>
            <w:r>
              <w:rPr>
                <w:color w:val="000000"/>
                <w:sz w:val="24"/>
                <w:szCs w:val="24"/>
                <w:lang w:val="en-US"/>
              </w:rPr>
              <w:t>Intel</w:t>
            </w:r>
            <w:r>
              <w:rPr>
                <w:color w:val="000000"/>
                <w:sz w:val="24"/>
                <w:szCs w:val="24"/>
              </w:rPr>
              <w:t xml:space="preserve"> С621</w:t>
            </w:r>
            <w:r>
              <w:rPr>
                <w:color w:val="000000"/>
                <w:sz w:val="24"/>
                <w:szCs w:val="24"/>
                <w:lang w:val="en-US"/>
              </w:rPr>
              <w:t>A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Aspeed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AST</w:t>
            </w:r>
            <w:r>
              <w:rPr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 w:rsidRPr="00CA2FFB">
        <w:trPr>
          <w:trHeight w:val="68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Функциональность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Слоты для</w:t>
            </w:r>
            <w:r>
              <w:rPr>
                <w:color w:val="000000"/>
                <w:sz w:val="24"/>
                <w:szCs w:val="24"/>
              </w:rPr>
              <w:t xml:space="preserve"> модулей расширения: 2×</w:t>
            </w:r>
            <w:r>
              <w:rPr>
                <w:color w:val="000000"/>
                <w:sz w:val="24"/>
                <w:szCs w:val="24"/>
                <w:lang w:val="en-US"/>
              </w:rPr>
              <w:t>M</w:t>
            </w:r>
            <w:r>
              <w:rPr>
                <w:color w:val="000000"/>
                <w:sz w:val="24"/>
                <w:szCs w:val="24"/>
              </w:rPr>
              <w:t xml:space="preserve">.2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NVMe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PCIe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4.0 на мат.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Плате</w:t>
            </w:r>
            <w:proofErr w:type="spellEnd"/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RAID:   Intel® VROC (SATA RAID) SW 0, 1, 10;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опционально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: VROC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ключ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0,1,10,5; SAS RAID controller 12Gb/s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  <w:lang w:val="en-US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" w:type="dxa"/>
          </w:tcPr>
          <w:p w:rsidR="00997DB2" w:rsidRPr="00CA2FFB" w:rsidRDefault="00997DB2">
            <w:pPr>
              <w:widowControl w:val="0"/>
              <w:rPr>
                <w:lang w:val="en-US"/>
              </w:rPr>
            </w:pPr>
          </w:p>
        </w:tc>
        <w:tc>
          <w:tcPr>
            <w:tcW w:w="14" w:type="dxa"/>
          </w:tcPr>
          <w:p w:rsidR="00997DB2" w:rsidRPr="00CA2FFB" w:rsidRDefault="00997DB2">
            <w:pPr>
              <w:widowControl w:val="0"/>
              <w:rPr>
                <w:lang w:val="en-US"/>
              </w:rPr>
            </w:pPr>
          </w:p>
        </w:tc>
        <w:tc>
          <w:tcPr>
            <w:tcW w:w="10" w:type="dxa"/>
          </w:tcPr>
          <w:p w:rsidR="00997DB2" w:rsidRPr="00CA2FFB" w:rsidRDefault="00997DB2">
            <w:pPr>
              <w:widowControl w:val="0"/>
              <w:rPr>
                <w:lang w:val="en-US"/>
              </w:rPr>
            </w:pPr>
          </w:p>
        </w:tc>
      </w:tr>
      <w:tr w:rsidR="00997DB2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Охлаждение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Тип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охлаждения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:   4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тип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8056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68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Питание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Напряжение питания: 220 В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Мощность блоков питания, Вт: 550 Вт, опционально поддерживаются блоки питания на 800, 1200, 1300, 1600, 2000, 2200 Вт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Резервирование блока питания: Да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источника питания: 2 сменных БП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Тип питания: АС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68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Габариты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Высота, U: 2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Высота, мм: 88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Глубина, мм: 748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Ширина, мм: 435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Вес, кг: 12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68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Характеристики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Оперативная память: 64 Гб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Корпус с возможностью установки в </w:t>
            </w:r>
            <w:proofErr w:type="spellStart"/>
            <w:r>
              <w:rPr>
                <w:color w:val="000000"/>
                <w:sz w:val="24"/>
                <w:szCs w:val="24"/>
              </w:rPr>
              <w:t>HotSwap</w:t>
            </w:r>
            <w:proofErr w:type="spellEnd"/>
            <w:r>
              <w:rPr>
                <w:color w:val="000000"/>
                <w:sz w:val="24"/>
                <w:szCs w:val="24"/>
              </w:rPr>
              <w:t>-корзины до 12-ти жестких дисков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Поддержка RAID уровней 0,1,5, 6, 10, 50, 60 с функцией предотвращения потери данных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Серверный SSD объемом 240 Гб — 1 шт.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Серверный HDD диск объемом 18 Тб — 12 шт. (организован RAID-массив 6 уровня с 1-м резервным диском.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Расчетное энергопотребление 740 Вт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Габариты упаковки: 600х300х900 мм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Программное обеспечение включено в Реестр российск</w:t>
            </w:r>
            <w:r>
              <w:rPr>
                <w:color w:val="000000"/>
                <w:sz w:val="24"/>
                <w:szCs w:val="24"/>
              </w:rPr>
              <w:t>ого программного обеспечения.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68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Графическая подсистема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Интегрированный графический контроллер.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Порт для подключения монитора VGA для IPMI </w:t>
            </w:r>
            <w:proofErr w:type="spellStart"/>
            <w:r>
              <w:rPr>
                <w:color w:val="000000"/>
                <w:sz w:val="24"/>
                <w:szCs w:val="24"/>
              </w:rPr>
              <w:t>cо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встроенной KVM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 w:rsidRPr="00CA2FFB">
        <w:trPr>
          <w:trHeight w:val="68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Предустановлена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операционная система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Astra Linux® Special Edition </w:t>
            </w:r>
            <w:r>
              <w:rPr>
                <w:color w:val="000000"/>
                <w:sz w:val="24"/>
                <w:szCs w:val="24"/>
              </w:rPr>
              <w:t>версии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1.8 (</w:t>
            </w:r>
            <w:r>
              <w:rPr>
                <w:color w:val="000000"/>
                <w:sz w:val="24"/>
                <w:szCs w:val="24"/>
              </w:rPr>
              <w:t>Смоленск</w:t>
            </w:r>
            <w:r>
              <w:rPr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  <w:lang w:val="en-US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" w:type="dxa"/>
          </w:tcPr>
          <w:p w:rsidR="00997DB2" w:rsidRPr="00CA2FFB" w:rsidRDefault="00997DB2">
            <w:pPr>
              <w:widowControl w:val="0"/>
              <w:rPr>
                <w:lang w:val="en-US"/>
              </w:rPr>
            </w:pPr>
          </w:p>
        </w:tc>
        <w:tc>
          <w:tcPr>
            <w:tcW w:w="14" w:type="dxa"/>
          </w:tcPr>
          <w:p w:rsidR="00997DB2" w:rsidRPr="00CA2FFB" w:rsidRDefault="00997DB2">
            <w:pPr>
              <w:widowControl w:val="0"/>
              <w:rPr>
                <w:lang w:val="en-US"/>
              </w:rPr>
            </w:pPr>
          </w:p>
        </w:tc>
        <w:tc>
          <w:tcPr>
            <w:tcW w:w="10" w:type="dxa"/>
          </w:tcPr>
          <w:p w:rsidR="00997DB2" w:rsidRPr="00CA2FFB" w:rsidRDefault="00997DB2">
            <w:pPr>
              <w:widowControl w:val="0"/>
              <w:rPr>
                <w:lang w:val="en-US"/>
              </w:rPr>
            </w:pPr>
          </w:p>
        </w:tc>
      </w:tr>
      <w:tr w:rsidR="00997DB2">
        <w:trPr>
          <w:trHeight w:val="68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Предустановлено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ПО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видеонаблюдения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Программное обеспечение Интеллект Х Корпоративная: Электронный ключ </w:t>
            </w:r>
            <w:r>
              <w:rPr>
                <w:color w:val="000000"/>
                <w:sz w:val="24"/>
                <w:szCs w:val="24"/>
                <w:lang w:val="en-US"/>
              </w:rPr>
              <w:t>Guardant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Sign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usb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en-US"/>
              </w:rPr>
              <w:t>micro</w:t>
            </w:r>
            <w:r>
              <w:rPr>
                <w:color w:val="000000"/>
                <w:sz w:val="24"/>
                <w:szCs w:val="24"/>
              </w:rPr>
              <w:t xml:space="preserve"> - 1 шт. (Электронный ключ идет в комплекте поставки сервера)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Программное обеспечение Интеллект </w:t>
            </w:r>
            <w:r>
              <w:rPr>
                <w:color w:val="000000"/>
                <w:sz w:val="24"/>
                <w:szCs w:val="24"/>
                <w:lang w:val="en-US"/>
              </w:rPr>
              <w:t>X</w:t>
            </w:r>
            <w:r>
              <w:rPr>
                <w:color w:val="000000"/>
                <w:sz w:val="24"/>
                <w:szCs w:val="24"/>
              </w:rPr>
              <w:t xml:space="preserve"> Корпоративная: Подключение видеокамеры - 100 шт. (Лицензия на подключение 100 видеокамер, ПО </w:t>
            </w:r>
            <w:r>
              <w:rPr>
                <w:color w:val="000000"/>
                <w:sz w:val="24"/>
                <w:szCs w:val="24"/>
                <w:lang w:val="en-US"/>
              </w:rPr>
              <w:t>п</w:t>
            </w:r>
            <w:proofErr w:type="spellStart"/>
            <w:r>
              <w:rPr>
                <w:color w:val="000000"/>
                <w:sz w:val="24"/>
                <w:szCs w:val="24"/>
              </w:rPr>
              <w:t>редустановлено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на сервере)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68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Клавиатура и мышь в комплекте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Проводная мышь с оптическим сенсором, 3-мя кнопками и роликом прокрутки, интерфейс USB.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Клавиатура с цифровым блоком проводная, интерфейс USB.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Требования к электропитанию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109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Подсистема питания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Двоированный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блок питания 800 Ватт с возможностью горячей замены.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Основное питание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Линейное напряжение: 110–240 В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Требования к конструкции корпуса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68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Оборудование для установки корпуса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В комплект поставки входят телескопические рельсы для установки оборудования в стойку 19"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Корпус сервера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Исполнение: RACK 2U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Требования к гарантиям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7DB2" w:rsidRDefault="00997DB2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highlight w:val="yellow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Гарантия и поддержка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Гарантийный срок 36 месяцев с даты ввода в эксплуатацию в ближайшем к месту эксплуатации изделия авторизованном сервисном центре.</w:t>
            </w:r>
          </w:p>
          <w:p w:rsidR="00997DB2" w:rsidRDefault="00CA2FFB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Бесплатная поддержка на протяжении всего гарантийного срока.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suppressAutoHyphens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numPr>
                <w:ilvl w:val="0"/>
                <w:numId w:val="6"/>
              </w:num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51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DB2" w:rsidRDefault="00CA2FFB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</w:t>
            </w:r>
            <w:r>
              <w:rPr>
                <w:b/>
                <w:bCs/>
                <w:sz w:val="24"/>
                <w:szCs w:val="24"/>
              </w:rPr>
              <w:t xml:space="preserve"> упаковке, транспортировке, перемещению, условиям хранения, приемке и испытаниям</w:t>
            </w: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7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ind w:lef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Место поставки</w:t>
            </w:r>
          </w:p>
        </w:tc>
        <w:tc>
          <w:tcPr>
            <w:tcW w:w="6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jc w:val="both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Производственный участок в г. Новосибирск Саяно-Шушенского филиала АО «</w:t>
            </w:r>
            <w:proofErr w:type="spellStart"/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Гидроремонт</w:t>
            </w:r>
            <w:proofErr w:type="spellEnd"/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-ВКК» в п. Черёмушки. 630056, Российская Федерация, Новосибирская область, г. Новосибирск, </w:t>
            </w:r>
            <w:proofErr w:type="spellStart"/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ул.Новоморская</w:t>
            </w:r>
            <w:proofErr w:type="spellEnd"/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 дом 4/1.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78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ind w:lef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.2.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Приемка продукции</w:t>
            </w:r>
          </w:p>
        </w:tc>
        <w:tc>
          <w:tcPr>
            <w:tcW w:w="6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Приемка продукции </w:t>
            </w: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осуществляется только в рабочие дни с 9-00 до 11-00 и с 13-00 до 16-00.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78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ind w:lef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2.3.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  <w:lang w:val="en-US" w:eastAsia="x-none"/>
              </w:rPr>
            </w:pPr>
            <w:proofErr w:type="spellStart"/>
            <w:r>
              <w:rPr>
                <w:sz w:val="24"/>
                <w:szCs w:val="24"/>
                <w:lang w:val="en-US" w:eastAsia="x-none"/>
              </w:rPr>
              <w:t>Упаковка</w:t>
            </w:r>
            <w:proofErr w:type="spellEnd"/>
          </w:p>
        </w:tc>
        <w:tc>
          <w:tcPr>
            <w:tcW w:w="6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Индивидуальная упаковка с товарным знаком предприятия, изготовителя, с наименованием продукции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93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ind w:lef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94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97DB2" w:rsidRDefault="00CA2FF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 xml:space="preserve">Информация о транспорте, на котором осуществляется </w:t>
            </w:r>
            <w:r>
              <w:rPr>
                <w:sz w:val="24"/>
                <w:szCs w:val="24"/>
                <w:lang w:eastAsia="x-none"/>
              </w:rPr>
              <w:t>доставка, для оформления допуска на территорию предоставляется не позднее предыдущего рабочего дня до прибытия транспорта  по тел. 8 (383)379-07-74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997DB2" w:rsidRDefault="00997DB2">
            <w:pPr>
              <w:widowControl w:val="0"/>
            </w:pPr>
          </w:p>
        </w:tc>
        <w:tc>
          <w:tcPr>
            <w:tcW w:w="14" w:type="dxa"/>
          </w:tcPr>
          <w:p w:rsidR="00997DB2" w:rsidRDefault="00997DB2">
            <w:pPr>
              <w:widowControl w:val="0"/>
            </w:pP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1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DB2" w:rsidRDefault="00CA2FFB">
            <w:pPr>
              <w:widowControl w:val="0"/>
              <w:rPr>
                <w:rFonts w:eastAsia="DotumChe"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гарантиям, гарантийному и послегарантийному обслуживанию и сроку службы и дате </w:t>
            </w:r>
            <w:r>
              <w:rPr>
                <w:b/>
                <w:sz w:val="24"/>
                <w:szCs w:val="24"/>
              </w:rPr>
              <w:t>изготовления</w:t>
            </w:r>
          </w:p>
        </w:tc>
        <w:tc>
          <w:tcPr>
            <w:tcW w:w="10" w:type="dxa"/>
          </w:tcPr>
          <w:p w:rsidR="00997DB2" w:rsidRDefault="00997DB2">
            <w:pPr>
              <w:widowControl w:val="0"/>
            </w:pPr>
          </w:p>
        </w:tc>
      </w:tr>
      <w:tr w:rsidR="00997DB2">
        <w:trPr>
          <w:trHeight w:val="24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ind w:left="11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Сроки гарантии</w:t>
            </w:r>
          </w:p>
        </w:tc>
        <w:tc>
          <w:tcPr>
            <w:tcW w:w="6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overflowPunct w:val="0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 xml:space="preserve">На Продукцию устанавливается гарантийный срок, равный 36 (Тридцать шесть) месяцев, исчисляемый с даты ввода Продукции в эксплуатацию, но не более 42 (Сорок два) месяцев с даты подписания Сторонами товарной накладной по </w:t>
            </w:r>
            <w:r>
              <w:rPr>
                <w:sz w:val="24"/>
                <w:szCs w:val="24"/>
                <w:lang w:eastAsia="x-none"/>
              </w:rPr>
              <w:t>форме ТОРГ-12 или Универсального передаточного документа (УПД) и не менее гарантийного срока изготовителя (производителя) продукции.</w:t>
            </w:r>
          </w:p>
          <w:p w:rsidR="00997DB2" w:rsidRDefault="00CA2FFB">
            <w:pPr>
              <w:widowControl w:val="0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Установленный в отношении Продукции Гарантийный срок распространяется на все составные части и комплектующие Продукции.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997DB2">
        <w:trPr>
          <w:trHeight w:val="60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ind w:left="113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3.2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  <w:lang w:val="en-US" w:eastAsia="x-none"/>
              </w:rPr>
            </w:pPr>
            <w:proofErr w:type="spellStart"/>
            <w:r>
              <w:rPr>
                <w:sz w:val="24"/>
                <w:szCs w:val="24"/>
                <w:lang w:val="en-US" w:eastAsia="x-none"/>
              </w:rPr>
              <w:t>Срок</w:t>
            </w:r>
            <w:proofErr w:type="spellEnd"/>
            <w:r>
              <w:rPr>
                <w:sz w:val="24"/>
                <w:szCs w:val="24"/>
                <w:lang w:val="en-US" w:eastAsia="x-none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x-none"/>
              </w:rPr>
              <w:t>службы</w:t>
            </w:r>
            <w:proofErr w:type="spellEnd"/>
            <w:r>
              <w:rPr>
                <w:sz w:val="24"/>
                <w:szCs w:val="24"/>
                <w:lang w:val="en-US" w:eastAsia="x-none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x-none"/>
              </w:rPr>
              <w:t>продукции</w:t>
            </w:r>
            <w:proofErr w:type="spellEnd"/>
          </w:p>
        </w:tc>
        <w:tc>
          <w:tcPr>
            <w:tcW w:w="6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overflowPunct w:val="0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Не менее 10 лет с даты изготовления продукции, том числе и на все составные части и комплектующие Продукции.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997DB2">
        <w:trPr>
          <w:trHeight w:val="60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ind w:left="113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3.3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  <w:lang w:val="en-US" w:eastAsia="x-none"/>
              </w:rPr>
            </w:pPr>
            <w:proofErr w:type="spellStart"/>
            <w:r>
              <w:rPr>
                <w:sz w:val="24"/>
                <w:szCs w:val="24"/>
                <w:lang w:val="en-US" w:eastAsia="x-none"/>
              </w:rPr>
              <w:t>Дата</w:t>
            </w:r>
            <w:proofErr w:type="spellEnd"/>
            <w:r>
              <w:rPr>
                <w:sz w:val="24"/>
                <w:szCs w:val="24"/>
                <w:lang w:val="en-US" w:eastAsia="x-none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x-none"/>
              </w:rPr>
              <w:t>изготовления</w:t>
            </w:r>
            <w:proofErr w:type="spellEnd"/>
            <w:r>
              <w:rPr>
                <w:sz w:val="24"/>
                <w:szCs w:val="24"/>
                <w:lang w:val="en-US" w:eastAsia="x-none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x-none"/>
              </w:rPr>
              <w:t>продукции</w:t>
            </w:r>
            <w:proofErr w:type="spellEnd"/>
          </w:p>
        </w:tc>
        <w:tc>
          <w:tcPr>
            <w:tcW w:w="6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overflowPunct w:val="0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Не ранее 2026 года, том числе и на все составные части и комплектующие Продукции.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997DB2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ind w:left="11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51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DB2" w:rsidRDefault="00CA2FFB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997DB2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ind w:left="11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6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Поставщик обязан одновременно с передачей продукции передать Покупателю относящиеся к продукции оригиналы документов, оформленные</w:t>
            </w:r>
            <w:r>
              <w:rPr>
                <w:sz w:val="24"/>
                <w:szCs w:val="24"/>
                <w:lang w:eastAsia="x-none"/>
              </w:rPr>
              <w:t xml:space="preserve"> надлежащим образом: технические паспорта на русском языке, инструкции по эксплуатации на русском языке, руководства по эксплуатации со штампом отдела технического контроля (ОТК) изготовителя, упаковочные листы, сертификаты качества иные документы (сертифи</w:t>
            </w:r>
            <w:r>
              <w:rPr>
                <w:sz w:val="24"/>
                <w:szCs w:val="24"/>
                <w:lang w:eastAsia="x-none"/>
              </w:rPr>
              <w:t>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о происхождении товара и т.п.) в зависимости от номенклатуры поставляемого оборудования; товарную накладную</w:t>
            </w:r>
            <w:r>
              <w:rPr>
                <w:sz w:val="24"/>
                <w:szCs w:val="24"/>
                <w:lang w:eastAsia="x-none"/>
              </w:rPr>
              <w:t xml:space="preserve"> унифицированной формы ТОРГ-12 (УПД) в 2 экз., товарно-транспортную накладную формы № 1-Т (для учета товарно-материальных ценностей и расчетов за их перевозку) или транспортную железнодорожную накладную (форма № ГУ-27) и иные документы, предусмотренные п.3</w:t>
            </w:r>
            <w:r>
              <w:rPr>
                <w:sz w:val="24"/>
                <w:szCs w:val="24"/>
                <w:lang w:eastAsia="x-none"/>
              </w:rPr>
              <w:t>.3 Договора.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rPr>
                <w:sz w:val="24"/>
                <w:szCs w:val="24"/>
              </w:rPr>
            </w:pPr>
          </w:p>
        </w:tc>
      </w:tr>
      <w:tr w:rsidR="00997DB2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ind w:lef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51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7DB2" w:rsidRDefault="00CA2FFB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в части мер по предоставлению национального режима и производства радиоэлектронной продукции на территории РФ при осуществлении закупок товаров, работ и услуг</w:t>
            </w:r>
          </w:p>
        </w:tc>
      </w:tr>
      <w:tr w:rsidR="00997DB2">
        <w:trPr>
          <w:trHeight w:val="55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ind w:left="113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5.1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97DB2" w:rsidRDefault="00CA2FFB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Требования к оборудованию и программному обеспечению</w:t>
            </w:r>
          </w:p>
        </w:tc>
        <w:tc>
          <w:tcPr>
            <w:tcW w:w="6944" w:type="dxa"/>
            <w:gridSpan w:val="3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Оборудование должно быть доступно на российском рынке и включено в реестр промышленной продукции, произведенной на территории Российской Федерации или произведенной на территории государства - члена Евразийского экономического союза, предусмотренный постан</w:t>
            </w:r>
            <w:r>
              <w:rPr>
                <w:sz w:val="24"/>
                <w:szCs w:val="24"/>
                <w:lang w:eastAsia="x-none"/>
              </w:rPr>
              <w:t>овлением Правительства Российской Федерации от 23 декабря 2024 г. № 1875 и/или включено в единый реестр российской радиоэлектронной продукции, предусмотренный постановлением Правительства Российской Федерации от 10.07.2019 № 878. с возможностью проверки ре</w:t>
            </w:r>
            <w:r>
              <w:rPr>
                <w:sz w:val="24"/>
                <w:szCs w:val="24"/>
                <w:lang w:eastAsia="x-none"/>
              </w:rPr>
              <w:t xml:space="preserve">естрового номера через сайт </w:t>
            </w:r>
            <w:hyperlink r:id="rId11">
              <w:r>
                <w:rPr>
                  <w:rStyle w:val="aa"/>
                  <w:sz w:val="24"/>
                  <w:szCs w:val="24"/>
                  <w:lang w:eastAsia="x-none"/>
                </w:rPr>
                <w:t>https://gisp.gov.ru/pp719v2/pub/prod/rep/</w:t>
              </w:r>
            </w:hyperlink>
            <w:r>
              <w:rPr>
                <w:sz w:val="24"/>
                <w:szCs w:val="24"/>
                <w:lang w:eastAsia="x-none"/>
              </w:rPr>
              <w:t>.</w:t>
            </w:r>
          </w:p>
          <w:p w:rsidR="00997DB2" w:rsidRDefault="00CA2FFB">
            <w:pPr>
              <w:widowControl w:val="0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Оборудование, в случае реализации в нем функции защиты информации, должно соответствовать требованиям, установленным Федерал</w:t>
            </w:r>
            <w:r>
              <w:rPr>
                <w:sz w:val="24"/>
                <w:szCs w:val="24"/>
                <w:lang w:eastAsia="x-none"/>
              </w:rPr>
              <w:t>ьной службой по техническому и экспортному контролю и (или) Федеральной службой безопасности Российской Федерации в пределах их полномочий, что должно быть подтверждено соответствующим документом (сертификатом).</w:t>
            </w:r>
          </w:p>
          <w:p w:rsidR="00997DB2" w:rsidRDefault="00CA2FFB">
            <w:pPr>
              <w:widowControl w:val="0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Программное обеспечение должно быть включено</w:t>
            </w:r>
            <w:r>
              <w:rPr>
                <w:sz w:val="24"/>
                <w:szCs w:val="24"/>
                <w:lang w:eastAsia="x-none"/>
              </w:rPr>
              <w:t xml:space="preserve"> в единый реестр российских программ для электронных вычислительных машин и баз данных (в соответствии с Приказом </w:t>
            </w:r>
            <w:proofErr w:type="spellStart"/>
            <w:r>
              <w:rPr>
                <w:sz w:val="24"/>
                <w:szCs w:val="24"/>
                <w:lang w:eastAsia="x-none"/>
              </w:rPr>
              <w:t>Минцифры</w:t>
            </w:r>
            <w:proofErr w:type="spellEnd"/>
            <w:r>
              <w:rPr>
                <w:sz w:val="24"/>
                <w:szCs w:val="24"/>
                <w:lang w:eastAsia="x-none"/>
              </w:rPr>
              <w:t xml:space="preserve"> России от 05.08.2021 №806).</w:t>
            </w:r>
          </w:p>
          <w:p w:rsidR="00997DB2" w:rsidRDefault="00CA2FFB">
            <w:pPr>
              <w:widowControl w:val="0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Оборудование и ПО должно соответствовать требованиям Приказов ПАО "РусГидро" от 18.08.2025 №682 и от 28.0</w:t>
            </w:r>
            <w:r>
              <w:rPr>
                <w:sz w:val="24"/>
                <w:szCs w:val="24"/>
                <w:lang w:eastAsia="x-none"/>
              </w:rPr>
              <w:t>2.2025 № 173 «Об утверждении перечней, применяемых в Группе РусГидро типовых технических решений информационно-технологической инфраструктуры и рабочих мест Группы РусГидро.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97DB2" w:rsidRDefault="00997DB2">
            <w:pPr>
              <w:widowControl w:val="0"/>
              <w:rPr>
                <w:sz w:val="24"/>
                <w:szCs w:val="24"/>
              </w:rPr>
            </w:pPr>
          </w:p>
        </w:tc>
      </w:tr>
      <w:tr w:rsidR="00997DB2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ind w:left="11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6.</w:t>
            </w:r>
          </w:p>
        </w:tc>
        <w:tc>
          <w:tcPr>
            <w:tcW w:w="151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DB2" w:rsidRDefault="00CA2FFB">
            <w:pPr>
              <w:widowControl w:val="0"/>
              <w:rPr>
                <w:rFonts w:eastAsia="DotumChe"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997DB2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7DB2" w:rsidRDefault="00CA2FFB">
            <w:pPr>
              <w:widowControl w:val="0"/>
              <w:ind w:left="11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6.1</w:t>
            </w:r>
          </w:p>
        </w:tc>
        <w:tc>
          <w:tcPr>
            <w:tcW w:w="94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97DB2" w:rsidRDefault="00CA2FFB">
            <w:pPr>
              <w:widowControl w:val="0"/>
              <w:jc w:val="both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Продукция должна быть </w:t>
            </w: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новой, ранее не использовавшейся, не бывшего употребления, пригодным для использования по своему назначению.</w:t>
            </w:r>
          </w:p>
          <w:p w:rsidR="00997DB2" w:rsidRDefault="00CA2FFB">
            <w:pPr>
              <w:widowControl w:val="0"/>
              <w:jc w:val="both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По</w:t>
            </w:r>
            <w:r>
              <w:rPr>
                <w:rFonts w:eastAsia="Calibri"/>
                <w:iCs/>
                <w:color w:val="000000"/>
                <w:sz w:val="24"/>
                <w:szCs w:val="24"/>
                <w:lang w:val="en-US" w:eastAsia="en-US"/>
              </w:rPr>
              <w:t>c</w:t>
            </w:r>
            <w:proofErr w:type="spellStart"/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тавщик</w:t>
            </w:r>
            <w:proofErr w:type="spellEnd"/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 гарантирует, продукция принадлежит ему на законном основании, в споре, залоге или под арестом не состоит, и не обременен правами третьих </w:t>
            </w: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лиц.</w:t>
            </w:r>
          </w:p>
          <w:p w:rsidR="00997DB2" w:rsidRDefault="00CA2FFB">
            <w:pPr>
              <w:widowControl w:val="0"/>
              <w:jc w:val="both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Продукция должна отгружаться Поставщиком в таре и упаковке, обеспечивающих полную сохранность продукции от всякого рода повреждений и порчи с учетом возможных перегрузок, и длительного хранения.</w:t>
            </w:r>
          </w:p>
          <w:p w:rsidR="00997DB2" w:rsidRDefault="00CA2FFB">
            <w:pPr>
              <w:pStyle w:val="aff0"/>
              <w:widowControl w:val="0"/>
              <w:ind w:left="0"/>
              <w:jc w:val="both"/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  <w:t>Способ укладки и транспортировки продукции должен предот</w:t>
            </w:r>
            <w:r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  <w:t>вратить его повреждение или порчу во время перевозки и погрузке/разгрузке, а также воздействие осадков во время перевозки и при открытом хранении.</w:t>
            </w:r>
          </w:p>
          <w:p w:rsidR="00997DB2" w:rsidRDefault="00CA2FFB">
            <w:pPr>
              <w:pStyle w:val="aff0"/>
              <w:widowControl w:val="0"/>
              <w:ind w:left="0"/>
              <w:jc w:val="both"/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  <w:t>Продукция должна соответствовать требованиям указанных стандартов, технических условий, чертежей. Продукция д</w:t>
            </w:r>
            <w:r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  <w:t>олжна соответствовать обязательным требованиям, установленным нормативными документами, действующими в РФ. Продукция обязательно должна быть укомплектована документами, удостоверяющими качество продукции (паспортами, копиями сертификатов/деклараций соответ</w:t>
            </w:r>
            <w:r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  <w:t>ствия)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DB2" w:rsidRDefault="00997DB2">
            <w:pPr>
              <w:widowControl w:val="0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97DB2" w:rsidRDefault="00997DB2">
            <w:pPr>
              <w:widowControl w:val="0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7DB2" w:rsidRDefault="00997DB2">
            <w:pPr>
              <w:widowControl w:val="0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997DB2" w:rsidRDefault="00997DB2">
      <w:pPr>
        <w:jc w:val="both"/>
        <w:rPr>
          <w:rFonts w:eastAsia="Calibri"/>
          <w:bCs/>
          <w:sz w:val="24"/>
          <w:szCs w:val="24"/>
          <w:lang w:eastAsia="x-none"/>
        </w:rPr>
      </w:pPr>
    </w:p>
    <w:p w:rsidR="00997DB2" w:rsidRDefault="00CA2FFB">
      <w:pPr>
        <w:pStyle w:val="1"/>
        <w:numPr>
          <w:ilvl w:val="0"/>
          <w:numId w:val="0"/>
        </w:numPr>
        <w:ind w:left="1080"/>
        <w:jc w:val="center"/>
        <w:rPr>
          <w:sz w:val="24"/>
          <w:szCs w:val="24"/>
        </w:rPr>
      </w:pPr>
      <w:bookmarkStart w:id="24" w:name="_Toc205981921"/>
      <w:r>
        <w:rPr>
          <w:color w:val="000000"/>
          <w:sz w:val="24"/>
          <w:szCs w:val="24"/>
        </w:rPr>
        <w:t xml:space="preserve">3. Требования к документации по </w:t>
      </w:r>
      <w:r>
        <w:rPr>
          <w:color w:val="000000"/>
          <w:sz w:val="24"/>
          <w:szCs w:val="24"/>
        </w:rPr>
        <w:t>ценообразованию на этапе закупки</w:t>
      </w:r>
      <w:bookmarkEnd w:id="24"/>
    </w:p>
    <w:p w:rsidR="00997DB2" w:rsidRDefault="00CA2FFB">
      <w:pPr>
        <w:pStyle w:val="aff0"/>
        <w:ind w:left="720"/>
        <w:jc w:val="both"/>
        <w:rPr>
          <w:color w:val="000000"/>
          <w:sz w:val="24"/>
          <w:szCs w:val="24"/>
          <w:lang w:eastAsia="x-none"/>
        </w:rPr>
      </w:pPr>
      <w:r>
        <w:rPr>
          <w:color w:val="000000"/>
          <w:sz w:val="24"/>
          <w:szCs w:val="24"/>
          <w:lang w:eastAsia="x-none"/>
        </w:rPr>
        <w:t xml:space="preserve">3.1. В обоснование стоимости своей заявки Участник предоставляет Коммерческое предложение по форме </w:t>
      </w:r>
      <w:bookmarkStart w:id="25" w:name="_Hlk88325985"/>
      <w:r>
        <w:rPr>
          <w:color w:val="000000"/>
          <w:sz w:val="24"/>
          <w:szCs w:val="24"/>
          <w:lang w:eastAsia="x-none"/>
        </w:rPr>
        <w:t>(с учетом прилагаемой к ней инструкции по заполнению)</w:t>
      </w:r>
      <w:bookmarkEnd w:id="25"/>
      <w:r>
        <w:rPr>
          <w:color w:val="000000"/>
          <w:sz w:val="24"/>
          <w:szCs w:val="24"/>
          <w:lang w:eastAsia="x-none"/>
        </w:rPr>
        <w:t>, приведенной в Документации о закупке.</w:t>
      </w:r>
    </w:p>
    <w:p w:rsidR="00997DB2" w:rsidRDefault="00CA2FFB">
      <w:pPr>
        <w:pStyle w:val="aff0"/>
        <w:ind w:left="720"/>
        <w:jc w:val="both"/>
        <w:rPr>
          <w:color w:val="000000"/>
          <w:sz w:val="24"/>
          <w:szCs w:val="24"/>
          <w:lang w:eastAsia="x-none"/>
        </w:rPr>
      </w:pPr>
      <w:r>
        <w:rPr>
          <w:color w:val="000000"/>
          <w:sz w:val="24"/>
          <w:szCs w:val="24"/>
          <w:lang w:eastAsia="x-none"/>
        </w:rPr>
        <w:t xml:space="preserve">3.2. </w:t>
      </w:r>
      <w:bookmarkStart w:id="26" w:name="_Hlk88327292"/>
      <w:r>
        <w:rPr>
          <w:color w:val="000000"/>
          <w:sz w:val="24"/>
          <w:szCs w:val="24"/>
          <w:lang w:eastAsia="x-none"/>
        </w:rPr>
        <w:t>Дополнительные документы п</w:t>
      </w:r>
      <w:r>
        <w:rPr>
          <w:color w:val="000000"/>
          <w:sz w:val="24"/>
          <w:szCs w:val="24"/>
          <w:lang w:eastAsia="x-none"/>
        </w:rPr>
        <w:t>о ценообразованию</w:t>
      </w:r>
      <w:bookmarkEnd w:id="26"/>
      <w:r>
        <w:rPr>
          <w:color w:val="000000"/>
          <w:sz w:val="24"/>
          <w:szCs w:val="24"/>
          <w:lang w:eastAsia="x-none"/>
        </w:rPr>
        <w:t xml:space="preserve"> в состав заявки не включаются.</w:t>
      </w:r>
    </w:p>
    <w:p w:rsidR="00997DB2" w:rsidRDefault="00997DB2">
      <w:pPr>
        <w:pStyle w:val="aff0"/>
        <w:ind w:left="720"/>
        <w:jc w:val="both"/>
        <w:rPr>
          <w:color w:val="000000"/>
          <w:sz w:val="24"/>
          <w:szCs w:val="24"/>
          <w:lang w:eastAsia="x-none"/>
        </w:rPr>
      </w:pPr>
    </w:p>
    <w:p w:rsidR="00997DB2" w:rsidRDefault="00997DB2">
      <w:pPr>
        <w:suppressAutoHyphens w:val="0"/>
        <w:overflowPunct w:val="0"/>
        <w:rPr>
          <w:color w:val="000000"/>
          <w:sz w:val="24"/>
          <w:szCs w:val="24"/>
        </w:rPr>
      </w:pPr>
    </w:p>
    <w:p w:rsidR="00997DB2" w:rsidRDefault="00997DB2">
      <w:pPr>
        <w:pStyle w:val="aff0"/>
        <w:ind w:left="720"/>
        <w:jc w:val="both"/>
        <w:rPr>
          <w:color w:val="000000"/>
          <w:sz w:val="24"/>
          <w:szCs w:val="24"/>
          <w:lang w:eastAsia="x-none"/>
        </w:rPr>
      </w:pPr>
    </w:p>
    <w:sectPr w:rsidR="00997DB2">
      <w:headerReference w:type="default" r:id="rId12"/>
      <w:headerReference w:type="first" r:id="rId13"/>
      <w:pgSz w:w="16838" w:h="11906" w:orient="landscape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A2FFB">
      <w:r>
        <w:separator/>
      </w:r>
    </w:p>
  </w:endnote>
  <w:endnote w:type="continuationSeparator" w:id="0">
    <w:p w:rsidR="00000000" w:rsidRDefault="00CA2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00000000" w:usb1="F9DFFFFF" w:usb2="0000007F" w:usb3="00000000" w:csb0="003F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charset w:val="01"/>
    <w:family w:val="roman"/>
    <w:pitch w:val="variable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A2FFB">
      <w:r>
        <w:separator/>
      </w:r>
    </w:p>
  </w:footnote>
  <w:footnote w:type="continuationSeparator" w:id="0">
    <w:p w:rsidR="00000000" w:rsidRDefault="00CA2F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DB2" w:rsidRDefault="00997DB2">
    <w:pPr>
      <w:pStyle w:val="aff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DB2" w:rsidRDefault="00997DB2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DB2" w:rsidRDefault="00997DB2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DB2" w:rsidRDefault="00997DB2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DB2" w:rsidRDefault="00997DB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56DFC"/>
    <w:multiLevelType w:val="multilevel"/>
    <w:tmpl w:val="4C0862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146EE7"/>
    <w:multiLevelType w:val="multilevel"/>
    <w:tmpl w:val="ADE84E2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2" w15:restartNumberingAfterBreak="0">
    <w:nsid w:val="09675AAB"/>
    <w:multiLevelType w:val="multilevel"/>
    <w:tmpl w:val="2AE645BE"/>
    <w:lvl w:ilvl="0">
      <w:start w:val="1"/>
      <w:numFmt w:val="bullet"/>
      <w:pStyle w:val="4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274364"/>
    <w:multiLevelType w:val="multilevel"/>
    <w:tmpl w:val="1B04C58A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CF434E2"/>
    <w:multiLevelType w:val="multilevel"/>
    <w:tmpl w:val="E4DC486A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 w15:restartNumberingAfterBreak="0">
    <w:nsid w:val="678A5545"/>
    <w:multiLevelType w:val="multilevel"/>
    <w:tmpl w:val="E4DA0D6E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%6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%7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firstLine="0"/>
      </w:pPr>
    </w:lvl>
  </w:abstractNum>
  <w:abstractNum w:abstractNumId="6" w15:restartNumberingAfterBreak="0">
    <w:nsid w:val="6C166937"/>
    <w:multiLevelType w:val="multilevel"/>
    <w:tmpl w:val="4642A7DA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1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75451E8D"/>
    <w:multiLevelType w:val="multilevel"/>
    <w:tmpl w:val="84E85D84"/>
    <w:lvl w:ilvl="0">
      <w:start w:val="3"/>
      <w:numFmt w:val="decimal"/>
      <w:lvlText w:val="%1."/>
      <w:lvlJc w:val="left"/>
      <w:pPr>
        <w:tabs>
          <w:tab w:val="num" w:pos="0"/>
        </w:tabs>
        <w:ind w:left="550" w:hanging="262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DB2"/>
    <w:rsid w:val="00997DB2"/>
    <w:rsid w:val="00CA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EA7C8"/>
  <w15:docId w15:val="{19097A28-75A2-41A8-B90E-BCA5843D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Pr>
      <w:sz w:val="28"/>
      <w:szCs w:val="28"/>
    </w:rPr>
  </w:style>
  <w:style w:type="paragraph" w:styleId="1">
    <w:name w:val="heading 1"/>
    <w:basedOn w:val="31"/>
    <w:next w:val="a3"/>
    <w:link w:val="10"/>
    <w:qFormat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0"/>
    <w:next w:val="a3"/>
    <w:link w:val="23"/>
    <w:qFormat/>
    <w:pPr>
      <w:outlineLvl w:val="1"/>
    </w:pPr>
  </w:style>
  <w:style w:type="paragraph" w:styleId="31">
    <w:name w:val="heading 3"/>
    <w:basedOn w:val="a3"/>
    <w:next w:val="a3"/>
    <w:link w:val="32"/>
    <w:autoRedefine/>
    <w:qFormat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0">
    <w:name w:val="heading 4"/>
    <w:basedOn w:val="31"/>
    <w:next w:val="a3"/>
    <w:link w:val="41"/>
    <w:qFormat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qFormat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qFormat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</w:style>
  <w:style w:type="character" w:styleId="aa">
    <w:name w:val="Hyperlink"/>
    <w:uiPriority w:val="99"/>
    <w:rPr>
      <w:color w:val="0000FF"/>
      <w:u w:val="single"/>
    </w:rPr>
  </w:style>
  <w:style w:type="character" w:styleId="ab">
    <w:name w:val="annotation reference"/>
    <w:qFormat/>
    <w:rPr>
      <w:sz w:val="16"/>
      <w:szCs w:val="16"/>
    </w:rPr>
  </w:style>
  <w:style w:type="character" w:styleId="ac">
    <w:name w:val="Strong"/>
    <w:uiPriority w:val="22"/>
    <w:qFormat/>
    <w:rPr>
      <w:b/>
      <w:bCs/>
    </w:rPr>
  </w:style>
  <w:style w:type="character" w:customStyle="1" w:styleId="60">
    <w:name w:val="Заголовок 6 Знак"/>
    <w:link w:val="6"/>
    <w:qFormat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qFormat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qFormat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Pr>
      <w:rFonts w:eastAsia="Calibri"/>
      <w:b/>
      <w:sz w:val="24"/>
      <w:szCs w:val="24"/>
      <w:lang w:val="x-none" w:eastAsia="x-none"/>
    </w:rPr>
  </w:style>
  <w:style w:type="character" w:customStyle="1" w:styleId="41">
    <w:name w:val="Заголовок 4 Знак"/>
    <w:link w:val="40"/>
    <w:qFormat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qFormat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qFormat/>
    <w:rPr>
      <w:sz w:val="28"/>
    </w:rPr>
  </w:style>
  <w:style w:type="character" w:customStyle="1" w:styleId="ae">
    <w:name w:val="Подзаголовок Знак"/>
    <w:link w:val="af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qFormat/>
    <w:rPr>
      <w:i/>
      <w:iCs/>
    </w:rPr>
  </w:style>
  <w:style w:type="character" w:customStyle="1" w:styleId="24">
    <w:name w:val="Цитата 2 Знак"/>
    <w:link w:val="25"/>
    <w:qFormat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qFormat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qFormat/>
    <w:rPr>
      <w:i/>
      <w:iCs/>
      <w:color w:val="808080"/>
    </w:rPr>
  </w:style>
  <w:style w:type="character" w:styleId="af4">
    <w:name w:val="Intense Emphasis"/>
    <w:qFormat/>
    <w:rPr>
      <w:b/>
      <w:bCs/>
      <w:i/>
      <w:iCs/>
      <w:color w:val="4F81BD"/>
    </w:rPr>
  </w:style>
  <w:style w:type="character" w:styleId="af5">
    <w:name w:val="Subtle Reference"/>
    <w:qFormat/>
    <w:rPr>
      <w:smallCaps/>
      <w:color w:val="C0504D"/>
      <w:u w:val="single"/>
    </w:rPr>
  </w:style>
  <w:style w:type="character" w:styleId="af6">
    <w:name w:val="Intense Reference"/>
    <w:qFormat/>
    <w:rPr>
      <w:b/>
      <w:bCs/>
      <w:smallCaps/>
      <w:color w:val="C0504D"/>
      <w:spacing w:val="5"/>
      <w:u w:val="single"/>
    </w:rPr>
  </w:style>
  <w:style w:type="character" w:styleId="af7">
    <w:name w:val="Book Title"/>
    <w:qFormat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qFormat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rPr>
      <w:sz w:val="28"/>
    </w:rPr>
  </w:style>
  <w:style w:type="character" w:customStyle="1" w:styleId="afb">
    <w:name w:val="Текст сноски Знак"/>
    <w:link w:val="afc"/>
    <w:qFormat/>
  </w:style>
  <w:style w:type="character" w:customStyle="1" w:styleId="afd">
    <w:name w:val="Основной текст Знак"/>
    <w:link w:val="afe"/>
    <w:qFormat/>
    <w:rPr>
      <w:sz w:val="28"/>
      <w:szCs w:val="28"/>
    </w:rPr>
  </w:style>
  <w:style w:type="character" w:customStyle="1" w:styleId="blk">
    <w:name w:val="blk"/>
    <w:qFormat/>
  </w:style>
  <w:style w:type="character" w:customStyle="1" w:styleId="aff">
    <w:name w:val="Абзац списка Знак"/>
    <w:link w:val="aff0"/>
    <w:qFormat/>
    <w:rPr>
      <w:rFonts w:eastAsia="Calibri"/>
      <w:sz w:val="24"/>
      <w:szCs w:val="24"/>
    </w:rPr>
  </w:style>
  <w:style w:type="character" w:customStyle="1" w:styleId="aff1">
    <w:name w:val="комментарий"/>
    <w:qFormat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rPr>
      <w:sz w:val="26"/>
      <w:szCs w:val="26"/>
    </w:rPr>
  </w:style>
  <w:style w:type="character" w:customStyle="1" w:styleId="33">
    <w:name w:val="УРОВЕНЬ_Абзац_тип3 Знак"/>
    <w:link w:val="30"/>
    <w:qFormat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qFormat/>
    <w:rPr>
      <w:sz w:val="24"/>
      <w:szCs w:val="24"/>
    </w:rPr>
  </w:style>
  <w:style w:type="character" w:customStyle="1" w:styleId="aff6">
    <w:name w:val="Текст примечания Знак"/>
    <w:link w:val="aff7"/>
    <w:qFormat/>
  </w:style>
  <w:style w:type="character" w:customStyle="1" w:styleId="aff8">
    <w:name w:val="Текст концевой сноски Знак"/>
    <w:basedOn w:val="a4"/>
    <w:link w:val="aff9"/>
    <w:qFormat/>
  </w:style>
  <w:style w:type="character" w:customStyle="1" w:styleId="affa">
    <w:name w:val="Символ концевой сноски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Pr>
      <w:b/>
      <w:sz w:val="28"/>
    </w:rPr>
  </w:style>
  <w:style w:type="character" w:customStyle="1" w:styleId="13">
    <w:name w:val="УРОВЕНЬ_1. Знак"/>
    <w:link w:val="14"/>
    <w:qFormat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qFormat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Pr>
      <w:sz w:val="16"/>
      <w:szCs w:val="16"/>
    </w:rPr>
  </w:style>
  <w:style w:type="character" w:customStyle="1" w:styleId="affc">
    <w:name w:val="Ссылка указателя"/>
    <w:qFormat/>
  </w:style>
  <w:style w:type="character" w:customStyle="1" w:styleId="vi-textxw0rd193">
    <w:name w:val="_vi-text_xw0rd_193"/>
    <w:basedOn w:val="a4"/>
    <w:qFormat/>
    <w:rsid w:val="002A6DF0"/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pPr>
      <w:spacing w:after="120"/>
    </w:pPr>
  </w:style>
  <w:style w:type="paragraph" w:styleId="affe">
    <w:name w:val="List"/>
    <w:basedOn w:val="afe"/>
  </w:style>
  <w:style w:type="paragraph" w:styleId="afff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d"/>
    <w:qFormat/>
  </w:style>
  <w:style w:type="paragraph" w:customStyle="1" w:styleId="afff1">
    <w:name w:val="Название раздела инструкции"/>
    <w:basedOn w:val="a3"/>
    <w:autoRedefine/>
    <w:qFormat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Pr>
      <w:sz w:val="20"/>
      <w:szCs w:val="20"/>
    </w:rPr>
  </w:style>
  <w:style w:type="paragraph" w:customStyle="1" w:styleId="16">
    <w:name w:val="Шапка 1"/>
    <w:basedOn w:val="a3"/>
    <w:qFormat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qFormat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pPr>
      <w:ind w:left="360"/>
    </w:pPr>
    <w:rPr>
      <w:sz w:val="24"/>
      <w:szCs w:val="24"/>
    </w:rPr>
  </w:style>
  <w:style w:type="paragraph" w:styleId="afff4">
    <w:name w:val="footer"/>
    <w:basedOn w:val="a3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pPr>
      <w:spacing w:after="120" w:line="480" w:lineRule="auto"/>
      <w:ind w:left="283"/>
    </w:pPr>
  </w:style>
  <w:style w:type="paragraph" w:styleId="37">
    <w:name w:val="Body Text 3"/>
    <w:basedOn w:val="a3"/>
    <w:qFormat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pPr>
      <w:spacing w:after="120" w:line="480" w:lineRule="auto"/>
    </w:pPr>
  </w:style>
  <w:style w:type="paragraph" w:styleId="afff5">
    <w:name w:val="Block Text"/>
    <w:basedOn w:val="a3"/>
    <w:qFormat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pPr>
      <w:shd w:val="clear" w:color="auto" w:fill="FFFFFF"/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pPr>
      <w:ind w:left="280"/>
    </w:pPr>
    <w:rPr>
      <w:rFonts w:cs="Calibri"/>
      <w:sz w:val="20"/>
      <w:szCs w:val="20"/>
    </w:rPr>
  </w:style>
  <w:style w:type="paragraph" w:customStyle="1" w:styleId="afff6">
    <w:name w:val="Раздел регламента"/>
    <w:basedOn w:val="a3"/>
    <w:qFormat/>
  </w:style>
  <w:style w:type="paragraph" w:customStyle="1" w:styleId="afff7">
    <w:name w:val="Приложение к регламенту"/>
    <w:basedOn w:val="a3"/>
    <w:qFormat/>
    <w:pPr>
      <w:jc w:val="right"/>
    </w:pPr>
  </w:style>
  <w:style w:type="paragraph" w:styleId="2b">
    <w:name w:val="toc 2"/>
    <w:basedOn w:val="a3"/>
    <w:next w:val="a3"/>
    <w:autoRedefine/>
    <w:uiPriority w:val="39"/>
    <w:pPr>
      <w:spacing w:before="240"/>
    </w:pPr>
    <w:rPr>
      <w:rFonts w:cs="Calibri"/>
      <w:b/>
      <w:bCs/>
      <w:sz w:val="20"/>
      <w:szCs w:val="20"/>
    </w:rPr>
  </w:style>
  <w:style w:type="paragraph" w:styleId="afff8">
    <w:name w:val="Balloon Text"/>
    <w:basedOn w:val="a3"/>
    <w:qFormat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qFormat/>
    <w:rPr>
      <w:sz w:val="20"/>
      <w:szCs w:val="20"/>
    </w:rPr>
  </w:style>
  <w:style w:type="paragraph" w:styleId="afff9">
    <w:name w:val="annotation subject"/>
    <w:basedOn w:val="aff7"/>
    <w:next w:val="aff7"/>
    <w:qFormat/>
    <w:rPr>
      <w:b/>
      <w:bCs/>
    </w:rPr>
  </w:style>
  <w:style w:type="paragraph" w:customStyle="1" w:styleId="18">
    <w:name w:val="Обычный (веб)1"/>
    <w:basedOn w:val="a3"/>
    <w:qFormat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pPr>
      <w:ind w:left="1960"/>
    </w:pPr>
    <w:rPr>
      <w:rFonts w:ascii="Calibri" w:hAnsi="Calibri" w:cs="Calibri"/>
      <w:sz w:val="20"/>
      <w:szCs w:val="20"/>
    </w:rPr>
  </w:style>
  <w:style w:type="paragraph" w:styleId="51">
    <w:name w:val="toc 5"/>
    <w:basedOn w:val="a3"/>
    <w:next w:val="a3"/>
    <w:autoRedefine/>
    <w:pPr>
      <w:ind w:left="840"/>
    </w:pPr>
    <w:rPr>
      <w:rFonts w:ascii="Calibri" w:hAnsi="Calibri" w:cs="Calibri"/>
      <w:sz w:val="20"/>
      <w:szCs w:val="20"/>
    </w:rPr>
  </w:style>
  <w:style w:type="paragraph" w:styleId="42">
    <w:name w:val="toc 4"/>
    <w:basedOn w:val="a3"/>
    <w:next w:val="a3"/>
    <w:autoRedefine/>
    <w:uiPriority w:val="39"/>
    <w:pPr>
      <w:ind w:left="560"/>
    </w:pPr>
    <w:rPr>
      <w:rFonts w:cs="Calibri"/>
      <w:sz w:val="20"/>
      <w:szCs w:val="20"/>
    </w:rPr>
  </w:style>
  <w:style w:type="paragraph" w:customStyle="1" w:styleId="2c">
    <w:name w:val="Раздел положения 2"/>
    <w:basedOn w:val="a3"/>
    <w:qFormat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qFormat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3"/>
    <w:next w:val="a3"/>
    <w:qFormat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qFormat/>
    <w:pPr>
      <w:ind w:left="708"/>
    </w:pPr>
  </w:style>
  <w:style w:type="paragraph" w:styleId="25">
    <w:name w:val="Quote"/>
    <w:basedOn w:val="a3"/>
    <w:next w:val="a3"/>
    <w:link w:val="24"/>
    <w:qFormat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qFormat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qFormat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">
    <w:name w:val="List Bullet 4"/>
    <w:basedOn w:val="a3"/>
    <w:qFormat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qFormat/>
    <w:rPr>
      <w:rFonts w:eastAsia="Calibri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pPr>
      <w:numPr>
        <w:ilvl w:val="3"/>
        <w:numId w:val="4"/>
      </w:numPr>
      <w:spacing w:before="120" w:line="360" w:lineRule="exact"/>
      <w:jc w:val="both"/>
      <w:outlineLvl w:val="3"/>
    </w:pPr>
    <w:rPr>
      <w:sz w:val="26"/>
      <w:lang w:eastAsia="en-US"/>
    </w:rPr>
  </w:style>
  <w:style w:type="paragraph" w:customStyle="1" w:styleId="-">
    <w:name w:val="УРОВЕНЬ_-"/>
    <w:basedOn w:val="aff0"/>
    <w:qFormat/>
    <w:pPr>
      <w:numPr>
        <w:ilvl w:val="4"/>
        <w:numId w:val="4"/>
      </w:numPr>
      <w:spacing w:before="120" w:line="360" w:lineRule="exact"/>
      <w:jc w:val="both"/>
      <w:outlineLvl w:val="4"/>
    </w:pPr>
    <w:rPr>
      <w:sz w:val="26"/>
      <w:lang w:eastAsia="en-US"/>
    </w:rPr>
  </w:style>
  <w:style w:type="paragraph" w:customStyle="1" w:styleId="21">
    <w:name w:val="УРОВЕНЬ_Абзац_тип2"/>
    <w:basedOn w:val="aff0"/>
    <w:qFormat/>
    <w:pPr>
      <w:numPr>
        <w:ilvl w:val="6"/>
        <w:numId w:val="4"/>
      </w:numPr>
      <w:spacing w:before="120" w:line="360" w:lineRule="exact"/>
      <w:jc w:val="both"/>
    </w:pPr>
    <w:rPr>
      <w:sz w:val="26"/>
      <w:lang w:eastAsia="en-US"/>
    </w:rPr>
  </w:style>
  <w:style w:type="paragraph" w:customStyle="1" w:styleId="30">
    <w:name w:val="УРОВЕНЬ_Абзац_тип3"/>
    <w:basedOn w:val="aff0"/>
    <w:link w:val="33"/>
    <w:qFormat/>
    <w:pPr>
      <w:numPr>
        <w:ilvl w:val="7"/>
        <w:numId w:val="4"/>
      </w:numPr>
      <w:spacing w:before="120" w:line="360" w:lineRule="exact"/>
      <w:jc w:val="both"/>
    </w:pPr>
    <w:rPr>
      <w:sz w:val="26"/>
      <w:lang w:eastAsia="en-US"/>
    </w:rPr>
  </w:style>
  <w:style w:type="paragraph" w:customStyle="1" w:styleId="a2">
    <w:name w:val="УРОВЕНЬ_Подпись"/>
    <w:basedOn w:val="aff0"/>
    <w:qFormat/>
    <w:pPr>
      <w:keepNext/>
      <w:numPr>
        <w:ilvl w:val="5"/>
        <w:numId w:val="4"/>
      </w:numPr>
      <w:spacing w:before="120" w:after="120" w:line="360" w:lineRule="exact"/>
      <w:jc w:val="right"/>
      <w:outlineLvl w:val="3"/>
    </w:pPr>
    <w:rPr>
      <w:sz w:val="26"/>
      <w:lang w:eastAsia="en-US"/>
    </w:rPr>
  </w:style>
  <w:style w:type="paragraph" w:customStyle="1" w:styleId="1a">
    <w:name w:val="Стиль Заголовок 1 + по ширине"/>
    <w:basedOn w:val="1"/>
    <w:qFormat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Pr>
      <w:sz w:val="20"/>
      <w:szCs w:val="20"/>
    </w:rPr>
  </w:style>
  <w:style w:type="paragraph" w:customStyle="1" w:styleId="20">
    <w:name w:val="Заголовок 2 КВВ"/>
    <w:basedOn w:val="a3"/>
    <w:qFormat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qFormat/>
    <w:pPr>
      <w:spacing w:before="280" w:after="280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pPr>
      <w:keepNext/>
      <w:keepLines/>
      <w:spacing w:before="240" w:after="120" w:line="276" w:lineRule="auto"/>
      <w:ind w:left="0"/>
      <w:jc w:val="both"/>
      <w:outlineLvl w:val="0"/>
    </w:pPr>
    <w:rPr>
      <w:caps/>
      <w:lang w:eastAsia="en-US"/>
    </w:rPr>
  </w:style>
  <w:style w:type="paragraph" w:styleId="61">
    <w:name w:val="toc 6"/>
    <w:basedOn w:val="a3"/>
    <w:next w:val="a3"/>
    <w:autoRedefine/>
    <w:pPr>
      <w:ind w:left="1120"/>
    </w:pPr>
    <w:rPr>
      <w:rFonts w:ascii="Calibri" w:hAnsi="Calibri" w:cs="Calibri"/>
      <w:sz w:val="20"/>
      <w:szCs w:val="20"/>
    </w:rPr>
  </w:style>
  <w:style w:type="paragraph" w:styleId="71">
    <w:name w:val="toc 7"/>
    <w:basedOn w:val="a3"/>
    <w:next w:val="a3"/>
    <w:autoRedefine/>
    <w:pPr>
      <w:ind w:left="1400"/>
    </w:pPr>
    <w:rPr>
      <w:rFonts w:ascii="Calibri" w:hAnsi="Calibri" w:cs="Calibri"/>
      <w:sz w:val="20"/>
      <w:szCs w:val="20"/>
    </w:rPr>
  </w:style>
  <w:style w:type="paragraph" w:styleId="81">
    <w:name w:val="toc 8"/>
    <w:basedOn w:val="a3"/>
    <w:next w:val="a3"/>
    <w:autoRedefine/>
    <w:pPr>
      <w:ind w:left="1680"/>
    </w:pPr>
    <w:rPr>
      <w:rFonts w:ascii="Calibri" w:hAnsi="Calibri" w:cs="Calibri"/>
      <w:sz w:val="20"/>
      <w:szCs w:val="20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numbering" w:customStyle="1" w:styleId="1b">
    <w:name w:val="Стиль1"/>
    <w:qFormat/>
  </w:style>
  <w:style w:type="numbering" w:customStyle="1" w:styleId="2d">
    <w:name w:val="Стиль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isp.gov.ru/pp719v2/pub/prod/rep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A6E28-1D0B-4954-B690-596E60452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12</Pages>
  <Words>2321</Words>
  <Characters>13234</Characters>
  <Application>Microsoft Office Word</Application>
  <DocSecurity>0</DocSecurity>
  <Lines>110</Lines>
  <Paragraphs>31</Paragraphs>
  <ScaleCrop>false</ScaleCrop>
  <Company>Microsoft</Company>
  <LinksUpToDate>false</LinksUpToDate>
  <CharactersWithSpaces>15524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Карасева Мария Владимировна</cp:lastModifiedBy>
  <cp:revision>49</cp:revision>
  <cp:lastPrinted>2025-08-13T09:27:00Z</cp:lastPrinted>
  <dcterms:created xsi:type="dcterms:W3CDTF">2026-06-24T12:28:00Z</dcterms:created>
  <dcterms:modified xsi:type="dcterms:W3CDTF">2026-08-11T08:05:00Z</dcterms:modified>
  <dc:language>ru-RU</dc:language>
</cp:coreProperties>
</file>