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widowControl/>
        <w:suppressAutoHyphens w:val="true"/>
        <w:bidi w:val="0"/>
        <w:spacing w:lineRule="auto" w:line="240" w:before="0" w:after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ОКПД2  27.11.62.110 Поставка запасных частей электротехнического оборудования для пополнения аварийного запаса 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для нужд филиала ПАО «РусГидро» - «Загорская ГАЭС»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r>
        <w:rPr>
          <w:rFonts w:eastAsia="Calibri"/>
          <w:b/>
          <w:i/>
          <w:sz w:val="26"/>
          <w:szCs w:val="26"/>
        </w:rPr>
        <w:t>________________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8"/>
              <w:vanish w:val="false"/>
            </w:rPr>
            <w:instrText xml:space="preserve"> TOC \z \o "1-4" \u \h</w:instrText>
          </w:r>
          <w:r>
            <w:rPr>
              <w:webHidden/>
              <w:rStyle w:val="Style18"/>
              <w:vanish w:val="false"/>
            </w:rPr>
            <w:fldChar w:fldCharType="separate"/>
          </w:r>
          <w:hyperlink w:anchor="__RefHeading___Toc4316_1446605355">
            <w:r>
              <w:rPr>
                <w:webHidden/>
                <w:rStyle w:val="Style18"/>
                <w:vanish w:val="false"/>
              </w:rPr>
              <w:t>1 Общие сведения</w:t>
              <w:tab/>
              <w:t>3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18_1446605355">
            <w:r>
              <w:rPr>
                <w:webHidden/>
                <w:rStyle w:val="Style18"/>
                <w:vanish w:val="false"/>
              </w:rPr>
              <w:t>2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20_1446605355">
            <w:r>
              <w:rPr>
                <w:webHidden/>
                <w:rStyle w:val="Style18"/>
                <w:vanish w:val="false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22_1446605355">
            <w:r>
              <w:rPr>
                <w:webHidden/>
                <w:rStyle w:val="Style18"/>
                <w:vanish w:val="false"/>
              </w:rPr>
              <w:t>Таблица 2.1 Требования по срокам поставки продукции</w:t>
              <w:tab/>
              <w:t>5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24_1446605355">
            <w:r>
              <w:rPr>
                <w:webHidden/>
                <w:rStyle w:val="Style18"/>
                <w:vanish w:val="false"/>
              </w:rPr>
              <w:t xml:space="preserve"> </w:t>
            </w:r>
            <w:r>
              <w:rPr>
                <w:rStyle w:val="Style18"/>
              </w:rPr>
              <w:t xml:space="preserve">Таблица 3.1 </w:t>
            </w:r>
            <w:r>
              <w:rPr>
                <w:rStyle w:val="Style18"/>
                <w:iCs/>
              </w:rPr>
              <w:t>Позиция № 1 Таблицы 1.1 настоящих технических требований: Ремкомплект измерительного вывода высоковольтного ввода ЖИШЦ.5615</w:t>
            </w:r>
            <w:r>
              <w:rPr>
                <w:rStyle w:val="Style18"/>
              </w:rPr>
              <w:tab/>
              <w:t>6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0315_325241412">
            <w:r>
              <w:rPr>
                <w:webHidden/>
                <w:rStyle w:val="Style18"/>
                <w:vanish w:val="false"/>
              </w:rPr>
              <w:t>-</w:t>
              <w:tab/>
              <w:t>8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26_1446605355">
            <w:r>
              <w:rPr>
                <w:webHidden/>
                <w:rStyle w:val="Style18"/>
                <w:vanish w:val="false"/>
              </w:rPr>
              <w:t xml:space="preserve">Таблица 3.2 </w:t>
            </w:r>
            <w:r>
              <w:rPr>
                <w:rStyle w:val="Style18"/>
                <w:iCs/>
              </w:rPr>
              <w:t>Позиция № 2 Таблицы 1.1 настоящих технических требований: Ключ</w:t>
            </w:r>
            <w:r>
              <w:rPr>
                <w:rStyle w:val="Style18"/>
              </w:rPr>
              <w:tab/>
              <w:t>10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32_1446605355">
            <w:r>
              <w:rPr>
                <w:webHidden/>
                <w:rStyle w:val="Style18"/>
                <w:vanish w:val="false"/>
              </w:rPr>
              <w:t>3 Требования к документации по ценообразованию на этапе закупки</w:t>
              <w:tab/>
              <w:t>14</w:t>
            </w:r>
          </w:hyperlink>
        </w:p>
        <w:p>
          <w:pPr>
            <w:pStyle w:val="TOC1"/>
            <w:tabs>
              <w:tab w:val="clear" w:pos="567"/>
              <w:tab w:val="clear" w:pos="9911"/>
              <w:tab w:val="right" w:pos="9921" w:leader="dot"/>
            </w:tabs>
            <w:rPr/>
          </w:pPr>
          <w:hyperlink w:anchor="__RefHeading___Toc4334_1446605355">
            <w:r>
              <w:rPr>
                <w:webHidden/>
                <w:rStyle w:val="Style18"/>
                <w:vanish w:val="false"/>
              </w:rPr>
              <w:t>4 Приложения</w:t>
              <w:tab/>
              <w:t>15</w:t>
            </w:r>
          </w:hyperlink>
          <w:r>
            <w:rPr>
              <w:rStyle w:val="Style18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20"/>
        </w:numPr>
        <w:ind w:left="357" w:hanging="357"/>
        <w:jc w:val="center"/>
        <w:rPr>
          <w:caps/>
          <w:sz w:val="24"/>
          <w:szCs w:val="24"/>
        </w:rPr>
      </w:pPr>
      <w:bookmarkStart w:id="0" w:name="__RefHeading___Toc4316_1446605355"/>
      <w:bookmarkStart w:id="1" w:name="_Toc172202385"/>
      <w:bookmarkStart w:id="2" w:name="_Toc51339692"/>
      <w:bookmarkEnd w:id="0"/>
      <w:r>
        <w:rPr>
          <w:sz w:val="24"/>
          <w:szCs w:val="24"/>
        </w:rPr>
        <w:t>Общие сведения</w:t>
      </w:r>
      <w:bookmarkEnd w:id="1"/>
      <w:bookmarkEnd w:id="2"/>
    </w:p>
    <w:p>
      <w:pPr>
        <w:pStyle w:val="ListParagraph"/>
        <w:numPr>
          <w:ilvl w:val="1"/>
          <w:numId w:val="12"/>
        </w:numPr>
        <w:rPr>
          <w:b/>
        </w:rPr>
      </w:pPr>
      <w:bookmarkStart w:id="3" w:name="_Toc46743505"/>
      <w:r>
        <w:rPr>
          <w:b/>
        </w:rPr>
        <w:t>Обозначения и сокращения</w:t>
      </w:r>
      <w:bookmarkEnd w:id="3"/>
    </w:p>
    <w:p>
      <w:pPr>
        <w:pStyle w:val="Normal"/>
        <w:rPr>
          <w:rStyle w:val="Style14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ListParagraph"/>
        <w:numPr>
          <w:ilvl w:val="1"/>
          <w:numId w:val="12"/>
        </w:numPr>
        <w:rPr>
          <w:b/>
        </w:rPr>
      </w:pPr>
      <w:bookmarkStart w:id="4" w:name="_Toc46743506"/>
      <w:r>
        <w:rPr>
          <w:b/>
        </w:rPr>
        <w:t>Наименование закупаемой продукции</w:t>
      </w:r>
      <w:bookmarkEnd w:id="4"/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rFonts w:eastAsia="Calibri"/>
          <w:bCs/>
          <w:i w:val="false"/>
          <w:iCs w:val="false"/>
          <w:color w:val="000000" w:themeColor="text1"/>
          <w:sz w:val="24"/>
          <w:szCs w:val="24"/>
          <w:lang w:eastAsia="x-none"/>
        </w:rPr>
        <w:t>ОКПД2 27.11.62.110 Поставка запасных частей электротехнического оборудования для пополнения аварийного запаса для нужд филиала ПАО «РусГидро» - «Загорская ГАЭС»</w:t>
      </w:r>
      <w:r>
        <w:rPr>
          <w:rFonts w:eastAsia="Calibri"/>
          <w:i/>
          <w:sz w:val="24"/>
          <w:szCs w:val="24"/>
          <w:lang w:eastAsia="x-none"/>
        </w:rPr>
        <w:br/>
      </w:r>
    </w:p>
    <w:p>
      <w:pPr>
        <w:pStyle w:val="ListParagraph"/>
        <w:numPr>
          <w:ilvl w:val="1"/>
          <w:numId w:val="12"/>
        </w:numPr>
        <w:rPr>
          <w:b/>
        </w:rPr>
      </w:pPr>
      <w:bookmarkStart w:id="5" w:name="_Toc46743507"/>
      <w:r>
        <w:rPr>
          <w:b/>
        </w:rPr>
        <w:t xml:space="preserve">Цель </w:t>
      </w:r>
      <w:bookmarkEnd w:id="5"/>
      <w:r>
        <w:rPr>
          <w:b/>
        </w:rPr>
        <w:t>использования закупаемой продукции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Обеспечение аварийным запасом материалов, </w:t>
      </w:r>
      <w:r>
        <w:rPr>
          <w:rFonts w:eastAsia="Calibri"/>
          <w:color w:val="000000" w:themeColor="text1"/>
          <w:sz w:val="24"/>
          <w:szCs w:val="24"/>
        </w:rPr>
        <w:t>необходимых для ликвидации возможных отказов (аварий)</w:t>
      </w:r>
      <w:r>
        <w:rPr>
          <w:b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оборудования, установленного</w:t>
      </w:r>
      <w:r>
        <w:rPr>
          <w:sz w:val="24"/>
          <w:szCs w:val="24"/>
        </w:rPr>
        <w:t xml:space="preserve"> на филиале ПАО «РусГидро» - «Загорская ГАЭС» (далее - Филиал).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ListParagraph"/>
        <w:numPr>
          <w:ilvl w:val="1"/>
          <w:numId w:val="12"/>
        </w:numPr>
        <w:rPr>
          <w:b/>
        </w:rPr>
      </w:pPr>
      <w:bookmarkStart w:id="6" w:name="_Toc46743508"/>
      <w:r>
        <w:rPr>
          <w:b/>
        </w:rPr>
        <w:t>Существующее положение</w:t>
      </w:r>
      <w:bookmarkEnd w:id="6"/>
    </w:p>
    <w:p>
      <w:pPr>
        <w:pStyle w:val="ListParagraph"/>
        <w:ind w:left="0" w:firstLine="426"/>
        <w:jc w:val="both"/>
        <w:rPr>
          <w:lang w:eastAsia="x-none"/>
        </w:rPr>
      </w:pPr>
      <w:r>
        <w:rPr>
          <w:lang w:eastAsia="x-none"/>
        </w:rPr>
        <w:t xml:space="preserve">На </w:t>
      </w:r>
      <w:r>
        <w:rPr>
          <w:color w:val="000000"/>
          <w:sz w:val="24"/>
          <w:szCs w:val="24"/>
          <w:lang w:eastAsia="x-none"/>
        </w:rPr>
        <w:t xml:space="preserve">Загорской ГАЭС в главной схеме используются 6 </w:t>
      </w:r>
      <w:r>
        <w:rPr>
          <w:sz w:val="24"/>
          <w:szCs w:val="24"/>
          <w:lang w:eastAsia="x-none"/>
        </w:rPr>
        <w:t>блочных</w:t>
      </w:r>
      <w:r>
        <w:rPr>
          <w:color w:val="000000"/>
          <w:sz w:val="24"/>
          <w:szCs w:val="24"/>
          <w:lang w:eastAsia="x-none"/>
        </w:rPr>
        <w:t xml:space="preserve"> </w:t>
      </w:r>
      <w:r>
        <w:rPr>
          <w:rFonts w:cs="Arial CYR"/>
          <w:bCs/>
          <w:sz w:val="24"/>
          <w:szCs w:val="24"/>
          <w:lang w:eastAsia="x-none"/>
        </w:rPr>
        <w:t xml:space="preserve">трехфазных двухобмоточных </w:t>
      </w:r>
      <w:r>
        <w:rPr>
          <w:color w:val="000000"/>
          <w:sz w:val="24"/>
          <w:szCs w:val="24"/>
          <w:lang w:eastAsia="x-none"/>
        </w:rPr>
        <w:t>трансформаторов типа ТЦ-250000/500; 500/15,75 кВ.</w:t>
      </w:r>
      <w:r>
        <w:rPr>
          <w:color w:val="000000"/>
          <w:lang w:eastAsia="x-none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bidi w:val="0"/>
        <w:spacing w:before="120" w:after="240"/>
        <w:ind w:left="0" w:right="0" w:firstLine="850"/>
        <w:jc w:val="both"/>
        <w:rPr/>
      </w:pPr>
      <w:r>
        <w:rPr>
          <w:rStyle w:val="Style14"/>
          <w:b w:val="false"/>
          <w:bCs/>
          <w:i w:val="false"/>
          <w:iCs w:val="false"/>
          <w:color w:val="000000"/>
          <w:sz w:val="24"/>
          <w:szCs w:val="24"/>
          <w:shd w:fill="auto" w:val="clear"/>
        </w:rPr>
        <w:t>Ключевым элементом в компоновке трансформаторов на Загорской ГАЭС являются  ввода типа ГКТIII-60-550/2500 О1, зав. чертеж ИВУЕ.686355.172-01 (зав. №П-71264(фаза А), № П-67538 (фаза В), № П-69163 (фаза С)).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bidi w:val="0"/>
        <w:spacing w:before="120" w:after="240"/>
        <w:ind w:left="0" w:right="0" w:firstLine="850"/>
        <w:jc w:val="both"/>
        <w:rPr/>
      </w:pPr>
      <w:r>
        <w:rPr>
          <w:rStyle w:val="Style14"/>
          <w:b w:val="false"/>
          <w:bCs/>
          <w:i w:val="false"/>
          <w:iCs w:val="false"/>
          <w:color w:val="000000"/>
          <w:sz w:val="24"/>
          <w:szCs w:val="24"/>
          <w:shd w:fill="auto" w:val="clear"/>
        </w:rPr>
        <w:t xml:space="preserve">Для устранения возможной аварии необходимо иметь ремкомплект измерительного вывода высоковольтного ввода ЖИШЦ.5615 и ключ </w:t>
      </w:r>
      <w:r>
        <w:rPr>
          <w:rStyle w:val="Style14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П-6894 </w:t>
      </w:r>
      <w:r>
        <w:rPr>
          <w:rStyle w:val="Style14"/>
          <w:b w:val="false"/>
          <w:bCs/>
          <w:i w:val="false"/>
          <w:iCs w:val="false"/>
          <w:color w:val="000000"/>
          <w:sz w:val="24"/>
          <w:szCs w:val="24"/>
          <w:shd w:fill="auto" w:val="clear"/>
        </w:rPr>
        <w:t>для осуществления его демонтажа/монтажа.</w:t>
      </w:r>
    </w:p>
    <w:p>
      <w:pPr>
        <w:pStyle w:val="ListParagraph"/>
        <w:ind w:left="0" w:firstLine="426"/>
        <w:jc w:val="both"/>
        <w:rPr>
          <w:lang w:eastAsia="x-none"/>
        </w:rPr>
      </w:pPr>
      <w:bookmarkStart w:id="7" w:name="_Hlk49857604"/>
      <w:bookmarkStart w:id="8" w:name="_Toc46743509"/>
      <w:bookmarkStart w:id="9" w:name="_Toc146292906"/>
      <w:r>
        <w:rPr>
          <w:lang w:eastAsia="x-none"/>
        </w:rPr>
        <w:t xml:space="preserve">Информация в отношении исполнения договора, </w:t>
      </w:r>
      <w:bookmarkStart w:id="10" w:name="_Hlk46492347"/>
      <w:r>
        <w:rPr>
          <w:lang w:eastAsia="x-none"/>
        </w:rPr>
        <w:t xml:space="preserve">которая должна быть учтена при подготовке заявки </w:t>
      </w:r>
      <w:bookmarkEnd w:id="10"/>
      <w:r>
        <w:rPr>
          <w:lang w:eastAsia="x-none"/>
        </w:rPr>
        <w:t>(в том числе перечень ресурсов, услуг и документов, предоставляемых заказчиком на этапе исполнения договора)</w:t>
      </w:r>
      <w:bookmarkStart w:id="11" w:name="_Hlk48209761"/>
      <w:bookmarkEnd w:id="7"/>
      <w:bookmarkEnd w:id="8"/>
      <w:bookmarkEnd w:id="9"/>
    </w:p>
    <w:p>
      <w:pPr>
        <w:pStyle w:val="ListParagraph"/>
        <w:ind w:left="0" w:firstLine="426"/>
        <w:jc w:val="both"/>
        <w:rPr>
          <w:lang w:eastAsia="x-none"/>
        </w:rPr>
      </w:pPr>
      <w:bookmarkStart w:id="12" w:name="_Toc146292907"/>
      <w:r>
        <w:rPr>
          <w:lang w:eastAsia="x-none"/>
        </w:rPr>
        <w:t>Заказчик предоставит поставщику</w:t>
      </w:r>
      <w:bookmarkEnd w:id="12"/>
      <w:r>
        <w:rPr>
          <w:lang w:eastAsia="x-none"/>
        </w:rPr>
        <w:t xml:space="preserve"> </w:t>
      </w:r>
      <w:bookmarkStart w:id="13" w:name="_Toc146292909"/>
      <w:r>
        <w:rPr/>
        <w:t xml:space="preserve">площадку для разгрузки </w:t>
      </w:r>
      <w:r>
        <w:rPr>
          <w:lang w:eastAsia="x-none"/>
        </w:rPr>
        <w:t xml:space="preserve">продукции </w:t>
      </w:r>
      <w:r>
        <w:rPr/>
        <w:t>.</w:t>
      </w:r>
      <w:bookmarkEnd w:id="13"/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Heading1"/>
        <w:numPr>
          <w:ilvl w:val="0"/>
          <w:numId w:val="21"/>
        </w:numPr>
        <w:jc w:val="center"/>
        <w:rPr>
          <w:caps/>
          <w:sz w:val="24"/>
          <w:szCs w:val="24"/>
          <w:lang w:val="ru-RU"/>
        </w:rPr>
      </w:pPr>
      <w:bookmarkStart w:id="14" w:name="__RefHeading___Toc4318_1446605355"/>
      <w:bookmarkStart w:id="15" w:name="_Toc172202386"/>
      <w:bookmarkStart w:id="16" w:name="_Toc51339693"/>
      <w:bookmarkStart w:id="17" w:name="_Toc50125126"/>
      <w:bookmarkEnd w:id="11"/>
      <w:bookmarkEnd w:id="14"/>
      <w:bookmarkEnd w:id="17"/>
      <w:r>
        <w:rPr>
          <w:sz w:val="24"/>
          <w:szCs w:val="24"/>
        </w:rPr>
        <w:t>Требования к продукции</w:t>
      </w:r>
      <w:bookmarkEnd w:id="15"/>
      <w:bookmarkEnd w:id="16"/>
    </w:p>
    <w:p>
      <w:pPr>
        <w:pStyle w:val="ListParagraph"/>
        <w:numPr>
          <w:ilvl w:val="1"/>
          <w:numId w:val="11"/>
        </w:numPr>
        <w:rPr>
          <w:b/>
        </w:rPr>
      </w:pPr>
      <w:r>
        <w:rPr>
          <w:b/>
        </w:rPr>
        <w:t>Требования к объемам и срокам поставки</w:t>
      </w:r>
    </w:p>
    <w:p>
      <w:pPr>
        <w:pStyle w:val="ListParagraph"/>
        <w:numPr>
          <w:ilvl w:val="2"/>
          <w:numId w:val="9"/>
        </w:numPr>
        <w:rPr>
          <w:b/>
        </w:rPr>
      </w:pPr>
      <w:r>
        <w:rPr>
          <w:b/>
        </w:rPr>
        <w:t>Перечень и объем закупаемой продукции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8" w:name="__RefHeading___Toc4320_1446605355"/>
      <w:bookmarkStart w:id="19" w:name="_Toc172202387"/>
      <w:bookmarkStart w:id="20" w:name="_Toc51339695"/>
      <w:bookmarkEnd w:id="18"/>
      <w:r>
        <w:rPr>
          <w:sz w:val="24"/>
          <w:szCs w:val="24"/>
        </w:rPr>
        <w:t xml:space="preserve">Таблица 1.1 Перечень </w:t>
      </w:r>
      <w:bookmarkEnd w:id="20"/>
      <w:r>
        <w:rPr>
          <w:sz w:val="24"/>
          <w:szCs w:val="24"/>
        </w:rPr>
        <w:t>и объем закупаемой продукции</w:t>
      </w:r>
      <w:bookmarkEnd w:id="19"/>
    </w:p>
    <w:tbl>
      <w:tblPr>
        <w:tblW w:w="966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87"/>
        <w:gridCol w:w="3128"/>
        <w:gridCol w:w="1650"/>
        <w:gridCol w:w="2073"/>
        <w:gridCol w:w="1169"/>
        <w:gridCol w:w="1160"/>
      </w:tblGrid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Ремкомплект измерительного вывода высоковольтного ввода ЖИШЦ.5615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27.11.62.110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Преимущество для товаров российского производства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Ключ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27.11.62.110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Преимущество для</w:t>
            </w:r>
            <w:r>
              <w:rPr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товаров российского</w:t>
            </w:r>
            <w:r>
              <w:rPr>
                <w:caps w:val="false"/>
                <w:smallCaps w:val="false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производства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ListParagraph"/>
        <w:numPr>
          <w:ilvl w:val="2"/>
          <w:numId w:val="9"/>
        </w:numPr>
        <w:rPr>
          <w:b/>
        </w:rPr>
      </w:pPr>
      <w:bookmarkStart w:id="21" w:name="_Toc51339696"/>
      <w:r>
        <w:rPr>
          <w:b/>
        </w:rPr>
        <w:t xml:space="preserve">Требования </w:t>
      </w:r>
      <w:bookmarkEnd w:id="21"/>
      <w:r>
        <w:rPr>
          <w:b/>
        </w:rPr>
        <w:t>к срокам поставки продукции и оказания сопутствующих 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22" w:name="__RefHeading___Toc4322_1446605355"/>
      <w:bookmarkStart w:id="23" w:name="_Toc172202388"/>
      <w:bookmarkStart w:id="24" w:name="_Toc51339697"/>
      <w:bookmarkStart w:id="25" w:name="_Toc50125127"/>
      <w:bookmarkStart w:id="26" w:name="_Toc50125126_Копия_1"/>
      <w:bookmarkEnd w:id="22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  <w:lang w:val="ru-RU"/>
        </w:rPr>
        <w:t>поставки продукции</w:t>
      </w:r>
      <w:bookmarkEnd w:id="23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2666"/>
        <w:gridCol w:w="2863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изготовления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сроку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8" w:name="_Toc46743510"/>
            <w:r>
              <w:rPr>
                <w:b/>
                <w:sz w:val="24"/>
                <w:szCs w:val="24"/>
              </w:rPr>
              <w:t>4</w:t>
            </w:r>
            <w:bookmarkEnd w:id="28"/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9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 соответствии с</w:t>
            </w:r>
            <w:r>
              <w:rPr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перечнем и объемом</w:t>
            </w:r>
            <w:r>
              <w:rPr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закупаемой продукции,</w:t>
            </w:r>
            <w:r>
              <w:rPr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указанным в таблице</w:t>
            </w:r>
            <w:r>
              <w:rPr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1.1 настоящих</w:t>
            </w:r>
            <w:r>
              <w:rPr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технических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00" w:val="clear"/>
          </w:tcPr>
          <w:p>
            <w:pPr>
              <w:pStyle w:val="Style33"/>
              <w:widowControl w:val="false"/>
              <w:spacing w:before="40" w:after="40"/>
              <w:jc w:val="center"/>
              <w:rPr>
                <w:color w:val="00000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hd w:fill="auto" w:val="clear"/>
                <w:lang w:val="en-US"/>
              </w:rPr>
              <w:t>30.08.2027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ind w:firstLine="426"/>
        <w:rPr>
          <w:b/>
          <w:sz w:val="24"/>
          <w:szCs w:val="24"/>
        </w:rPr>
      </w:pPr>
      <w:bookmarkStart w:id="29" w:name="_Toc51339698"/>
      <w:bookmarkStart w:id="30" w:name="_Toc46743511"/>
      <w:r>
        <w:rPr>
          <w:b/>
          <w:sz w:val="24"/>
          <w:szCs w:val="24"/>
        </w:rPr>
        <w:t xml:space="preserve">2.2. Требования к </w:t>
      </w:r>
      <w:bookmarkEnd w:id="30"/>
      <w:r>
        <w:rPr>
          <w:b/>
          <w:sz w:val="24"/>
          <w:szCs w:val="24"/>
        </w:rPr>
        <w:t>качеству продукции</w:t>
      </w:r>
    </w:p>
    <w:p>
      <w:pPr>
        <w:pStyle w:val="Heading1"/>
        <w:numPr>
          <w:ilvl w:val="0"/>
          <w:numId w:val="0"/>
        </w:numPr>
        <w:ind w:left="0" w:hanging="0"/>
        <w:rPr>
          <w:b w:val="false"/>
          <w:bCs/>
          <w:iCs/>
          <w:sz w:val="24"/>
          <w:szCs w:val="24"/>
        </w:rPr>
      </w:pPr>
      <w:bookmarkStart w:id="31" w:name="__RefHeading___Toc4324_1446605355"/>
      <w:bookmarkEnd w:id="31"/>
      <w:r>
        <w:rPr>
          <w:sz w:val="24"/>
          <w:szCs w:val="24"/>
        </w:rPr>
        <w:t xml:space="preserve"> </w:t>
      </w:r>
      <w:bookmarkStart w:id="32" w:name="_Toc17220238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End w:id="29"/>
      <w:r>
        <w:rPr>
          <w:bCs/>
          <w:iCs/>
          <w:sz w:val="24"/>
          <w:szCs w:val="24"/>
        </w:rPr>
        <w:t xml:space="preserve">Позиция № 1 Таблицы 1.1 настоящих технических требований: </w:t>
      </w:r>
      <w:bookmarkEnd w:id="32"/>
      <w:r>
        <w:rPr>
          <w:b/>
          <w:bCs/>
          <w:iCs/>
          <w:sz w:val="24"/>
          <w:szCs w:val="24"/>
        </w:rPr>
        <w:t xml:space="preserve">Ремкомплект измерительного вывода высоковольтного ввода ЖИШЦ.5615 </w:t>
      </w:r>
    </w:p>
    <w:p>
      <w:pPr>
        <w:pStyle w:val="Normal"/>
        <w:numPr>
          <w:ilvl w:val="0"/>
          <w:numId w:val="0"/>
        </w:numPr>
        <w:ind w:left="0" w:hanging="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tbl>
      <w:tblPr>
        <w:tblW w:w="1531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99"/>
        <w:gridCol w:w="2921"/>
        <w:gridCol w:w="3795"/>
        <w:gridCol w:w="2205"/>
        <w:gridCol w:w="3585"/>
        <w:gridCol w:w="1709"/>
      </w:tblGrid>
      <w:tr>
        <w:trPr>
          <w:tblHeader w:val="true"/>
        </w:trPr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1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blHeader w:val="true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60" w:after="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102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характеристика комплекта</w:t>
            </w:r>
          </w:p>
          <w:p>
            <w:pPr>
              <w:pStyle w:val="BodyText"/>
              <w:widowControl w:val="false"/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6435" w:leader="none"/>
                <w:tab w:val="left" w:pos="7875" w:leader="none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Данная позиция является запасной частью к оборудованию, используемому Заказчиком в составе </w:t>
            </w:r>
            <w:r>
              <w:rPr>
                <w:rStyle w:val="Style14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</w:rPr>
              <w:t>высоковольтных вводов типа ГКТIII-60-550/2500 О1 (Приложение 2)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Ремкомплект измерительного вывода высоковольтного ввода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ЖИШЦ.5615 </w:t>
            </w:r>
            <w:r>
              <w:rPr>
                <w:sz w:val="24"/>
                <w:szCs w:val="24"/>
              </w:rPr>
              <w:t xml:space="preserve"> следует применять строго в соответствии с конструкторской документацией разработчика. Применение продукции других производителей невозможно, в связи с технической несовместимостью.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Способ подтверждения: указание в техническом предложении типа, марки, технических характеристик товаров, соответствующих указанным в 3 столбце настоящей таблицы.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60" w:after="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6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-//-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964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поставки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Продукция должна быть доставлена Поставщиком по адресу: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Московская область, Сергиево-Посадский г.о., пгт. Богородское, д. 100.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964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Таможенная очистка и доставка до места назначения (площадка строительства)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за счет подрядчика и включено в стоимость оборудования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964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Условия поставки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Приемка продукции производится в рабочие дни с 9-00 до 11-00 и с 13-00 до 16-00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964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Требования к упаковке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В заводской упаковке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60" w:after="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6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60" w:after="0"/>
              <w:ind w:left="1134" w:right="0" w:hanging="850"/>
              <w:contextualSpacing/>
              <w:jc w:val="center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унифицированной формы ТОРГ-12 / УПД не менее 60 месяцев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2"/>
              <w:keepNext w:val="false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center"/>
              <w:outlineLvl w:val="2"/>
              <w:rPr>
                <w:rFonts w:ascii="Times New Roman" w:hAnsi="Times New Roman" w:eastAsia="Times New Roman"/>
                <w:b w:val="false"/>
                <w:sz w:val="24"/>
                <w:szCs w:val="24"/>
                <w:lang w:val="ru-RU" w:eastAsia="ru-RU"/>
              </w:rPr>
            </w:pPr>
            <w:bookmarkStart w:id="33" w:name="__RefHeading___Toc10315_325241412"/>
            <w:bookmarkEnd w:id="33"/>
            <w:r>
              <w:rPr>
                <w:rFonts w:eastAsia="Times New Roman"/>
                <w:b w:val="false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lang w:bidi="ar-SA"/>
              </w:rPr>
              <w:t>-//-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uppressAutoHyphens w:val="true"/>
              <w:bidi w:val="0"/>
              <w:spacing w:lineRule="auto" w:line="240" w:before="0" w:after="0"/>
              <w:ind w:left="-113" w:right="0" w:firstLine="34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Документы, передаваемые вместе с 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>продукцией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Поставщик обязан одновременно с передачей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 xml:space="preserve">продукции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передать Покупателю относящиеся к нему, не ограничиваясь, следующие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эксплуатационная документация (паспорт, руководство по эксплуатации, протоколы приёмо-сдаточных испытаний).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48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Перечисленные выше документы предоставляются Заказчику вместе с поставляемой продукцией в электронном виде и на бумажном носителе на русском языке.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-//-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-117" w:righ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предоставляется преимущество для товаров российского происхождения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Необходимо указать в Спецификации  поставляемого оборудования и материалов (Приложение 1 к Техническим требованиям)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 А также документы и информацию, подтверждающие страну происхождения товара в соответствии с требованиями п.3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70" w:right="56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экономическим параметрам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lang w:bidi="ar-SA"/>
              </w:rPr>
              <w:t>-//-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1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6.1</w:t>
            </w:r>
          </w:p>
        </w:tc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Назначенный срок службы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8"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     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не менее 5 лет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hanging="0"/>
        <w:rPr>
          <w:b w:val="false"/>
          <w:bCs/>
          <w:iCs/>
          <w:sz w:val="24"/>
          <w:szCs w:val="24"/>
        </w:rPr>
      </w:pPr>
      <w:bookmarkStart w:id="34" w:name="__RefHeading___Toc4326_1446605355"/>
      <w:bookmarkStart w:id="35" w:name="_Toc172202389_Копия_1"/>
      <w:bookmarkEnd w:id="3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Позиция № 2 Таблицы 1.1 настоящих технических требований: </w:t>
      </w:r>
      <w:bookmarkEnd w:id="35"/>
      <w:r>
        <w:rPr>
          <w:b/>
          <w:bCs/>
          <w:iCs/>
          <w:sz w:val="24"/>
          <w:szCs w:val="24"/>
        </w:rPr>
        <w:t>Ключ</w:t>
      </w:r>
    </w:p>
    <w:tbl>
      <w:tblPr>
        <w:tblStyle w:val="1c"/>
        <w:tblW w:w="151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64"/>
        <w:gridCol w:w="2955"/>
        <w:gridCol w:w="3466"/>
        <w:gridCol w:w="2550"/>
        <w:gridCol w:w="3511"/>
        <w:gridCol w:w="1621"/>
      </w:tblGrid>
      <w:tr>
        <w:trPr/>
        <w:tc>
          <w:tcPr>
            <w:tcW w:w="106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9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34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6061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6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351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9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351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6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Материал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left"/>
              <w:rPr/>
            </w:pPr>
            <w:r>
              <w:rPr>
                <w:rFonts w:eastAsia="Calibri"/>
                <w:kern w:val="0"/>
                <w:sz w:val="24"/>
                <w:szCs w:val="24"/>
                <w:lang w:val="en-US" w:bidi="ar-SA"/>
              </w:rPr>
              <w:t>Углеродистая конструкционная сталь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Предел прочности, МПа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numPr>
                <w:ilvl w:val="0"/>
              </w:numPr>
              <w:suppressAutoHyphens w:val="true"/>
              <w:spacing w:before="0" w:after="0"/>
              <w:ind w:left="0" w:hanging="0"/>
              <w:contextualSpacing/>
              <w:jc w:val="left"/>
              <w:rPr/>
            </w:pPr>
            <w:r>
              <w:rPr>
                <w:rFonts w:eastAsia="Calibri"/>
                <w:kern w:val="0"/>
                <w:sz w:val="24"/>
                <w:szCs w:val="24"/>
                <w:lang w:val="en-US" w:bidi="ar-SA"/>
              </w:rPr>
              <w:t>380-490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Твёрдость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НВ131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Конструкция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Ключ представляет собой цилиндрическую форму, с приварной частью – «кольцо», в которую напрессованы 2 штифта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6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Диаметр «кольца», мм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равен диаметру корпуса измерительного вывода высоковольтного ввода типа ГКТIII-60-550/2500 О1 (Приложение 2), а именно D1=50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Фиксация ключа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накидной гайкой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Диаметр накидной гайки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 xml:space="preserve">равен диаметру корпуса измерительного вывода, а именно </w:t>
            </w:r>
            <w:r>
              <w:rPr>
                <w:bCs/>
                <w:kern w:val="0"/>
                <w:sz w:val="24"/>
                <w:szCs w:val="24"/>
                <w:lang w:val="en-US" w:bidi="ar-SA"/>
              </w:rPr>
              <w:t>D1=50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en-US" w:bidi="ar-SA"/>
              </w:rPr>
              <w:t>Особенности конструкцуии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на рабочей части (штифтах) не должно быть заусенцев, острых кромок или неровностей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Место поставки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Продукция должна быть доставлена Поставщиком по адресу:</w:t>
            </w: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Московская область, Сергиево-Посадский г.о., пгт. Богородское, д. 100 (склад Покупателя).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Поставляемая продукция должна пройти все, предусмотренные законодательством Российской Федерации (и применимым законодательством других государств), процедуры таможенной очистки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Условия поставки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Приемка продукции производится в рабочие дни с 9-00 до 11-00 и с 13-00 до 16-00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en-US" w:bidi="ar-SA"/>
              </w:rPr>
              <w:t>Требования к упаковке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kern w:val="0"/>
                <w:sz w:val="24"/>
                <w:szCs w:val="24"/>
                <w:lang w:val="en-US" w:bidi="ar-SA"/>
              </w:rPr>
              <w:t>В заводской упаковке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Срок гарантии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С даты подписания унифицированной формы ТОРГ-12 / УПД  60 месяцев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Требования к качеству продукции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4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Документы, передаваемые вместе с 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>продукцией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Поставщик обязан одновременно с передачей </w:t>
            </w:r>
            <w:r>
              <w:rPr>
                <w:iCs/>
                <w:kern w:val="0"/>
                <w:sz w:val="24"/>
                <w:szCs w:val="24"/>
                <w:lang w:val="ru-RU" w:eastAsia="x-none" w:bidi="ar-SA"/>
              </w:rPr>
              <w:t xml:space="preserve">продукции 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>передать Покупателю относящиеся к нему, не ограничиваясь, следующие документы: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before="0" w:after="0"/>
              <w:ind w:left="48" w:hanging="48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эксплуатационная документация (паспорт, руководство по эксплуатации, протоколы приёмо-сдаточных испытаний).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48" w:hanging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bidi="ar-SA"/>
              </w:rPr>
              <w:t>Перечисленные выше документы предоставляются Заказчику вместе с поставляемой продукцией в электронном виде и на бумажном носителе на русском языке.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17" w:leader="none"/>
              </w:tabs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117" w:right="0" w:firstLine="142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29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1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-//-</w:t>
            </w:r>
          </w:p>
        </w:tc>
        <w:tc>
          <w:tcPr>
            <w:tcW w:w="16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-//-</w:t>
            </w:r>
          </w:p>
        </w:tc>
      </w:tr>
      <w:tr>
        <w:trPr/>
        <w:tc>
          <w:tcPr>
            <w:tcW w:w="106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-117" w:right="0" w:hanging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29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46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 w:val="false"/>
                <w:bCs w:val="false"/>
                <w:kern w:val="0"/>
                <w:sz w:val="24"/>
                <w:szCs w:val="24"/>
                <w:lang w:val="ru-RU" w:bidi="ar-SA"/>
              </w:rPr>
              <w:t>Постановлением Правительства Российской Федерации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предоставляется преимущество для товаров российского происхождения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Необходимо указать в Спецификации  поставляемого оборудования и материалов (Приложение 1 к Техническим требованиям)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529-ст.).  А также документы и информацию, подтверждающие страну происхождения товара в соответствии с требованиями п.3 Постановления Правительства Российской Федерации от 23 декабря 2024 г. 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    </w:r>
          </w:p>
        </w:tc>
        <w:tc>
          <w:tcPr>
            <w:tcW w:w="162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170" w:right="567" w:hanging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642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экономическим параметрам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6.1</w:t>
            </w:r>
          </w:p>
        </w:tc>
        <w:tc>
          <w:tcPr>
            <w:tcW w:w="29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>Назначенный срок службы</w:t>
            </w:r>
          </w:p>
        </w:tc>
        <w:tc>
          <w:tcPr>
            <w:tcW w:w="34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8" w:firstLine="426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Не менее </w:t>
            </w:r>
            <w:r>
              <w:rPr>
                <w:iCs/>
                <w:kern w:val="0"/>
                <w:sz w:val="24"/>
                <w:szCs w:val="24"/>
                <w:lang w:val="en-US" w:bidi="ar-SA"/>
              </w:rPr>
              <w:t>5</w:t>
            </w:r>
            <w:r>
              <w:rPr>
                <w:iCs/>
                <w:kern w:val="0"/>
                <w:sz w:val="24"/>
                <w:szCs w:val="24"/>
                <w:lang w:val="ru-RU" w:bidi="ar-SA"/>
              </w:rPr>
              <w:t xml:space="preserve"> лет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3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6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120" w:after="40"/>
        <w:ind w:right="397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* Указанные в настоящем ТТ ссылки на ТУ, марку (тип) продукции носят описательный, а не обязательный характер. </w:t>
      </w:r>
    </w:p>
    <w:p>
      <w:pPr>
        <w:pStyle w:val="Normal"/>
        <w:spacing w:before="40" w:after="40"/>
        <w:ind w:right="-30" w:hanging="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 случае, если Участником предлагается эквивалентная продукция</w:t>
      </w:r>
      <w:r>
        <w:rPr>
          <w:i/>
          <w:iCs/>
          <w:sz w:val="24"/>
          <w:szCs w:val="24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</w:t>
      </w:r>
    </w:p>
    <w:p>
      <w:pPr>
        <w:pStyle w:val="Normal"/>
        <w:spacing w:before="40" w:after="40"/>
        <w:ind w:right="-30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Heading1"/>
        <w:numPr>
          <w:ilvl w:val="0"/>
          <w:numId w:val="22"/>
        </w:numPr>
        <w:rPr>
          <w:sz w:val="24"/>
          <w:szCs w:val="24"/>
        </w:rPr>
      </w:pPr>
      <w:bookmarkStart w:id="36" w:name="__RefHeading___Toc4332_1446605355"/>
      <w:bookmarkStart w:id="37" w:name="_Toc172202398"/>
      <w:bookmarkEnd w:id="36"/>
      <w:r>
        <w:rPr>
          <w:sz w:val="24"/>
          <w:szCs w:val="24"/>
        </w:rPr>
        <w:t>Требования к документации по ценообразованию на этапе закупки</w:t>
      </w:r>
      <w:bookmarkEnd w:id="37"/>
    </w:p>
    <w:p>
      <w:pPr>
        <w:pStyle w:val="ListParagraph"/>
        <w:numPr>
          <w:ilvl w:val="1"/>
          <w:numId w:val="10"/>
        </w:numPr>
        <w:rPr/>
      </w:pPr>
      <w:r>
        <w:rPr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ListParagraph"/>
        <w:numPr>
          <w:ilvl w:val="1"/>
          <w:numId w:val="10"/>
        </w:numPr>
        <w:rPr/>
      </w:pPr>
      <w:bookmarkStart w:id="38" w:name="_Hlk88327292"/>
      <w:r>
        <w:rPr>
          <w:bCs/>
          <w:iCs/>
        </w:rPr>
        <w:t>Вместе с Коммерческим предложением Участник должен предоставить в составе заявки</w:t>
      </w:r>
      <w:r>
        <w:rPr>
          <w:iCs/>
        </w:rPr>
        <w:t xml:space="preserve"> спецификацию поставляемой </w:t>
      </w:r>
      <w:r>
        <w:rPr>
          <w:iCs/>
          <w:kern w:val="0"/>
          <w:lang w:val="ru-RU" w:bidi="ar-SA"/>
        </w:rPr>
        <w:t xml:space="preserve">продукции </w:t>
      </w:r>
      <w:r>
        <w:rPr>
          <w:iCs/>
        </w:rPr>
        <w:t xml:space="preserve"> по форме, приведенной в Приложении № 1 к настоящим Техническим требованиям (в случае закупки  </w:t>
      </w:r>
      <w:r>
        <w:rPr>
          <w:iCs/>
          <w:kern w:val="0"/>
          <w:lang w:val="ru-RU" w:bidi="ar-SA"/>
        </w:rPr>
        <w:t xml:space="preserve">продукции </w:t>
      </w:r>
      <w:r>
        <w:rPr>
          <w:iCs/>
        </w:rPr>
        <w:t xml:space="preserve"> (материалов) комплектом в спецификации необходимо разбить его на позиции с указанием полного наименования (тип, марка, ар</w:t>
      </w:r>
      <w:bookmarkEnd w:id="38"/>
      <w:r>
        <w:rPr>
          <w:iCs/>
        </w:rPr>
        <w:t>тикул) каждой составляющей и стоимости за един</w:t>
      </w:r>
      <w:bookmarkStart w:id="39" w:name="_Toc75446583"/>
      <w:bookmarkEnd w:id="39"/>
      <w:r>
        <w:rPr>
          <w:iCs/>
        </w:rPr>
        <w:t>ицу).</w:t>
      </w:r>
      <w:r>
        <w:rPr>
          <w:lang w:val="ru-RU"/>
        </w:rPr>
        <w:t>Приложения</w:t>
      </w:r>
    </w:p>
    <w:p>
      <w:pPr>
        <w:pStyle w:val="Heading1"/>
        <w:numPr>
          <w:ilvl w:val="0"/>
          <w:numId w:val="23"/>
        </w:numPr>
        <w:rPr>
          <w:sz w:val="24"/>
          <w:szCs w:val="24"/>
        </w:rPr>
      </w:pPr>
      <w:bookmarkStart w:id="40" w:name="__RefHeading___Toc4334_1446605355"/>
      <w:bookmarkStart w:id="41" w:name="_Toc172202399"/>
      <w:bookmarkStart w:id="42" w:name="_Toc46743519"/>
      <w:bookmarkStart w:id="43" w:name="_Toc51339699"/>
      <w:bookmarkEnd w:id="40"/>
      <w:bookmarkEnd w:id="42"/>
      <w:bookmarkEnd w:id="43"/>
      <w:r>
        <w:rPr>
          <w:sz w:val="24"/>
          <w:szCs w:val="24"/>
        </w:rPr>
        <w:t>Приложения</w:t>
      </w:r>
      <w:bookmarkEnd w:id="41"/>
    </w:p>
    <w:p>
      <w:pPr>
        <w:pStyle w:val="Normal"/>
        <w:ind w:left="1985" w:hanging="1985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Приложение № 1: </w:t>
      </w:r>
      <w:r>
        <w:rPr>
          <w:color w:val="000000"/>
          <w:sz w:val="24"/>
          <w:szCs w:val="24"/>
          <w:lang w:eastAsia="x-none"/>
        </w:rPr>
        <w:t>Требования к оформлению и составлению документации по ценообразованию.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rFonts w:eastAsia="Calibri"/>
          <w:lang w:eastAsia="x-none"/>
        </w:rPr>
      </w:pPr>
      <w:r>
        <w:rPr>
          <w:rFonts w:eastAsia="Calibri"/>
          <w:color w:val="000000"/>
          <w:sz w:val="24"/>
          <w:szCs w:val="24"/>
          <w:lang w:eastAsia="x-none"/>
        </w:rPr>
        <w:t>Приложение № 2: Габаритный чертеж</w:t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bookmarkStart w:id="44" w:name="_Toc51339699_Копия_1"/>
      <w:bookmarkStart w:id="45" w:name="_Hlk48224758"/>
      <w:bookmarkStart w:id="46" w:name="_Ref40301253"/>
      <w:bookmarkStart w:id="47" w:name="_Toc46743519_Копия_1"/>
      <w:bookmarkEnd w:id="44"/>
      <w:bookmarkEnd w:id="45"/>
      <w:bookmarkEnd w:id="46"/>
      <w:bookmarkEnd w:id="47"/>
      <w:r>
        <w:rPr>
          <w:rFonts w:eastAsia="Calibri"/>
          <w:sz w:val="24"/>
          <w:szCs w:val="24"/>
        </w:rPr>
        <w:t>Приложение №</w:t>
      </w:r>
      <w:r>
        <w:rPr>
          <w:rFonts w:eastAsia="Calibri"/>
          <w:sz w:val="24"/>
          <w:szCs w:val="24"/>
          <w:lang w:val="en-US"/>
        </w:rPr>
        <w:t>1</w:t>
      </w:r>
      <w:r>
        <w:rPr>
          <w:rFonts w:eastAsia="Calibri"/>
          <w:sz w:val="24"/>
          <w:szCs w:val="24"/>
        </w:rPr>
        <w:t xml:space="preserve"> к Техническим требованиям</w:t>
      </w:r>
    </w:p>
    <w:p>
      <w:pPr>
        <w:pStyle w:val="Normal"/>
        <w:spacing w:before="24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</w:r>
    </w:p>
    <w:p>
      <w:pPr>
        <w:pStyle w:val="Normal"/>
        <w:spacing w:before="240" w:after="120"/>
        <w:jc w:val="center"/>
        <w:rPr>
          <w:b/>
          <w:bCs/>
          <w:i/>
          <w:i/>
          <w:caps/>
          <w:sz w:val="24"/>
          <w:szCs w:val="24"/>
          <w:shd w:fill="FFFF99" w:val="clear"/>
        </w:rPr>
      </w:pPr>
      <w:r>
        <w:rPr>
          <w:b/>
          <w:bCs/>
          <w:caps/>
          <w:sz w:val="24"/>
          <w:szCs w:val="24"/>
        </w:rPr>
        <w:t xml:space="preserve">Требования </w:t>
        <w:br/>
        <w:t>к оформлению и составлению документации по ценообразованию</w:t>
      </w:r>
    </w:p>
    <w:p>
      <w:pPr>
        <w:pStyle w:val="Normal"/>
        <w:keepNext w:val="true"/>
        <w:keepLines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  <w:bookmarkStart w:id="48" w:name="_Ref40301253_Копия_1"/>
      <w:bookmarkStart w:id="49" w:name="_Hlk48224758_Копия_1"/>
      <w:bookmarkStart w:id="50" w:name="_Ref40301253_Копия_1"/>
      <w:bookmarkStart w:id="51" w:name="_Hlk48224758_Копия_1"/>
      <w:bookmarkEnd w:id="50"/>
      <w:bookmarkEnd w:id="51"/>
    </w:p>
    <w:tbl>
      <w:tblPr>
        <w:tblpPr w:bottomFromText="0" w:horzAnchor="margin" w:leftFromText="180" w:rightFromText="180" w:tblpX="0" w:tblpY="362" w:topFromText="0" w:vertAnchor="text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97"/>
        <w:gridCol w:w="959"/>
        <w:gridCol w:w="974"/>
        <w:gridCol w:w="977"/>
        <w:gridCol w:w="1230"/>
        <w:gridCol w:w="1165"/>
        <w:gridCol w:w="986"/>
        <w:gridCol w:w="950"/>
        <w:gridCol w:w="1208"/>
        <w:gridCol w:w="1008"/>
        <w:gridCol w:w="1025"/>
        <w:gridCol w:w="880"/>
        <w:gridCol w:w="818"/>
        <w:gridCol w:w="924"/>
        <w:gridCol w:w="1011"/>
      </w:tblGrid>
      <w:tr>
        <w:trPr>
          <w:trHeight w:val="526" w:hRule="atLeast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поз.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FootnoteReference"/>
                <w:sz w:val="24"/>
                <w:szCs w:val="24"/>
              </w:rPr>
              <w:footnoteReference w:id="2"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FootnoteReference"/>
                <w:sz w:val="24"/>
                <w:szCs w:val="24"/>
              </w:rPr>
              <w:footnoteReference w:id="3"/>
            </w:r>
          </w:p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(___%) руб.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5" w:right="-85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Спецификация поставляемой </w:t>
      </w:r>
      <w:r>
        <w:rPr>
          <w:rFonts w:eastAsia="Calibri"/>
          <w:b/>
          <w:iCs/>
          <w:kern w:val="0"/>
          <w:sz w:val="24"/>
          <w:szCs w:val="24"/>
          <w:lang w:val="ru-RU" w:bidi="ar-SA"/>
        </w:rPr>
        <w:t>продукции</w:t>
      </w:r>
      <w:r>
        <w:rPr>
          <w:rFonts w:eastAsia="Calibri"/>
          <w:b/>
          <w:sz w:val="24"/>
          <w:szCs w:val="24"/>
        </w:rPr>
        <w:t xml:space="preserve"> и материалов</w:t>
      </w:r>
    </w:p>
    <w:p>
      <w:pPr>
        <w:pStyle w:val="Normal"/>
        <w:widowControl/>
        <w:suppressAutoHyphens w:val="true"/>
        <w:bidi w:val="0"/>
        <w:spacing w:lineRule="auto" w:line="240" w:before="0"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>: в случае закупки продукции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В случае включения в спецификацию стоимости за единицу продукции, МТР с учетом доставки, указать данное условие</w:t>
      </w:r>
    </w:p>
    <w:sectPr>
      <w:headerReference w:type="default" r:id="rId9"/>
      <w:headerReference w:type="first" r:id="rId10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1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1"/>
        </w:rPr>
        <w:footnoteRef/>
      </w:r>
      <w:r>
        <w:rPr/>
        <w:t xml:space="preserve"> </w:t>
      </w:r>
      <w:r>
        <w:rPr/>
        <w:t>Порядковый номер (номера) реестровой записи (реестровых записей), под которой (которыми) Товар включен в реестры, предусмотренные пунктом 23 Постановления Правительства РФ от 23.12.2024 № 1875</w:t>
      </w:r>
      <w:r>
        <w:rPr>
          <w:rFonts w:eastAsia="Calibri"/>
          <w:lang w:eastAsia="en-US"/>
        </w:rPr>
        <w:t xml:space="preserve">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5250576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989040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5520993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Header"/>
          <w:jc w:val="center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8346343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2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3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2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6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7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8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15"/>
    <w:lvlOverride w:ilvl="0">
      <w:startOverride w:val="1"/>
    </w:lvlOverride>
  </w:num>
  <w:num w:numId="21">
    <w:abstractNumId w:val="15"/>
  </w:num>
  <w:num w:numId="22">
    <w:abstractNumId w:val="15"/>
  </w:num>
  <w:num w:numId="23">
    <w:abstractNumId w:val="15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01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150122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150122"/>
    <w:pPr>
      <w:numPr>
        <w:ilvl w:val="1"/>
        <w:numId w:val="8"/>
      </w:num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150122"/>
    <w:pPr>
      <w:keepNext w:val="true"/>
      <w:numPr>
        <w:ilvl w:val="2"/>
        <w:numId w:val="8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150122"/>
    <w:pPr>
      <w:numPr>
        <w:ilvl w:val="0"/>
        <w:numId w:val="0"/>
      </w:numPr>
      <w:ind w:left="1080" w:hanging="36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15012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150122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150122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150122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150122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150122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150122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150122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150122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150122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150122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150122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150122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150122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Текст сноски Знак"/>
    <w:basedOn w:val="DefaultParagraphFont"/>
    <w:uiPriority w:val="99"/>
    <w:qFormat/>
    <w:rsid w:val="0015012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>
    <w:name w:val="Символ сноски"/>
    <w:qFormat/>
    <w:rsid w:val="00150122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" w:customStyle="1">
    <w:name w:val="Верхний колонтитул Знак"/>
    <w:basedOn w:val="DefaultParagraphFont"/>
    <w:uiPriority w:val="99"/>
    <w:qFormat/>
    <w:rsid w:val="0015012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" w:customStyle="1">
    <w:name w:val="Основной текст с отступом Знак"/>
    <w:basedOn w:val="DefaultParagraphFont"/>
    <w:qFormat/>
    <w:rsid w:val="0015012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Нижний колонтитул Знак"/>
    <w:basedOn w:val="DefaultParagraphFont"/>
    <w:qFormat/>
    <w:rsid w:val="0015012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5" w:customStyle="1">
    <w:name w:val="Основной текст Знак"/>
    <w:basedOn w:val="DefaultParagraphFont"/>
    <w:qFormat/>
    <w:rsid w:val="0015012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15012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15012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15012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150122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150122"/>
    <w:rPr/>
  </w:style>
  <w:style w:type="character" w:styleId="Hyperlink">
    <w:name w:val="Hyperlink"/>
    <w:uiPriority w:val="99"/>
    <w:rsid w:val="00150122"/>
    <w:rPr>
      <w:color w:val="0000FF"/>
      <w:u w:val="single"/>
    </w:rPr>
  </w:style>
  <w:style w:type="character" w:styleId="Style6" w:customStyle="1">
    <w:name w:val="Текст выноски Знак"/>
    <w:basedOn w:val="DefaultParagraphFont"/>
    <w:link w:val="BalloonText"/>
    <w:semiHidden/>
    <w:qFormat/>
    <w:rsid w:val="00150122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uiPriority w:val="99"/>
    <w:semiHidden/>
    <w:qFormat/>
    <w:rsid w:val="00150122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semiHidden/>
    <w:qFormat/>
    <w:rsid w:val="0015012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semiHidden/>
    <w:qFormat/>
    <w:rsid w:val="00150122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qFormat/>
    <w:rsid w:val="00150122"/>
    <w:rPr>
      <w:b/>
      <w:bCs/>
    </w:rPr>
  </w:style>
  <w:style w:type="character" w:styleId="Style9" w:customStyle="1">
    <w:name w:val="Название Знак"/>
    <w:link w:val="15"/>
    <w:uiPriority w:val="10"/>
    <w:qFormat/>
    <w:rsid w:val="00150122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0" w:customStyle="1">
    <w:name w:val="Подзаголовок Знак"/>
    <w:basedOn w:val="DefaultParagraphFont"/>
    <w:uiPriority w:val="11"/>
    <w:qFormat/>
    <w:rsid w:val="00150122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150122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150122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sid w:val="00150122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150122"/>
    <w:rPr>
      <w:i/>
      <w:iCs/>
      <w:color w:val="808080"/>
    </w:rPr>
  </w:style>
  <w:style w:type="character" w:styleId="IntenseEmphasis">
    <w:name w:val="Intense Emphasis"/>
    <w:uiPriority w:val="21"/>
    <w:qFormat/>
    <w:rsid w:val="00150122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50122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50122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50122"/>
    <w:rPr>
      <w:b/>
      <w:bCs/>
      <w:smallCaps/>
      <w:spacing w:val="5"/>
    </w:rPr>
  </w:style>
  <w:style w:type="character" w:styleId="Style12" w:customStyle="1">
    <w:name w:val="Электронная подпись Знак"/>
    <w:basedOn w:val="DefaultParagraphFont"/>
    <w:link w:val="E-mailSignature"/>
    <w:uiPriority w:val="99"/>
    <w:qFormat/>
    <w:rsid w:val="00150122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locked/>
    <w:rsid w:val="00150122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150122"/>
    <w:rPr/>
  </w:style>
  <w:style w:type="character" w:styleId="Style13" w:customStyle="1">
    <w:name w:val="Абзац списка Знак"/>
    <w:link w:val="ListParagraph"/>
    <w:uiPriority w:val="34"/>
    <w:qFormat/>
    <w:locked/>
    <w:rsid w:val="00150122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4" w:customStyle="1">
    <w:name w:val="комментарий"/>
    <w:qFormat/>
    <w:rsid w:val="00150122"/>
    <w:rPr>
      <w:b/>
      <w:i/>
      <w:shd w:fill="FFFF99" w:val="clear"/>
    </w:rPr>
  </w:style>
  <w:style w:type="character" w:styleId="Style15" w:customStyle="1">
    <w:name w:val="Подподпункт Знак"/>
    <w:link w:val="Style34"/>
    <w:qFormat/>
    <w:locked/>
    <w:rsid w:val="00150122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150122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15012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qFormat/>
    <w:rsid w:val="00150122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4" w:customStyle="1">
    <w:name w:val="Пункт2 Знак"/>
    <w:link w:val="26"/>
    <w:qFormat/>
    <w:rsid w:val="00150122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sid w:val="00150122"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150122"/>
    <w:rPr>
      <w:color w:val="605E5C"/>
      <w:shd w:fill="E1DFDD" w:val="clear"/>
    </w:rPr>
  </w:style>
  <w:style w:type="character" w:styleId="A11yhidden" w:customStyle="1">
    <w:name w:val="a11yhidden"/>
    <w:basedOn w:val="DefaultParagraphFont"/>
    <w:qFormat/>
    <w:rsid w:val="00150122"/>
    <w:rPr/>
  </w:style>
  <w:style w:type="character" w:styleId="Organictitlecontentspan" w:customStyle="1">
    <w:name w:val="organictitlecontentspan"/>
    <w:basedOn w:val="DefaultParagraphFont"/>
    <w:qFormat/>
    <w:rsid w:val="00150122"/>
    <w:rPr/>
  </w:style>
  <w:style w:type="character" w:styleId="Style18">
    <w:name w:val="Ссылка указателя"/>
    <w:qFormat/>
    <w:rPr/>
  </w:style>
  <w:style w:type="character" w:styleId="LineNumber">
    <w:name w:val="Line Number"/>
    <w:rPr/>
  </w:style>
  <w:style w:type="character" w:styleId="Style19">
    <w:name w:val="Символ нумерации"/>
    <w:qFormat/>
    <w:rPr/>
  </w:style>
  <w:style w:type="character" w:styleId="Strong2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150122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Style22" w:customStyle="1">
    <w:name w:val="Название раздела инструкции"/>
    <w:basedOn w:val="Normal"/>
    <w:autoRedefine/>
    <w:qFormat/>
    <w:rsid w:val="00150122"/>
    <w:pPr>
      <w:jc w:val="center"/>
    </w:pPr>
    <w:rPr>
      <w:b/>
    </w:rPr>
  </w:style>
  <w:style w:type="paragraph" w:styleId="Style23" w:customStyle="1">
    <w:name w:val="Раздел положения"/>
    <w:basedOn w:val="Normal"/>
    <w:autoRedefine/>
    <w:qFormat/>
    <w:rsid w:val="00150122"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24" w:customStyle="1">
    <w:name w:val="Подраздел раздела положения"/>
    <w:basedOn w:val="Normal"/>
    <w:autoRedefine/>
    <w:qFormat/>
    <w:rsid w:val="00150122"/>
    <w:pPr>
      <w:numPr>
        <w:ilvl w:val="1"/>
        <w:numId w:val="2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"/>
    <w:uiPriority w:val="99"/>
    <w:rsid w:val="00150122"/>
    <w:pPr/>
    <w:rPr>
      <w:sz w:val="20"/>
      <w:szCs w:val="20"/>
    </w:rPr>
  </w:style>
  <w:style w:type="paragraph" w:styleId="14" w:customStyle="1">
    <w:name w:val="Шапка 1"/>
    <w:basedOn w:val="Normal"/>
    <w:qFormat/>
    <w:rsid w:val="00150122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150122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150122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9"/>
    <w:uiPriority w:val="10"/>
    <w:qFormat/>
    <w:rsid w:val="00150122"/>
    <w:pPr>
      <w:jc w:val="center"/>
    </w:pPr>
    <w:rPr>
      <w:szCs w:val="20"/>
      <w:lang w:val="x-none" w:eastAsia="x-none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uiPriority w:val="99"/>
    <w:rsid w:val="00150122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3"/>
    <w:rsid w:val="00150122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4"/>
    <w:rsid w:val="0015012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"/>
    <w:qFormat/>
    <w:rsid w:val="00150122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1"/>
    <w:qFormat/>
    <w:rsid w:val="00150122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150122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2"/>
    <w:qFormat/>
    <w:rsid w:val="00150122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150122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6" w:customStyle="1">
    <w:name w:val="Подпункт"/>
    <w:basedOn w:val="Normal"/>
    <w:link w:val="11"/>
    <w:qFormat/>
    <w:rsid w:val="00150122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150122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0122"/>
    <w:pPr>
      <w:tabs>
        <w:tab w:val="clear" w:pos="708"/>
        <w:tab w:val="left" w:pos="567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150122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7" w:customStyle="1">
    <w:name w:val="Раздел регламента"/>
    <w:basedOn w:val="Normal"/>
    <w:qFormat/>
    <w:rsid w:val="00150122"/>
    <w:pPr/>
    <w:rPr/>
  </w:style>
  <w:style w:type="paragraph" w:styleId="Style28" w:customStyle="1">
    <w:name w:val="Приложение к регламенту"/>
    <w:basedOn w:val="Normal"/>
    <w:qFormat/>
    <w:rsid w:val="00150122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150122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6"/>
    <w:semiHidden/>
    <w:qFormat/>
    <w:rsid w:val="00150122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7"/>
    <w:semiHidden/>
    <w:qFormat/>
    <w:rsid w:val="0015012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semiHidden/>
    <w:qFormat/>
    <w:rsid w:val="00150122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150122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150122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150122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150122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150122"/>
    <w:pPr>
      <w:pageBreakBefore/>
      <w:jc w:val="both"/>
      <w:outlineLvl w:val="0"/>
    </w:pPr>
    <w:rPr>
      <w:b/>
    </w:rPr>
  </w:style>
  <w:style w:type="paragraph" w:styleId="Style29" w:customStyle="1">
    <w:name w:val="Знак Знак Знак Знак Знак Знак Знак Знак Знак"/>
    <w:basedOn w:val="Normal"/>
    <w:qFormat/>
    <w:rsid w:val="00150122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150122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150122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10"/>
    <w:uiPriority w:val="11"/>
    <w:qFormat/>
    <w:rsid w:val="00150122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3"/>
    <w:uiPriority w:val="34"/>
    <w:qFormat/>
    <w:rsid w:val="00150122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3"/>
    <w:uiPriority w:val="29"/>
    <w:qFormat/>
    <w:rsid w:val="00150122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1"/>
    <w:uiPriority w:val="30"/>
    <w:qFormat/>
    <w:rsid w:val="00150122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150122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2"/>
    <w:uiPriority w:val="99"/>
    <w:unhideWhenUsed/>
    <w:qFormat/>
    <w:rsid w:val="00150122"/>
    <w:pPr/>
    <w:rPr>
      <w:rFonts w:eastAsia="Calibri"/>
      <w:sz w:val="24"/>
      <w:szCs w:val="24"/>
      <w:lang w:val="x-none" w:eastAsia="x-none"/>
    </w:rPr>
  </w:style>
  <w:style w:type="paragraph" w:styleId="Style30" w:customStyle="1">
    <w:name w:val="Знак"/>
    <w:basedOn w:val="Normal"/>
    <w:qFormat/>
    <w:rsid w:val="00150122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150122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150122"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150122"/>
    <w:pPr>
      <w:numPr>
        <w:ilvl w:val="1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15012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15012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150122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1" w:customStyle="1">
    <w:name w:val="Пункт"/>
    <w:basedOn w:val="Normal"/>
    <w:qFormat/>
    <w:rsid w:val="00150122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150122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2" w:customStyle="1">
    <w:name w:val="Таблица"/>
    <w:basedOn w:val="Normal"/>
    <w:qFormat/>
    <w:rsid w:val="00150122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3" w:customStyle="1">
    <w:name w:val="Таблица шапка"/>
    <w:basedOn w:val="Normal"/>
    <w:qFormat/>
    <w:rsid w:val="00150122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4" w:customStyle="1">
    <w:name w:val="Подподпункт"/>
    <w:basedOn w:val="Style26"/>
    <w:link w:val="Style15"/>
    <w:qFormat/>
    <w:rsid w:val="00150122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rsid w:val="00150122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150122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150122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150122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rsid w:val="00150122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15012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150122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150122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7" w:customStyle="1">
    <w:name w:val="Таблица текст"/>
    <w:basedOn w:val="Normal"/>
    <w:qFormat/>
    <w:rsid w:val="00150122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150122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150122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150122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150122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150122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Headertext" w:customStyle="1">
    <w:name w:val="headertext"/>
    <w:basedOn w:val="Normal"/>
    <w:qFormat/>
    <w:rsid w:val="00150122"/>
    <w:pPr>
      <w:spacing w:beforeAutospacing="1" w:afterAutospacing="1"/>
    </w:pPr>
    <w:rPr>
      <w:sz w:val="24"/>
      <w:szCs w:val="24"/>
    </w:rPr>
  </w:style>
  <w:style w:type="paragraph" w:styleId="110" w:customStyle="1">
    <w:name w:val="Верхний колонтитул1"/>
    <w:basedOn w:val="Normal"/>
    <w:qFormat/>
    <w:rsid w:val="00150122"/>
    <w:pPr>
      <w:spacing w:beforeAutospacing="1" w:afterAutospacing="1"/>
    </w:pPr>
    <w:rPr>
      <w:sz w:val="24"/>
      <w:szCs w:val="24"/>
    </w:rPr>
  </w:style>
  <w:style w:type="paragraph" w:styleId="Style38">
    <w:name w:val="Содержимое врезки"/>
    <w:basedOn w:val="Normal"/>
    <w:qFormat/>
    <w:pPr/>
    <w:rPr/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150122"/>
  </w:style>
  <w:style w:type="numbering" w:styleId="211" w:customStyle="1">
    <w:name w:val="Стиль2"/>
    <w:uiPriority w:val="99"/>
    <w:qFormat/>
    <w:rsid w:val="00150122"/>
  </w:style>
  <w:style w:type="numbering" w:styleId="123">
    <w:name w:val="Нумерованный 123"/>
    <w:qFormat/>
  </w:style>
  <w:style w:type="numbering" w:styleId="Style41">
    <w:name w:val="Маркер •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uiPriority w:val="39"/>
    <w:rsid w:val="00150122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150122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6549</TotalTime>
  <Application>AlterOffice/3.4.0.9$Linux_X86_64 LibreOffice_project/b8daf9e823b1a5463a2f48435ddc2e8696e7d4fc</Application>
  <AppVersion>15.0000</AppVersion>
  <Pages>16</Pages>
  <Words>1783</Words>
  <Characters>12211</Characters>
  <CharactersWithSpaces>13705</CharactersWithSpaces>
  <Paragraphs>334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2024-01-31T13:42:00Z</dcterms:created>
  <dc:creator>Веприцкий Александр Сергеевич</dc:creator>
  <dc:description/>
  <dc:language>ru-RU</dc:language>
  <cp:lastModifiedBy>pugandv@corp.gidroogk.com</cp:lastModifiedBy>
  <dcterms:modified xsi:type="dcterms:W3CDTF">2026-08-11T14:28:16Z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