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header8.xml" ContentType="application/vnd.openxmlformats-officedocument.wordprocessingml.header+xml"/>
  <Override PartName="/word/header7.xml" ContentType="application/vnd.openxmlformats-officedocument.wordprocessingml.header+xml"/>
  <Override PartName="/word/header5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header6.xml" ContentType="application/vnd.openxmlformats-officedocument.wordprocessingml.header+xml"/>
  <Override PartName="/word/header9.xml" ContentType="application/vnd.openxmlformats-officedocument.wordprocessingml.header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widowControl/>
        <w:suppressAutoHyphens w:val="true"/>
        <w:bidi w:val="0"/>
        <w:spacing w:lineRule="auto" w:line="240" w:before="0" w:after="0"/>
        <w:jc w:val="lef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Технические требования 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ОКПД2  27.33.13.163 Поставка кабельно-</w:t>
      </w:r>
    </w:p>
    <w:p>
      <w:pPr>
        <w:pStyle w:val="Normal"/>
        <w:jc w:val="center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ab/>
        <w:t xml:space="preserve">проводниковой продукции </w:t>
      </w:r>
    </w:p>
    <w:p>
      <w:pPr>
        <w:pStyle w:val="Normal"/>
        <w:jc w:val="center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для пополнения аварийного запаса </w:t>
      </w:r>
    </w:p>
    <w:p>
      <w:pPr>
        <w:pStyle w:val="Normal"/>
        <w:keepNext w:val="true"/>
        <w:keepLines/>
        <w:jc w:val="center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для нужд филиала ПАО «РусГидро» - «Загорская ГАЭС»</w:t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Лот № </w:t>
      </w:r>
      <w:r>
        <w:rPr>
          <w:rFonts w:eastAsia="Calibri"/>
          <w:b/>
          <w:i/>
          <w:sz w:val="26"/>
          <w:szCs w:val="26"/>
        </w:rPr>
        <w:t>________________</w:t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567"/>
              <w:tab w:val="clear" w:pos="9911"/>
              <w:tab w:val="right" w:pos="9921" w:leader="dot"/>
            </w:tabs>
            <w:rPr/>
          </w:pPr>
          <w:r>
            <w:fldChar w:fldCharType="begin"/>
          </w:r>
          <w:r>
            <w:rPr>
              <w:webHidden/>
              <w:rStyle w:val="Style18"/>
              <w:vanish w:val="false"/>
            </w:rPr>
            <w:instrText xml:space="preserve"> TOC \z \o "1-4" \u \h</w:instrText>
          </w:r>
          <w:r>
            <w:rPr>
              <w:webHidden/>
              <w:rStyle w:val="Style18"/>
              <w:vanish w:val="false"/>
            </w:rPr>
            <w:fldChar w:fldCharType="separate"/>
          </w:r>
          <w:hyperlink w:anchor="__RefHeading___Toc4316_1446605355">
            <w:r>
              <w:rPr>
                <w:webHidden/>
                <w:rStyle w:val="Style18"/>
                <w:vanish w:val="false"/>
              </w:rPr>
              <w:t>1 Общие сведения</w:t>
              <w:tab/>
              <w:t>3</w:t>
            </w:r>
          </w:hyperlink>
        </w:p>
        <w:p>
          <w:pPr>
            <w:pStyle w:val="TOC1"/>
            <w:tabs>
              <w:tab w:val="clear" w:pos="567"/>
              <w:tab w:val="clear" w:pos="9911"/>
              <w:tab w:val="right" w:pos="9921" w:leader="dot"/>
            </w:tabs>
            <w:rPr/>
          </w:pPr>
          <w:hyperlink w:anchor="__RefHeading___Toc4318_1446605355">
            <w:r>
              <w:rPr>
                <w:webHidden/>
                <w:rStyle w:val="Style18"/>
                <w:vanish w:val="false"/>
              </w:rPr>
              <w:t>2 Требования к продукции</w:t>
              <w:tab/>
              <w:t>4</w:t>
            </w:r>
          </w:hyperlink>
        </w:p>
        <w:p>
          <w:pPr>
            <w:pStyle w:val="TOC1"/>
            <w:tabs>
              <w:tab w:val="clear" w:pos="567"/>
              <w:tab w:val="clear" w:pos="9911"/>
              <w:tab w:val="right" w:pos="9921" w:leader="dot"/>
            </w:tabs>
            <w:rPr/>
          </w:pPr>
          <w:hyperlink w:anchor="__RefHeading___Toc4320_1446605355">
            <w:r>
              <w:rPr>
                <w:webHidden/>
                <w:rStyle w:val="Style18"/>
                <w:vanish w:val="false"/>
              </w:rPr>
              <w:t>Таблица 1.1 Перечень и объем закупаемой продукции</w:t>
              <w:tab/>
              <w:t>4</w:t>
            </w:r>
          </w:hyperlink>
        </w:p>
        <w:p>
          <w:pPr>
            <w:pStyle w:val="TOC1"/>
            <w:tabs>
              <w:tab w:val="clear" w:pos="567"/>
              <w:tab w:val="clear" w:pos="9911"/>
              <w:tab w:val="right" w:pos="9921" w:leader="dot"/>
            </w:tabs>
            <w:rPr/>
          </w:pPr>
          <w:hyperlink w:anchor="__RefHeading___Toc4322_1446605355">
            <w:r>
              <w:rPr>
                <w:webHidden/>
                <w:rStyle w:val="Style18"/>
                <w:vanish w:val="false"/>
              </w:rPr>
              <w:t>Таблица 2.1 Требования по срокам поставки продукции</w:t>
              <w:tab/>
              <w:t>5</w:t>
            </w:r>
          </w:hyperlink>
        </w:p>
        <w:p>
          <w:pPr>
            <w:pStyle w:val="TOC1"/>
            <w:tabs>
              <w:tab w:val="clear" w:pos="567"/>
              <w:tab w:val="clear" w:pos="9911"/>
              <w:tab w:val="right" w:pos="9921" w:leader="dot"/>
            </w:tabs>
            <w:rPr/>
          </w:pPr>
          <w:hyperlink w:anchor="__RefHeading___Toc4324_1446605355">
            <w:r>
              <w:rPr>
                <w:webHidden/>
                <w:rStyle w:val="Style18"/>
                <w:vanish w:val="false"/>
              </w:rPr>
              <w:t xml:space="preserve"> </w:t>
            </w:r>
            <w:r>
              <w:rPr>
                <w:rStyle w:val="Style18"/>
              </w:rPr>
              <w:t xml:space="preserve">Таблица 3.1 </w:t>
            </w:r>
            <w:r>
              <w:rPr>
                <w:rStyle w:val="Style18"/>
                <w:iCs/>
              </w:rPr>
              <w:t>Позиция № 1 Таблицы 1.1: Кабель 500 кВ</w:t>
            </w:r>
            <w:r>
              <w:rPr>
                <w:rStyle w:val="Style18"/>
              </w:rPr>
              <w:tab/>
              <w:t>6</w:t>
            </w:r>
          </w:hyperlink>
        </w:p>
        <w:p>
          <w:pPr>
            <w:pStyle w:val="TOC3"/>
            <w:tabs>
              <w:tab w:val="clear" w:pos="1120"/>
              <w:tab w:val="clear" w:pos="9911"/>
              <w:tab w:val="right" w:pos="9921" w:leader="dot"/>
            </w:tabs>
            <w:rPr/>
          </w:pPr>
          <w:hyperlink w:anchor="__RefHeading___Toc13782_3525351776">
            <w:r>
              <w:rPr>
                <w:webHidden/>
                <w:rStyle w:val="Style18"/>
                <w:vanish w:val="false"/>
              </w:rPr>
              <w:t>-</w:t>
              <w:tab/>
              <w:t>9</w:t>
            </w:r>
          </w:hyperlink>
        </w:p>
        <w:p>
          <w:pPr>
            <w:pStyle w:val="TOC1"/>
            <w:tabs>
              <w:tab w:val="clear" w:pos="567"/>
              <w:tab w:val="clear" w:pos="9911"/>
              <w:tab w:val="right" w:pos="9921" w:leader="dot"/>
            </w:tabs>
            <w:rPr/>
          </w:pPr>
          <w:hyperlink w:anchor="__RefHeading___Toc4326_1446605355">
            <w:r>
              <w:rPr>
                <w:webHidden/>
                <w:rStyle w:val="Style18"/>
                <w:vanish w:val="false"/>
              </w:rPr>
              <w:t xml:space="preserve">Таблица 3.2 </w:t>
            </w:r>
            <w:r>
              <w:rPr>
                <w:rStyle w:val="Style18"/>
                <w:iCs/>
              </w:rPr>
              <w:t>Позиция № 2 Таблицы 1.1: Муфта концевая до 10 кВ</w:t>
            </w:r>
            <w:r>
              <w:rPr>
                <w:rStyle w:val="Style18"/>
              </w:rPr>
              <w:tab/>
              <w:t>12</w:t>
            </w:r>
          </w:hyperlink>
        </w:p>
        <w:p>
          <w:pPr>
            <w:pStyle w:val="TOC1"/>
            <w:tabs>
              <w:tab w:val="clear" w:pos="567"/>
              <w:tab w:val="clear" w:pos="9911"/>
              <w:tab w:val="right" w:pos="9921" w:leader="dot"/>
            </w:tabs>
            <w:rPr/>
          </w:pPr>
          <w:hyperlink w:anchor="__RefHeading___Toc4328_1446605355">
            <w:r>
              <w:rPr>
                <w:webHidden/>
                <w:rStyle w:val="Style18"/>
                <w:vanish w:val="false"/>
              </w:rPr>
              <w:t xml:space="preserve">Таблица 3.3 </w:t>
            </w:r>
            <w:r>
              <w:rPr>
                <w:rStyle w:val="Style18"/>
                <w:iCs/>
              </w:rPr>
              <w:t>Позиция № 3 Таблицы 1.1: Муфта концевая внутренней установки 500 кВ</w:t>
            </w:r>
            <w:r>
              <w:rPr>
                <w:rStyle w:val="Style18"/>
              </w:rPr>
              <w:tab/>
              <w:t>15</w:t>
            </w:r>
          </w:hyperlink>
        </w:p>
        <w:p>
          <w:pPr>
            <w:pStyle w:val="TOC1"/>
            <w:tabs>
              <w:tab w:val="clear" w:pos="567"/>
              <w:tab w:val="clear" w:pos="9911"/>
              <w:tab w:val="right" w:pos="9921" w:leader="dot"/>
            </w:tabs>
            <w:rPr/>
          </w:pPr>
          <w:hyperlink w:anchor="__RefHeading___Toc4330_1446605355">
            <w:r>
              <w:rPr>
                <w:webHidden/>
                <w:rStyle w:val="Style18"/>
                <w:vanish w:val="false"/>
              </w:rPr>
              <w:t xml:space="preserve">Таблица 3.4 </w:t>
            </w:r>
            <w:r>
              <w:rPr>
                <w:rStyle w:val="Style18"/>
                <w:iCs/>
              </w:rPr>
              <w:t>Позиция № 4 Таблицы 1.1: Муфта концевая наружной установки 500 кВ</w:t>
            </w:r>
            <w:r>
              <w:rPr>
                <w:rStyle w:val="Style18"/>
              </w:rPr>
              <w:tab/>
              <w:t>19</w:t>
            </w:r>
          </w:hyperlink>
        </w:p>
        <w:p>
          <w:pPr>
            <w:pStyle w:val="TOC1"/>
            <w:tabs>
              <w:tab w:val="clear" w:pos="567"/>
              <w:tab w:val="clear" w:pos="9911"/>
              <w:tab w:val="right" w:pos="9921" w:leader="dot"/>
            </w:tabs>
            <w:rPr/>
          </w:pPr>
          <w:hyperlink w:anchor="__RefHeading___Toc4332_1446605355">
            <w:r>
              <w:rPr>
                <w:webHidden/>
                <w:rStyle w:val="Style18"/>
                <w:vanish w:val="false"/>
              </w:rPr>
              <w:t>3 Требования к документации по ценообразованию на этапе закупки</w:t>
              <w:tab/>
              <w:t>23</w:t>
            </w:r>
          </w:hyperlink>
        </w:p>
        <w:p>
          <w:pPr>
            <w:pStyle w:val="TOC1"/>
            <w:tabs>
              <w:tab w:val="clear" w:pos="567"/>
              <w:tab w:val="clear" w:pos="9911"/>
              <w:tab w:val="right" w:pos="9921" w:leader="dot"/>
            </w:tabs>
            <w:rPr/>
          </w:pPr>
          <w:hyperlink w:anchor="__RefHeading___Toc4334_1446605355">
            <w:r>
              <w:rPr>
                <w:webHidden/>
                <w:rStyle w:val="Style18"/>
                <w:vanish w:val="false"/>
              </w:rPr>
              <w:t>4 Приложения</w:t>
              <w:tab/>
              <w:t>24</w:t>
            </w:r>
          </w:hyperlink>
          <w:r>
            <w:rPr>
              <w:rStyle w:val="Style18"/>
              <w:vanish w:val="false"/>
            </w:rPr>
            <w:fldChar w:fldCharType="end"/>
          </w:r>
        </w:p>
      </w:sdtContent>
    </w:sdt>
    <w:p>
      <w:pPr>
        <w:pStyle w:val="Heading2"/>
        <w:numPr>
          <w:ilvl w:val="0"/>
          <w:numId w:val="0"/>
        </w:numPr>
        <w:ind w:left="0" w:hanging="0"/>
        <w:rPr/>
      </w:pPr>
      <w:r>
        <w:rPr/>
      </w:r>
    </w:p>
    <w:p>
      <w:pPr>
        <w:pStyle w:val="Normal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  <w:r>
        <w:br w:type="page"/>
      </w:r>
    </w:p>
    <w:p>
      <w:pPr>
        <w:pStyle w:val="Heading1"/>
        <w:numPr>
          <w:ilvl w:val="0"/>
          <w:numId w:val="25"/>
        </w:numPr>
        <w:ind w:left="357" w:hanging="357"/>
        <w:jc w:val="center"/>
        <w:rPr>
          <w:caps/>
          <w:sz w:val="24"/>
          <w:szCs w:val="24"/>
        </w:rPr>
      </w:pPr>
      <w:bookmarkStart w:id="0" w:name="__RefHeading___Toc4316_1446605355"/>
      <w:bookmarkStart w:id="1" w:name="_Toc172202385"/>
      <w:bookmarkStart w:id="2" w:name="_Toc51339692"/>
      <w:bookmarkEnd w:id="0"/>
      <w:r>
        <w:rPr>
          <w:sz w:val="24"/>
          <w:szCs w:val="24"/>
        </w:rPr>
        <w:t>Общие сведения</w:t>
      </w:r>
      <w:bookmarkEnd w:id="1"/>
      <w:bookmarkEnd w:id="2"/>
    </w:p>
    <w:p>
      <w:pPr>
        <w:pStyle w:val="ListParagraph"/>
        <w:numPr>
          <w:ilvl w:val="1"/>
          <w:numId w:val="12"/>
        </w:numPr>
        <w:rPr>
          <w:b/>
        </w:rPr>
      </w:pPr>
      <w:bookmarkStart w:id="3" w:name="_Toc46743505"/>
      <w:r>
        <w:rPr>
          <w:b/>
        </w:rPr>
        <w:t>Обозначения и сокращения</w:t>
      </w:r>
      <w:bookmarkEnd w:id="3"/>
    </w:p>
    <w:p>
      <w:pPr>
        <w:pStyle w:val="Normal"/>
        <w:rPr>
          <w:rStyle w:val="Style14"/>
          <w:b w:val="false"/>
          <w:bCs/>
          <w:iCs/>
          <w:sz w:val="24"/>
          <w:szCs w:val="24"/>
        </w:rPr>
      </w:pPr>
      <w:r>
        <w:rPr>
          <w:b w:val="false"/>
          <w:bCs/>
          <w:iCs/>
          <w:sz w:val="24"/>
          <w:szCs w:val="24"/>
        </w:rPr>
      </w:r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firstRow="1" w:lastRow="0" w:firstColumn="1" w:lastColumn="0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ГАЭС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гидроаккумулирующая электростанция</w:t>
            </w:r>
          </w:p>
        </w:tc>
      </w:tr>
    </w:tbl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ListParagraph"/>
        <w:numPr>
          <w:ilvl w:val="1"/>
          <w:numId w:val="12"/>
        </w:numPr>
        <w:rPr>
          <w:b/>
        </w:rPr>
      </w:pPr>
      <w:bookmarkStart w:id="4" w:name="_Toc46743506"/>
      <w:r>
        <w:rPr>
          <w:b/>
        </w:rPr>
        <w:t>Наименование закупаемой продукции</w:t>
      </w:r>
      <w:bookmarkEnd w:id="4"/>
    </w:p>
    <w:p>
      <w:pPr>
        <w:pStyle w:val="Normal"/>
        <w:ind w:firstLine="426"/>
        <w:jc w:val="both"/>
        <w:rPr>
          <w:sz w:val="24"/>
          <w:szCs w:val="24"/>
        </w:rPr>
      </w:pPr>
      <w:r>
        <w:rPr>
          <w:rFonts w:eastAsia="Calibri"/>
          <w:bCs/>
          <w:i w:val="false"/>
          <w:iCs w:val="false"/>
          <w:color w:val="000000" w:themeColor="text1"/>
          <w:sz w:val="24"/>
          <w:szCs w:val="24"/>
          <w:lang w:eastAsia="x-none"/>
        </w:rPr>
        <w:t>ОКПД2  27.33.13.163 Поставка кабельно-</w:t>
      </w:r>
    </w:p>
    <w:p>
      <w:pPr>
        <w:pStyle w:val="Normal"/>
        <w:ind w:firstLine="426"/>
        <w:jc w:val="both"/>
        <w:rPr>
          <w:sz w:val="24"/>
          <w:szCs w:val="24"/>
        </w:rPr>
      </w:pPr>
      <w:r>
        <w:rPr>
          <w:rFonts w:eastAsia="Calibri"/>
          <w:bCs/>
          <w:i w:val="false"/>
          <w:iCs w:val="false"/>
          <w:color w:val="000000" w:themeColor="text1"/>
          <w:sz w:val="24"/>
          <w:szCs w:val="24"/>
          <w:lang w:eastAsia="x-none"/>
        </w:rPr>
        <w:tab/>
        <w:t>проводниковой продукции для пополнения аварийного запаса для нужд филиала ПАО «РусГидро» - «Загорская ГАЭС»</w:t>
      </w:r>
      <w:r>
        <w:rPr>
          <w:rFonts w:eastAsia="Calibri"/>
          <w:i/>
          <w:sz w:val="24"/>
          <w:szCs w:val="24"/>
          <w:lang w:eastAsia="x-none"/>
        </w:rPr>
        <w:br/>
      </w:r>
    </w:p>
    <w:p>
      <w:pPr>
        <w:pStyle w:val="ListParagraph"/>
        <w:numPr>
          <w:ilvl w:val="1"/>
          <w:numId w:val="12"/>
        </w:numPr>
        <w:rPr>
          <w:b/>
        </w:rPr>
      </w:pPr>
      <w:bookmarkStart w:id="5" w:name="_Toc46743507"/>
      <w:r>
        <w:rPr>
          <w:b/>
        </w:rPr>
        <w:t xml:space="preserve">Цель </w:t>
      </w:r>
      <w:bookmarkEnd w:id="5"/>
      <w:r>
        <w:rPr>
          <w:b/>
        </w:rPr>
        <w:t>использования закупаемой продукции</w:t>
      </w:r>
    </w:p>
    <w:p>
      <w:pPr>
        <w:pStyle w:val="Normal"/>
        <w:ind w:firstLine="426"/>
        <w:jc w:val="both"/>
        <w:rPr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Обеспечение аварийным запасом материалов, </w:t>
      </w:r>
      <w:r>
        <w:rPr>
          <w:rFonts w:eastAsia="Calibri"/>
          <w:color w:val="000000" w:themeColor="text1"/>
          <w:sz w:val="24"/>
          <w:szCs w:val="24"/>
        </w:rPr>
        <w:t>необходимых для ликвидации возможных отказов (аварий)</w:t>
      </w:r>
      <w:r>
        <w:rPr>
          <w:bCs/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оборудования, установленного</w:t>
      </w:r>
      <w:r>
        <w:rPr>
          <w:sz w:val="24"/>
          <w:szCs w:val="24"/>
        </w:rPr>
        <w:t xml:space="preserve"> на филиале ПАО «РусГидро» - «Загорская ГАЭС» (далее - Филиал).</w:t>
      </w:r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ListParagraph"/>
        <w:numPr>
          <w:ilvl w:val="1"/>
          <w:numId w:val="12"/>
        </w:numPr>
        <w:rPr>
          <w:b/>
        </w:rPr>
      </w:pPr>
      <w:bookmarkStart w:id="6" w:name="_Toc46743508"/>
      <w:r>
        <w:rPr>
          <w:b/>
        </w:rPr>
        <w:t>Существующее положение</w:t>
      </w:r>
      <w:bookmarkEnd w:id="6"/>
    </w:p>
    <w:p>
      <w:pPr>
        <w:pStyle w:val="ListParagraph"/>
        <w:ind w:left="0" w:firstLine="426"/>
        <w:jc w:val="both"/>
        <w:rPr>
          <w:lang w:eastAsia="x-none"/>
        </w:rPr>
      </w:pPr>
      <w:r>
        <w:rPr>
          <w:lang w:eastAsia="x-none"/>
        </w:rPr>
        <w:t>На Загорской ГАЭС кабельные линии 500 кВ Sudkabel GmbH (Германия) марки (F)2XS(FL)H 1x выполняют связующую функцию между комплектным распределительным устройством (КРУЭ</w:t>
        <w:noBreakHyphen/>
        <w:t>500 кВ) и концевыми муфтами на площадке выхода линий на Костромскую ГРЭС и на ПС «Трубино». в</w:t>
      </w:r>
      <w:r>
        <w:rPr>
          <w:color w:val="000000"/>
          <w:sz w:val="24"/>
          <w:szCs w:val="24"/>
          <w:lang w:eastAsia="x-none"/>
        </w:rPr>
        <w:t>нутренней установки 500 кВ Sudkabel EHSVS 550 F чертеж №0.390.08.1a-05 и наружной установки 500 кВ Sudkabel EHFVCS 550 F чертеж №0.39.03.0a-11</w:t>
      </w:r>
      <w:r>
        <w:rPr>
          <w:lang w:eastAsia="x-none"/>
        </w:rPr>
        <w:t xml:space="preserve">. </w:t>
      </w:r>
    </w:p>
    <w:p>
      <w:pPr>
        <w:pStyle w:val="ListParagraph"/>
        <w:ind w:left="0" w:firstLine="426"/>
        <w:jc w:val="both"/>
        <w:rPr>
          <w:lang w:eastAsia="x-none"/>
        </w:rPr>
      </w:pPr>
      <w:r>
        <w:rPr>
          <w:lang w:eastAsia="x-none"/>
        </w:rPr>
        <w:t>Концевая муфта EHFVCS 550 F — муфта наружной установки с композитным изолятором (он же корпус), заполненным элегазом (SF6). В конструкцию входит элегазовый штекерный ввод с изолятором из литьевой смолы, элемент выравнивания поля из силиконовой резины и экраны от коронирования сверху и снизу муфты. Муфта оборудована электроконтактным манометром для контроля за давлением элегаза.</w:t>
      </w:r>
    </w:p>
    <w:p>
      <w:pPr>
        <w:pStyle w:val="ListParagraph"/>
        <w:ind w:left="0" w:firstLine="426"/>
        <w:jc w:val="both"/>
        <w:rPr>
          <w:lang w:eastAsia="x-none"/>
        </w:rPr>
      </w:pPr>
      <w:r>
        <w:rPr/>
        <w:t xml:space="preserve">Внутренняя концевая муфта </w:t>
      </w:r>
      <w:r>
        <w:rPr>
          <w:lang w:eastAsia="x-none"/>
        </w:rPr>
        <w:t>— </w:t>
      </w:r>
      <w:r>
        <w:rPr/>
        <w:t>эпоксидный изолятор элегазового ввода с контактной частью вверху и удлиняющим контактом для соединения с КРУЭ. Крепится через переходный фланец на фланец кабельного модуля КРУЭ. При монтаже в изолятор вводят разделанный кабель с наконечником и стресс-конусом из силиконовой резины для распределения электрического поля.</w:t>
      </w:r>
    </w:p>
    <w:p>
      <w:pPr>
        <w:pStyle w:val="ListParagraph"/>
        <w:ind w:left="0" w:firstLine="426"/>
        <w:jc w:val="both"/>
        <w:rPr>
          <w:lang w:eastAsia="x-none"/>
        </w:rPr>
      </w:pPr>
      <w:r>
        <w:rPr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000000"/>
          <w:spacing w:val="0"/>
          <w:sz w:val="24"/>
        </w:rPr>
        <w:t xml:space="preserve"> </w:t>
      </w:r>
      <w:r>
        <w:rPr>
          <w:lang w:eastAsia="x-none"/>
        </w:rPr>
        <w:t xml:space="preserve">Такая конфигурация позволяет интегрировать станцию в магистральную сеть высокого напряжения, обеспечивая передачу значительных объёмов мощности на большие расстояния с минимальными потерями. </w:t>
      </w:r>
    </w:p>
    <w:p>
      <w:pPr>
        <w:pStyle w:val="ListParagraph"/>
        <w:ind w:left="0" w:firstLine="426"/>
        <w:jc w:val="both"/>
        <w:rPr>
          <w:lang w:eastAsia="x-none"/>
        </w:rPr>
      </w:pPr>
      <w:r>
        <w:rPr>
          <w:lang w:eastAsia="x-none"/>
        </w:rPr>
        <w:t>Настоящие технические требования к поставке продукции для аварийного запаса формировались на основе характеристик существующего оборудования.</w:t>
      </w:r>
    </w:p>
    <w:p>
      <w:pPr>
        <w:pStyle w:val="ListParagraph"/>
        <w:ind w:left="0" w:firstLine="426"/>
        <w:jc w:val="both"/>
        <w:rPr>
          <w:lang w:eastAsia="x-none"/>
        </w:rPr>
      </w:pPr>
      <w:bookmarkStart w:id="7" w:name="_Toc146292906"/>
      <w:bookmarkStart w:id="8" w:name="_Toc46743509"/>
      <w:bookmarkStart w:id="9" w:name="_Hlk49857604"/>
      <w:r>
        <w:rPr>
          <w:lang w:eastAsia="x-none"/>
        </w:rPr>
        <w:t xml:space="preserve">Информация в отношении исполнения договора, </w:t>
      </w:r>
      <w:bookmarkStart w:id="10" w:name="_Hlk46492347"/>
      <w:r>
        <w:rPr>
          <w:lang w:eastAsia="x-none"/>
        </w:rPr>
        <w:t xml:space="preserve">которая должна быть учтена при подготовке заявки </w:t>
      </w:r>
      <w:bookmarkEnd w:id="10"/>
      <w:r>
        <w:rPr>
          <w:lang w:eastAsia="x-none"/>
        </w:rPr>
        <w:t>(в том числе перечень ресурсов, услуг и документов, предоставляемых заказчиком на этапе исполнения договора)</w:t>
      </w:r>
      <w:bookmarkStart w:id="11" w:name="_Hlk48209761"/>
      <w:bookmarkEnd w:id="7"/>
      <w:bookmarkEnd w:id="8"/>
      <w:bookmarkEnd w:id="9"/>
    </w:p>
    <w:p>
      <w:pPr>
        <w:pStyle w:val="ListParagraph"/>
        <w:ind w:left="0" w:firstLine="426"/>
        <w:jc w:val="both"/>
        <w:rPr>
          <w:lang w:eastAsia="x-none"/>
        </w:rPr>
      </w:pPr>
      <w:bookmarkStart w:id="12" w:name="_Toc146292907"/>
      <w:r>
        <w:rPr>
          <w:lang w:eastAsia="x-none"/>
        </w:rPr>
        <w:t>Заказчик предоставит поставщику</w:t>
      </w:r>
      <w:bookmarkEnd w:id="12"/>
      <w:r>
        <w:rPr>
          <w:lang w:eastAsia="x-none"/>
        </w:rPr>
        <w:t xml:space="preserve"> </w:t>
      </w:r>
      <w:bookmarkStart w:id="13" w:name="_Toc146292909"/>
      <w:r>
        <w:rPr/>
        <w:t xml:space="preserve">площадку для разгрузки </w:t>
      </w:r>
      <w:r>
        <w:rPr>
          <w:lang w:eastAsia="x-none"/>
        </w:rPr>
        <w:t xml:space="preserve">продукции </w:t>
      </w:r>
      <w:r>
        <w:rPr/>
        <w:t>.</w:t>
      </w:r>
      <w:bookmarkEnd w:id="13"/>
    </w:p>
    <w:p>
      <w:pPr>
        <w:pStyle w:val="Normal"/>
        <w:rPr>
          <w:sz w:val="24"/>
          <w:szCs w:val="24"/>
          <w:lang w:val="x-none" w:eastAsia="x-none"/>
        </w:rPr>
      </w:pPr>
      <w:r>
        <w:rPr>
          <w:sz w:val="24"/>
          <w:szCs w:val="24"/>
          <w:lang w:val="x-none" w:eastAsia="x-none"/>
        </w:rPr>
      </w:r>
    </w:p>
    <w:p>
      <w:pPr>
        <w:pStyle w:val="Heading1"/>
        <w:numPr>
          <w:ilvl w:val="0"/>
          <w:numId w:val="26"/>
        </w:numPr>
        <w:jc w:val="center"/>
        <w:rPr>
          <w:caps/>
          <w:sz w:val="24"/>
          <w:szCs w:val="24"/>
          <w:lang w:val="ru-RU"/>
        </w:rPr>
      </w:pPr>
      <w:bookmarkStart w:id="14" w:name="__RefHeading___Toc4318_1446605355"/>
      <w:bookmarkStart w:id="15" w:name="_Toc50125126"/>
      <w:bookmarkStart w:id="16" w:name="_Toc51339693"/>
      <w:bookmarkStart w:id="17" w:name="_Toc172202386"/>
      <w:bookmarkEnd w:id="11"/>
      <w:bookmarkEnd w:id="14"/>
      <w:bookmarkEnd w:id="15"/>
      <w:r>
        <w:rPr>
          <w:sz w:val="24"/>
          <w:szCs w:val="24"/>
        </w:rPr>
        <w:t>Требования к продукции</w:t>
      </w:r>
      <w:bookmarkEnd w:id="16"/>
      <w:bookmarkEnd w:id="17"/>
    </w:p>
    <w:p>
      <w:pPr>
        <w:pStyle w:val="ListParagraph"/>
        <w:numPr>
          <w:ilvl w:val="1"/>
          <w:numId w:val="11"/>
        </w:numPr>
        <w:rPr>
          <w:b/>
        </w:rPr>
      </w:pPr>
      <w:r>
        <w:rPr>
          <w:b/>
        </w:rPr>
        <w:t>Требования к объемам и срокам поставки</w:t>
      </w:r>
    </w:p>
    <w:p>
      <w:pPr>
        <w:pStyle w:val="ListParagraph"/>
        <w:numPr>
          <w:ilvl w:val="2"/>
          <w:numId w:val="9"/>
        </w:numPr>
        <w:rPr>
          <w:b/>
        </w:rPr>
      </w:pPr>
      <w:r>
        <w:rPr>
          <w:b/>
        </w:rPr>
        <w:t>Перечень и объем закупаемой продукции</w:t>
      </w:r>
    </w:p>
    <w:p>
      <w:pPr>
        <w:pStyle w:val="Heading1"/>
        <w:numPr>
          <w:ilvl w:val="0"/>
          <w:numId w:val="0"/>
        </w:numPr>
        <w:ind w:left="0" w:hanging="0"/>
        <w:rPr>
          <w:sz w:val="24"/>
          <w:szCs w:val="24"/>
        </w:rPr>
      </w:pPr>
      <w:bookmarkStart w:id="18" w:name="__RefHeading___Toc4320_1446605355"/>
      <w:bookmarkStart w:id="19" w:name="_Toc172202387"/>
      <w:bookmarkStart w:id="20" w:name="_Toc51339695"/>
      <w:bookmarkEnd w:id="18"/>
      <w:r>
        <w:rPr>
          <w:sz w:val="24"/>
          <w:szCs w:val="24"/>
        </w:rPr>
        <w:t xml:space="preserve">Таблица 1.1 Перечень </w:t>
      </w:r>
      <w:bookmarkEnd w:id="20"/>
      <w:r>
        <w:rPr>
          <w:sz w:val="24"/>
          <w:szCs w:val="24"/>
        </w:rPr>
        <w:t>и объем закупаемой продукции</w:t>
      </w:r>
      <w:bookmarkEnd w:id="19"/>
    </w:p>
    <w:tbl>
      <w:tblPr>
        <w:tblW w:w="9668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487"/>
        <w:gridCol w:w="3128"/>
        <w:gridCol w:w="1650"/>
        <w:gridCol w:w="2073"/>
        <w:gridCol w:w="1169"/>
        <w:gridCol w:w="1160"/>
      </w:tblGrid>
      <w:tr>
        <w:trPr/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продукции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ОКПД2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Применение законодательства о национальном режиме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>
        <w:trPr/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jc w:val="center"/>
              <w:rPr/>
            </w:pPr>
            <w:r>
              <w:rPr/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39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Кабель 500 кВ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27.32.14.110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spacing w:val="0"/>
                <w:sz w:val="24"/>
                <w:szCs w:val="24"/>
              </w:rPr>
              <w:t>Ограничение на</w:t>
            </w:r>
            <w:r>
              <w:rPr>
                <w:i/>
                <w:caps w:val="false"/>
                <w:smallCaps w:val="false"/>
                <w:spacing w:val="0"/>
                <w:sz w:val="24"/>
                <w:szCs w:val="24"/>
              </w:rPr>
              <w:t xml:space="preserve"> </w:t>
            </w:r>
            <w:r>
              <w:rPr>
                <w:b w:val="false"/>
                <w:i w:val="false"/>
                <w:caps w:val="false"/>
                <w:smallCaps w:val="false"/>
                <w:spacing w:val="0"/>
                <w:sz w:val="24"/>
                <w:szCs w:val="24"/>
              </w:rPr>
              <w:t>поставку товаров</w:t>
            </w:r>
            <w:r>
              <w:rPr>
                <w:i/>
                <w:caps w:val="false"/>
                <w:smallCaps w:val="false"/>
                <w:spacing w:val="0"/>
                <w:sz w:val="24"/>
                <w:szCs w:val="24"/>
              </w:rPr>
              <w:t xml:space="preserve"> </w:t>
            </w:r>
            <w:r>
              <w:rPr>
                <w:b w:val="false"/>
                <w:i w:val="false"/>
                <w:caps w:val="false"/>
                <w:smallCaps w:val="false"/>
                <w:spacing w:val="0"/>
                <w:sz w:val="24"/>
                <w:szCs w:val="24"/>
              </w:rPr>
              <w:t>иностранного</w:t>
            </w:r>
            <w:r>
              <w:rPr>
                <w:i/>
                <w:caps w:val="false"/>
                <w:smallCaps w:val="false"/>
                <w:spacing w:val="0"/>
                <w:sz w:val="24"/>
                <w:szCs w:val="24"/>
              </w:rPr>
              <w:t xml:space="preserve"> </w:t>
            </w:r>
            <w:r>
              <w:rPr>
                <w:b w:val="false"/>
                <w:i w:val="false"/>
                <w:caps w:val="false"/>
                <w:smallCaps w:val="false"/>
                <w:spacing w:val="0"/>
                <w:sz w:val="24"/>
                <w:szCs w:val="24"/>
              </w:rPr>
              <w:t>производства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км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9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0,25</w:t>
            </w:r>
          </w:p>
        </w:tc>
      </w:tr>
      <w:tr>
        <w:trPr/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jc w:val="center"/>
              <w:rPr/>
            </w:pPr>
            <w:r>
              <w:rPr/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39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Муфта концевая 10 кВ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27.33.13.163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spacing w:val="0"/>
                <w:sz w:val="24"/>
                <w:szCs w:val="24"/>
              </w:rPr>
              <w:t>Преимущество для</w:t>
            </w:r>
            <w:r>
              <w:rPr>
                <w:caps w:val="false"/>
                <w:smallCaps w:val="false"/>
                <w:spacing w:val="0"/>
                <w:sz w:val="24"/>
                <w:szCs w:val="24"/>
              </w:rPr>
              <w:t xml:space="preserve"> </w:t>
            </w:r>
            <w:r>
              <w:rPr>
                <w:b w:val="false"/>
                <w:i w:val="false"/>
                <w:caps w:val="false"/>
                <w:smallCaps w:val="false"/>
                <w:spacing w:val="0"/>
                <w:sz w:val="24"/>
                <w:szCs w:val="24"/>
              </w:rPr>
              <w:t>товаров российского</w:t>
            </w:r>
            <w:r>
              <w:rPr>
                <w:caps w:val="false"/>
                <w:smallCaps w:val="false"/>
                <w:spacing w:val="0"/>
                <w:sz w:val="24"/>
                <w:szCs w:val="24"/>
              </w:rPr>
              <w:t xml:space="preserve"> </w:t>
            </w:r>
            <w:r>
              <w:rPr>
                <w:b w:val="false"/>
                <w:i w:val="false"/>
                <w:caps w:val="false"/>
                <w:smallCaps w:val="false"/>
                <w:spacing w:val="0"/>
                <w:sz w:val="24"/>
                <w:szCs w:val="24"/>
              </w:rPr>
              <w:t>производства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9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4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jc w:val="center"/>
              <w:rPr/>
            </w:pPr>
            <w:r>
              <w:rPr/>
            </w:r>
          </w:p>
        </w:tc>
        <w:tc>
          <w:tcPr>
            <w:tcW w:w="312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9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Муфта концевая наружной установки 500 кВ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27.33.13.163</w:t>
            </w:r>
          </w:p>
        </w:tc>
        <w:tc>
          <w:tcPr>
            <w:tcW w:w="207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spacing w:val="0"/>
                <w:sz w:val="24"/>
                <w:szCs w:val="24"/>
              </w:rPr>
              <w:t>Преимущество для</w:t>
            </w:r>
            <w:r>
              <w:rPr>
                <w:caps w:val="false"/>
                <w:smallCaps w:val="false"/>
                <w:spacing w:val="0"/>
                <w:sz w:val="24"/>
                <w:szCs w:val="24"/>
              </w:rPr>
              <w:t xml:space="preserve"> </w:t>
            </w:r>
            <w:r>
              <w:rPr>
                <w:b w:val="false"/>
                <w:i w:val="false"/>
                <w:caps w:val="false"/>
                <w:smallCaps w:val="false"/>
                <w:spacing w:val="0"/>
                <w:sz w:val="24"/>
                <w:szCs w:val="24"/>
              </w:rPr>
              <w:t>товаров российского</w:t>
            </w:r>
            <w:r>
              <w:rPr>
                <w:caps w:val="false"/>
                <w:smallCaps w:val="false"/>
                <w:spacing w:val="0"/>
                <w:sz w:val="24"/>
                <w:szCs w:val="24"/>
              </w:rPr>
              <w:t xml:space="preserve"> </w:t>
            </w:r>
            <w:r>
              <w:rPr>
                <w:b w:val="false"/>
                <w:i w:val="false"/>
                <w:caps w:val="false"/>
                <w:smallCaps w:val="false"/>
                <w:spacing w:val="0"/>
                <w:sz w:val="24"/>
                <w:szCs w:val="24"/>
              </w:rPr>
              <w:t>производства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9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4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jc w:val="center"/>
              <w:rPr/>
            </w:pPr>
            <w:r>
              <w:rPr/>
            </w:r>
          </w:p>
        </w:tc>
        <w:tc>
          <w:tcPr>
            <w:tcW w:w="312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9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Муфта концевая внутренней установки 500 кВ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27.33.13.163</w:t>
            </w:r>
          </w:p>
        </w:tc>
        <w:tc>
          <w:tcPr>
            <w:tcW w:w="207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spacing w:val="0"/>
                <w:sz w:val="24"/>
                <w:szCs w:val="24"/>
              </w:rPr>
              <w:t>Преимущество для</w:t>
            </w:r>
            <w:r>
              <w:rPr>
                <w:caps w:val="false"/>
                <w:smallCaps w:val="false"/>
                <w:spacing w:val="0"/>
                <w:sz w:val="24"/>
                <w:szCs w:val="24"/>
              </w:rPr>
              <w:t xml:space="preserve"> </w:t>
            </w:r>
            <w:r>
              <w:rPr>
                <w:b w:val="false"/>
                <w:i w:val="false"/>
                <w:caps w:val="false"/>
                <w:smallCaps w:val="false"/>
                <w:spacing w:val="0"/>
                <w:sz w:val="24"/>
                <w:szCs w:val="24"/>
              </w:rPr>
              <w:t>товаров российского</w:t>
            </w:r>
            <w:r>
              <w:rPr>
                <w:caps w:val="false"/>
                <w:smallCaps w:val="false"/>
                <w:spacing w:val="0"/>
                <w:sz w:val="24"/>
                <w:szCs w:val="24"/>
              </w:rPr>
              <w:t xml:space="preserve"> </w:t>
            </w:r>
            <w:r>
              <w:rPr>
                <w:b w:val="false"/>
                <w:i w:val="false"/>
                <w:caps w:val="false"/>
                <w:smallCaps w:val="false"/>
                <w:spacing w:val="0"/>
                <w:sz w:val="24"/>
                <w:szCs w:val="24"/>
              </w:rPr>
              <w:t>производства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9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rPr>
          <w:bCs/>
          <w:i/>
          <w:i/>
          <w:sz w:val="24"/>
          <w:szCs w:val="24"/>
          <w:shd w:fill="FFFF99" w:val="clear"/>
        </w:rPr>
      </w:pPr>
      <w:r>
        <w:rPr>
          <w:bCs/>
          <w:i/>
          <w:sz w:val="24"/>
          <w:szCs w:val="24"/>
          <w:shd w:fill="FFFF99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rPr>
          <w:bCs/>
          <w:i/>
          <w:i/>
          <w:sz w:val="24"/>
          <w:szCs w:val="24"/>
          <w:shd w:fill="FFFF99" w:val="clear"/>
        </w:rPr>
      </w:pPr>
      <w:r>
        <w:rPr>
          <w:bCs/>
          <w:i/>
          <w:sz w:val="24"/>
          <w:szCs w:val="24"/>
          <w:shd w:fill="FFFF99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rPr>
          <w:bCs/>
          <w:i/>
          <w:i/>
          <w:sz w:val="24"/>
          <w:szCs w:val="24"/>
          <w:shd w:fill="FFFF99" w:val="clear"/>
        </w:rPr>
      </w:pPr>
      <w:r>
        <w:rPr>
          <w:bCs/>
          <w:i/>
          <w:sz w:val="24"/>
          <w:szCs w:val="24"/>
          <w:shd w:fill="FFFF99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rPr>
          <w:bCs/>
          <w:i/>
          <w:i/>
          <w:sz w:val="24"/>
          <w:szCs w:val="24"/>
          <w:shd w:fill="FFFF99" w:val="clear"/>
        </w:rPr>
      </w:pPr>
      <w:r>
        <w:rPr>
          <w:bCs/>
          <w:i/>
          <w:sz w:val="24"/>
          <w:szCs w:val="24"/>
          <w:shd w:fill="FFFF99" w:val="clear"/>
        </w:rPr>
      </w:r>
    </w:p>
    <w:p>
      <w:pPr>
        <w:pStyle w:val="ListParagraph"/>
        <w:numPr>
          <w:ilvl w:val="2"/>
          <w:numId w:val="9"/>
        </w:numPr>
        <w:rPr>
          <w:b/>
        </w:rPr>
      </w:pPr>
      <w:bookmarkStart w:id="21" w:name="_Toc51339696"/>
      <w:r>
        <w:rPr>
          <w:b/>
        </w:rPr>
        <w:t xml:space="preserve">Требования </w:t>
      </w:r>
      <w:bookmarkEnd w:id="21"/>
      <w:r>
        <w:rPr>
          <w:b/>
        </w:rPr>
        <w:t>к срокам поставки продукции и оказания сопутствующих услуг</w:t>
      </w:r>
    </w:p>
    <w:p>
      <w:pPr>
        <w:pStyle w:val="Heading1"/>
        <w:numPr>
          <w:ilvl w:val="0"/>
          <w:numId w:val="0"/>
        </w:numPr>
        <w:ind w:left="0" w:hanging="0"/>
        <w:rPr>
          <w:sz w:val="24"/>
          <w:szCs w:val="24"/>
          <w:lang w:val="ru-RU"/>
        </w:rPr>
      </w:pPr>
      <w:bookmarkStart w:id="22" w:name="__RefHeading___Toc4322_1446605355"/>
      <w:bookmarkStart w:id="23" w:name="_Toc51339697"/>
      <w:bookmarkStart w:id="24" w:name="_Toc50125126_Копия_1"/>
      <w:bookmarkStart w:id="25" w:name="_Toc172202388"/>
      <w:bookmarkStart w:id="26" w:name="_Toc50125127"/>
      <w:bookmarkEnd w:id="22"/>
      <w:bookmarkEnd w:id="24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bookmarkStart w:id="27" w:name="_Hlk50465284"/>
      <w:r>
        <w:rPr>
          <w:sz w:val="24"/>
          <w:szCs w:val="24"/>
        </w:rPr>
        <w:t xml:space="preserve">Требования по срокам </w:t>
      </w:r>
      <w:bookmarkEnd w:id="23"/>
      <w:bookmarkEnd w:id="26"/>
      <w:bookmarkEnd w:id="27"/>
      <w:r>
        <w:rPr>
          <w:sz w:val="24"/>
          <w:szCs w:val="24"/>
          <w:lang w:val="ru-RU"/>
        </w:rPr>
        <w:t>поставки продукции</w:t>
      </w:r>
      <w:bookmarkEnd w:id="25"/>
      <w:r>
        <w:rPr>
          <w:sz w:val="24"/>
          <w:szCs w:val="24"/>
          <w:lang w:val="ru-RU"/>
        </w:rPr>
        <w:t xml:space="preserve"> </w:t>
      </w:r>
    </w:p>
    <w:tbl>
      <w:tblPr>
        <w:tblW w:w="9776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129"/>
        <w:gridCol w:w="2666"/>
        <w:gridCol w:w="2863"/>
        <w:gridCol w:w="3117"/>
      </w:tblGrid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 </w:t>
            </w: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началу изготовления продукции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сроку поставки продукции</w:t>
            </w:r>
          </w:p>
        </w:tc>
      </w:tr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bookmarkStart w:id="28" w:name="_Toc46743510"/>
            <w:r>
              <w:rPr>
                <w:b/>
                <w:sz w:val="24"/>
                <w:szCs w:val="24"/>
              </w:rPr>
              <w:t>4</w:t>
            </w:r>
            <w:bookmarkEnd w:id="28"/>
          </w:p>
        </w:tc>
      </w:tr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9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соответствии с перечнем и объемом закупаемой продукции, указанным в таблице 1.1 настоящих технических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00" w:val="clear"/>
          </w:tcPr>
          <w:p>
            <w:pPr>
              <w:pStyle w:val="Style33"/>
              <w:widowControl w:val="false"/>
              <w:spacing w:before="40" w:after="40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b w:val="false"/>
                <w:bCs w:val="false"/>
                <w:color w:val="000000"/>
                <w:shd w:fill="auto" w:val="clear"/>
                <w:lang w:val="en-US"/>
              </w:rPr>
              <w:t>30.11.2027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134" w:footer="0" w:bottom="992"/>
          <w:pgNumType w:start="1"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Normal"/>
        <w:ind w:firstLine="426"/>
        <w:rPr>
          <w:b/>
          <w:sz w:val="24"/>
          <w:szCs w:val="24"/>
        </w:rPr>
      </w:pPr>
      <w:bookmarkStart w:id="29" w:name="_Toc51339698"/>
      <w:bookmarkStart w:id="30" w:name="_Toc46743511"/>
      <w:r>
        <w:rPr>
          <w:b/>
          <w:sz w:val="24"/>
          <w:szCs w:val="24"/>
        </w:rPr>
        <w:t xml:space="preserve">2.2. Требования к </w:t>
      </w:r>
      <w:bookmarkEnd w:id="30"/>
      <w:r>
        <w:rPr>
          <w:b/>
          <w:sz w:val="24"/>
          <w:szCs w:val="24"/>
        </w:rPr>
        <w:t>качеству продукции</w:t>
      </w:r>
    </w:p>
    <w:p>
      <w:pPr>
        <w:pStyle w:val="Heading1"/>
        <w:numPr>
          <w:ilvl w:val="0"/>
          <w:numId w:val="0"/>
        </w:numPr>
        <w:ind w:left="0" w:hanging="0"/>
        <w:rPr>
          <w:b w:val="false"/>
          <w:bCs/>
          <w:iCs/>
          <w:sz w:val="24"/>
          <w:szCs w:val="24"/>
        </w:rPr>
      </w:pPr>
      <w:bookmarkStart w:id="31" w:name="__RefHeading___Toc4324_1446605355"/>
      <w:bookmarkEnd w:id="31"/>
      <w:r>
        <w:rPr>
          <w:sz w:val="24"/>
          <w:szCs w:val="24"/>
        </w:rPr>
        <w:t xml:space="preserve"> </w:t>
      </w:r>
      <w:bookmarkStart w:id="32" w:name="_Toc172202389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bookmarkEnd w:id="29"/>
      <w:r>
        <w:rPr>
          <w:bCs/>
          <w:iCs/>
          <w:sz w:val="24"/>
          <w:szCs w:val="24"/>
        </w:rPr>
        <w:t xml:space="preserve">Позиция № 1 Таблицы 1.1 </w:t>
      </w:r>
      <w:r>
        <w:rPr>
          <w:bCs/>
          <w:iCs/>
          <w:color w:val="000000"/>
          <w:sz w:val="24"/>
          <w:szCs w:val="24"/>
        </w:rPr>
        <w:t xml:space="preserve">настоящих технических трбований </w:t>
      </w:r>
      <w:r>
        <w:rPr>
          <w:bCs/>
          <w:iCs/>
          <w:sz w:val="24"/>
          <w:szCs w:val="24"/>
        </w:rPr>
        <w:t xml:space="preserve">: </w:t>
      </w:r>
      <w:bookmarkEnd w:id="32"/>
      <w:r>
        <w:rPr>
          <w:bCs/>
          <w:iCs/>
          <w:sz w:val="24"/>
          <w:szCs w:val="24"/>
        </w:rPr>
        <w:t>Кабель 500 кВ</w:t>
      </w:r>
      <w:r>
        <w:rPr>
          <w:b w:val="false"/>
          <w:bCs/>
          <w:iCs/>
          <w:sz w:val="24"/>
          <w:szCs w:val="24"/>
        </w:rPr>
        <w:t xml:space="preserve"> </w:t>
      </w:r>
    </w:p>
    <w:p>
      <w:pPr>
        <w:pStyle w:val="Normal"/>
        <w:numPr>
          <w:ilvl w:val="0"/>
          <w:numId w:val="0"/>
        </w:numPr>
        <w:ind w:left="0" w:hanging="0"/>
        <w:rPr>
          <w:b w:val="false"/>
          <w:bCs/>
          <w:iCs/>
          <w:sz w:val="24"/>
          <w:szCs w:val="24"/>
        </w:rPr>
      </w:pPr>
      <w:r>
        <w:rPr>
          <w:b w:val="false"/>
          <w:bCs/>
          <w:iCs/>
          <w:sz w:val="24"/>
          <w:szCs w:val="24"/>
        </w:rPr>
      </w:r>
    </w:p>
    <w:tbl>
      <w:tblPr>
        <w:tblW w:w="15315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099"/>
        <w:gridCol w:w="2921"/>
        <w:gridCol w:w="3450"/>
        <w:gridCol w:w="2550"/>
        <w:gridCol w:w="3809"/>
        <w:gridCol w:w="1485"/>
      </w:tblGrid>
      <w:tr>
        <w:trPr>
          <w:tblHeader w:val="true"/>
        </w:trPr>
        <w:tc>
          <w:tcPr>
            <w:tcW w:w="10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  <w:r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29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34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6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1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>
        <w:trPr>
          <w:tblHeader w:val="true"/>
        </w:trPr>
        <w:tc>
          <w:tcPr>
            <w:tcW w:w="10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9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34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4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blHeader w:val="true"/>
        </w:trPr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>
        <w:trPr/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60" w:after="0"/>
              <w:contextualSpacing/>
              <w:jc w:val="center"/>
              <w:rPr>
                <w:rFonts w:ascii="Times New Roman" w:hAnsi="Times New Roman" w:eastAsia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конструкции, изготовлению и материалам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1"/>
              </w:numPr>
              <w:suppressAutoHyphens w:val="true"/>
              <w:bidi w:val="0"/>
              <w:spacing w:lineRule="auto" w:line="240" w:before="60" w:after="0"/>
              <w:ind w:left="1134" w:right="0" w:hanging="1020"/>
              <w:contextualSpacing/>
              <w:jc w:val="center"/>
              <w:rPr>
                <w:rFonts w:ascii="Times New Roman" w:hAnsi="Times New Roman" w:eastAsia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Номинальное переменное напряжение U</w:t>
            </w:r>
            <w:r>
              <w:rPr>
                <w:sz w:val="24"/>
                <w:szCs w:val="24"/>
                <w:vertAlign w:val="subscript"/>
              </w:rPr>
              <w:t>0</w:t>
            </w:r>
            <w:r>
              <w:rPr>
                <w:sz w:val="24"/>
                <w:szCs w:val="24"/>
              </w:rPr>
              <w:t>/U, кВ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290/500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0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1"/>
              </w:numPr>
              <w:suppressAutoHyphens w:val="true"/>
              <w:bidi w:val="0"/>
              <w:spacing w:lineRule="auto" w:line="240" w:before="60" w:after="0"/>
              <w:ind w:left="1134" w:right="0" w:hanging="1020"/>
              <w:contextualSpacing/>
              <w:jc w:val="center"/>
              <w:rPr>
                <w:rFonts w:ascii="Times New Roman" w:hAnsi="Times New Roman" w:eastAsia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>‍</w:t>
            </w:r>
          </w:p>
        </w:tc>
        <w:tc>
          <w:tcPr>
            <w:tcW w:w="2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Наибольшее рабочее напряжение, кВ</w:t>
            </w:r>
          </w:p>
        </w:tc>
        <w:tc>
          <w:tcPr>
            <w:tcW w:w="3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550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3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1"/>
              </w:numPr>
              <w:suppressAutoHyphens w:val="true"/>
              <w:bidi w:val="0"/>
              <w:spacing w:lineRule="auto" w:line="240" w:before="60" w:after="0"/>
              <w:ind w:left="1134" w:right="0" w:hanging="1020"/>
              <w:contextualSpacing/>
              <w:jc w:val="center"/>
              <w:rPr>
                <w:rFonts w:ascii="Times New Roman" w:hAnsi="Times New Roman" w:eastAsia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Номинальная частота, Гц</w:t>
            </w:r>
          </w:p>
          <w:p>
            <w:pPr>
              <w:pStyle w:val="BodyText"/>
              <w:widowControl w:val="false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8"/>
              </w:rPr>
            </w:pPr>
            <w:r>
              <w:rPr>
                <w:rFonts w:eastAsia="Times New Roman" w:cs="Times New Roman"/>
                <w:color w:val="auto"/>
                <w:sz w:val="24"/>
                <w:szCs w:val="28"/>
                <w:lang w:val="ru-RU" w:eastAsia="ru-RU" w:bidi="ar-SA"/>
              </w:rPr>
              <w:t>50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0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1"/>
              </w:numPr>
              <w:suppressAutoHyphens w:val="true"/>
              <w:bidi w:val="0"/>
              <w:spacing w:lineRule="auto" w:line="240" w:before="60" w:after="0"/>
              <w:ind w:left="1134" w:right="0" w:hanging="1020"/>
              <w:contextualSpacing/>
              <w:jc w:val="center"/>
              <w:rPr>
                <w:rFonts w:ascii="Times New Roman" w:hAnsi="Times New Roman" w:eastAsia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>‍</w:t>
            </w:r>
          </w:p>
        </w:tc>
        <w:tc>
          <w:tcPr>
            <w:tcW w:w="2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Испытательное напряжение промышленной частоты (60 мин) при приемо-сдаточных испытаниях, кВ</w:t>
            </w:r>
          </w:p>
        </w:tc>
        <w:tc>
          <w:tcPr>
            <w:tcW w:w="3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580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3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0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1"/>
              </w:numPr>
              <w:suppressAutoHyphens w:val="true"/>
              <w:bidi w:val="0"/>
              <w:spacing w:lineRule="auto" w:line="240" w:before="60" w:after="0"/>
              <w:ind w:left="1134" w:right="0" w:hanging="1020"/>
              <w:contextualSpacing/>
              <w:jc w:val="center"/>
              <w:rPr>
                <w:rFonts w:ascii="Times New Roman" w:hAnsi="Times New Roman" w:eastAsia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>‍</w:t>
            </w:r>
          </w:p>
        </w:tc>
        <w:tc>
          <w:tcPr>
            <w:tcW w:w="2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Выдерживаемое напряжение грозового импульса, 1,2/50мкс, кВ</w:t>
            </w:r>
          </w:p>
        </w:tc>
        <w:tc>
          <w:tcPr>
            <w:tcW w:w="3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1550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3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0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1"/>
              </w:numPr>
              <w:suppressAutoHyphens w:val="true"/>
              <w:bidi w:val="0"/>
              <w:spacing w:lineRule="auto" w:line="240" w:before="60" w:after="0"/>
              <w:ind w:left="1134" w:right="0" w:hanging="1020"/>
              <w:contextualSpacing/>
              <w:jc w:val="center"/>
              <w:rPr>
                <w:rFonts w:ascii="Times New Roman" w:hAnsi="Times New Roman" w:eastAsia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>‍</w:t>
            </w:r>
          </w:p>
        </w:tc>
        <w:tc>
          <w:tcPr>
            <w:tcW w:w="2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Испытательное напряжение коммутационного импульса, кВ</w:t>
            </w:r>
          </w:p>
        </w:tc>
        <w:tc>
          <w:tcPr>
            <w:tcW w:w="3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1175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3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1"/>
              </w:numPr>
              <w:suppressAutoHyphens w:val="true"/>
              <w:bidi w:val="0"/>
              <w:spacing w:lineRule="auto" w:line="240" w:before="60" w:after="0"/>
              <w:ind w:left="1134" w:right="0" w:hanging="1020"/>
              <w:contextualSpacing/>
              <w:jc w:val="center"/>
              <w:rPr>
                <w:rFonts w:ascii="Times New Roman" w:hAnsi="Times New Roman" w:eastAsia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токопроводящих  жил кабеля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6435" w:leader="none"/>
                <w:tab w:val="left" w:pos="7875" w:leader="none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0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1"/>
              </w:numPr>
              <w:suppressAutoHyphens w:val="true"/>
              <w:bidi w:val="0"/>
              <w:spacing w:lineRule="auto" w:line="240" w:before="60" w:after="0"/>
              <w:ind w:left="1134" w:right="0" w:hanging="1020"/>
              <w:contextualSpacing/>
              <w:jc w:val="center"/>
              <w:rPr>
                <w:rFonts w:ascii="Times New Roman" w:hAnsi="Times New Roman" w:eastAsia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2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Тип токопроводящей жилы</w:t>
            </w:r>
          </w:p>
        </w:tc>
        <w:tc>
          <w:tcPr>
            <w:tcW w:w="3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6435" w:leader="none"/>
                <w:tab w:val="left" w:pos="7875" w:leader="none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многопроволочная,  сегментированная,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i/>
                <w:i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0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1"/>
              </w:numPr>
              <w:suppressAutoHyphens w:val="true"/>
              <w:bidi w:val="0"/>
              <w:spacing w:lineRule="auto" w:line="240" w:before="60" w:after="0"/>
              <w:ind w:left="1134" w:right="0" w:hanging="1020"/>
              <w:contextualSpacing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Times New Roman"/>
                <w:bCs w:val="false"/>
                <w:iCs w:val="false"/>
                <w:sz w:val="24"/>
                <w:szCs w:val="24"/>
              </w:rPr>
              <w:t>‍</w:t>
            </w:r>
          </w:p>
        </w:tc>
        <w:tc>
          <w:tcPr>
            <w:tcW w:w="2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М</w:t>
            </w:r>
            <w:r>
              <w:rPr>
                <w:sz w:val="24"/>
                <w:szCs w:val="24"/>
              </w:rPr>
              <w:t>атериал токопроводящей жилы</w:t>
            </w:r>
          </w:p>
        </w:tc>
        <w:tc>
          <w:tcPr>
            <w:tcW w:w="3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медь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i/>
                <w:i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0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1"/>
              </w:numPr>
              <w:suppressAutoHyphens w:val="true"/>
              <w:bidi w:val="0"/>
              <w:spacing w:lineRule="auto" w:line="240" w:before="60" w:after="0"/>
              <w:ind w:left="1134" w:right="0" w:hanging="1020"/>
              <w:contextualSpacing/>
              <w:jc w:val="center"/>
              <w:rPr>
                <w:rFonts w:ascii="Times New Roman" w:hAnsi="Times New Roman" w:eastAsia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2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изоляции</w:t>
            </w:r>
          </w:p>
        </w:tc>
        <w:tc>
          <w:tcPr>
            <w:tcW w:w="3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6435" w:leader="none"/>
                <w:tab w:val="left" w:pos="7875" w:leader="none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сшитый полиэтилен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3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0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1"/>
              </w:numPr>
              <w:suppressAutoHyphens w:val="true"/>
              <w:bidi w:val="0"/>
              <w:spacing w:lineRule="auto" w:line="240" w:before="60" w:after="0"/>
              <w:ind w:left="1134" w:right="0" w:hanging="1020"/>
              <w:contextualSpacing/>
              <w:jc w:val="center"/>
              <w:rPr>
                <w:rFonts w:ascii="Times New Roman" w:hAnsi="Times New Roman" w:eastAsia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>‍</w:t>
            </w:r>
          </w:p>
        </w:tc>
        <w:tc>
          <w:tcPr>
            <w:tcW w:w="2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 заземления экрана</w:t>
            </w:r>
          </w:p>
        </w:tc>
        <w:tc>
          <w:tcPr>
            <w:tcW w:w="3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одностороннее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</w:r>
          </w:p>
        </w:tc>
        <w:tc>
          <w:tcPr>
            <w:tcW w:w="3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1"/>
              </w:numPr>
              <w:suppressAutoHyphens w:val="true"/>
              <w:bidi w:val="0"/>
              <w:spacing w:lineRule="auto" w:line="240" w:before="60" w:after="0"/>
              <w:ind w:left="1134" w:right="0" w:hanging="1020"/>
              <w:contextualSpacing/>
              <w:jc w:val="center"/>
              <w:rPr>
                <w:rFonts w:ascii="Times New Roman" w:hAnsi="Times New Roman" w:eastAsia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Сечение токопроводящей  жилы, мм2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2000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i/>
                <w:i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0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1"/>
              </w:numPr>
              <w:suppressAutoHyphens w:val="true"/>
              <w:bidi w:val="0"/>
              <w:spacing w:lineRule="auto" w:line="240" w:before="60" w:after="0"/>
              <w:ind w:left="1134" w:right="0" w:hanging="1020"/>
              <w:contextualSpacing/>
              <w:jc w:val="center"/>
              <w:rPr>
                <w:rFonts w:ascii="Times New Roman" w:hAnsi="Times New Roman" w:eastAsia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2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Сечение экрана кабеля,мм2</w:t>
            </w:r>
          </w:p>
        </w:tc>
        <w:tc>
          <w:tcPr>
            <w:tcW w:w="3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265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3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0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1"/>
              </w:numPr>
              <w:suppressAutoHyphens w:val="true"/>
              <w:bidi w:val="0"/>
              <w:spacing w:lineRule="auto" w:line="240" w:before="60" w:after="0"/>
              <w:ind w:left="1134" w:right="0" w:hanging="1020"/>
              <w:contextualSpacing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Times New Roman"/>
                <w:bCs w:val="false"/>
                <w:iCs w:val="false"/>
                <w:sz w:val="24"/>
                <w:szCs w:val="24"/>
              </w:rPr>
              <w:t>‍</w:t>
            </w:r>
          </w:p>
        </w:tc>
        <w:tc>
          <w:tcPr>
            <w:tcW w:w="2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М</w:t>
            </w:r>
            <w:r>
              <w:rPr>
                <w:sz w:val="24"/>
                <w:szCs w:val="24"/>
              </w:rPr>
              <w:t>атериал экрана кабеля</w:t>
            </w:r>
          </w:p>
        </w:tc>
        <w:tc>
          <w:tcPr>
            <w:tcW w:w="3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медь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3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0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1"/>
              </w:numPr>
              <w:suppressAutoHyphens w:val="true"/>
              <w:bidi w:val="0"/>
              <w:spacing w:lineRule="auto" w:line="240" w:before="60" w:after="0"/>
              <w:ind w:left="1134" w:right="0" w:hanging="1020"/>
              <w:contextualSpacing/>
              <w:jc w:val="center"/>
              <w:rPr>
                <w:rFonts w:ascii="Times New Roman" w:hAnsi="Times New Roman" w:eastAsia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2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spacing w:val="0"/>
                <w:sz w:val="24"/>
                <w:szCs w:val="24"/>
              </w:rPr>
              <w:t>Наибольший длительный рабочий ток фазы при температуре окружающей среды +40⁰С, А</w:t>
            </w:r>
          </w:p>
        </w:tc>
        <w:tc>
          <w:tcPr>
            <w:tcW w:w="3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spacing w:before="0" w:after="12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color w:val="auto"/>
                <w:spacing w:val="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auto"/>
                <w:spacing w:val="0"/>
                <w:kern w:val="0"/>
                <w:sz w:val="24"/>
                <w:szCs w:val="24"/>
                <w:lang w:val="ru-RU" w:eastAsia="ru-RU" w:bidi="ar-SA"/>
              </w:rPr>
              <w:t>2000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3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0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1"/>
              </w:numPr>
              <w:suppressAutoHyphens w:val="true"/>
              <w:bidi w:val="0"/>
              <w:spacing w:lineRule="auto" w:line="240" w:before="60" w:after="0"/>
              <w:ind w:left="1134" w:right="0" w:hanging="1020"/>
              <w:contextualSpacing/>
              <w:jc w:val="center"/>
              <w:rPr>
                <w:rFonts w:ascii="Times New Roman" w:hAnsi="Times New Roman" w:eastAsia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>‍</w:t>
            </w:r>
          </w:p>
        </w:tc>
        <w:tc>
          <w:tcPr>
            <w:tcW w:w="2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Допустимый ток однофазного короткого замыкания в течение 1 сек на экране, кА</w:t>
            </w:r>
          </w:p>
        </w:tc>
        <w:tc>
          <w:tcPr>
            <w:tcW w:w="3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spacing w:before="0" w:after="12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50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3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0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1"/>
              </w:numPr>
              <w:suppressAutoHyphens w:val="true"/>
              <w:bidi w:val="0"/>
              <w:spacing w:lineRule="auto" w:line="240" w:before="60" w:after="0"/>
              <w:ind w:left="1134" w:right="0" w:hanging="1020"/>
              <w:contextualSpacing/>
              <w:jc w:val="center"/>
              <w:rPr>
                <w:rFonts w:ascii="Times New Roman" w:hAnsi="Times New Roman" w:eastAsia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2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Испытательное напряжение постоянного тока защитной оболочки, 1 мин., кВ</w:t>
            </w:r>
          </w:p>
        </w:tc>
        <w:tc>
          <w:tcPr>
            <w:tcW w:w="3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после прокладки, 10кВ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</w:r>
          </w:p>
        </w:tc>
        <w:tc>
          <w:tcPr>
            <w:tcW w:w="3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1"/>
              </w:numPr>
              <w:suppressAutoHyphens w:val="true"/>
              <w:bidi w:val="0"/>
              <w:spacing w:lineRule="auto" w:line="240" w:before="60" w:after="0"/>
              <w:ind w:left="1134" w:right="0" w:hanging="1020"/>
              <w:contextualSpacing/>
              <w:jc w:val="center"/>
              <w:rPr>
                <w:rFonts w:ascii="Times New Roman" w:hAnsi="Times New Roman" w:eastAsia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Температура окружающей среды при эксплуатации кабеля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6435" w:leader="none"/>
                <w:tab w:val="left" w:pos="7875" w:leader="none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от -60°С до 50°С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0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1"/>
              </w:numPr>
              <w:suppressAutoHyphens w:val="true"/>
              <w:bidi w:val="0"/>
              <w:spacing w:lineRule="auto" w:line="240" w:before="60" w:after="0"/>
              <w:ind w:left="1134" w:right="0" w:hanging="1020"/>
              <w:contextualSpacing/>
              <w:jc w:val="center"/>
              <w:rPr>
                <w:rFonts w:ascii="Times New Roman" w:hAnsi="Times New Roman" w:eastAsia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2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Условия хранения по ГОСТ 15150-69</w:t>
            </w:r>
          </w:p>
        </w:tc>
        <w:tc>
          <w:tcPr>
            <w:tcW w:w="3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8ОЖ3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3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09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60" w:after="0"/>
              <w:contextualSpacing/>
              <w:jc w:val="center"/>
              <w:rPr>
                <w:rFonts w:ascii="Times New Roman" w:hAnsi="Times New Roman" w:eastAsia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63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/>
                <w:i w:val="false"/>
                <w:iCs w:val="false"/>
                <w:sz w:val="24"/>
                <w:szCs w:val="24"/>
              </w:rPr>
              <w:t>-//-</w:t>
            </w: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109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1"/>
                <w:numId w:val="1"/>
              </w:numPr>
              <w:suppressAutoHyphens w:val="true"/>
              <w:bidi w:val="0"/>
              <w:spacing w:lineRule="auto" w:line="240" w:before="60" w:after="0"/>
              <w:ind w:left="1134" w:right="0" w:hanging="964"/>
              <w:contextualSpacing/>
              <w:jc w:val="center"/>
              <w:rPr>
                <w:rFonts w:ascii="Times New Roman" w:hAnsi="Times New Roman" w:eastAsia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2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Место поставки</w:t>
            </w:r>
          </w:p>
        </w:tc>
        <w:tc>
          <w:tcPr>
            <w:tcW w:w="3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Продукция должна быть доставлена Поставщиком по адресу:</w:t>
            </w:r>
            <w:r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iCs/>
                <w:sz w:val="24"/>
                <w:szCs w:val="24"/>
              </w:rPr>
              <w:t>Московская область, Сергиево-Посадский г.о., пгт. Богородское, д. 100.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Поставляемая продукция должна пройти все, предусмотренные законодательством Российской Федерации (и применимым законодательством других государств), процедуры таможенной очистки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09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1"/>
                <w:numId w:val="1"/>
              </w:numPr>
              <w:suppressAutoHyphens w:val="true"/>
              <w:bidi w:val="0"/>
              <w:spacing w:lineRule="auto" w:line="240" w:before="60" w:after="0"/>
              <w:ind w:left="1134" w:right="0" w:hanging="964"/>
              <w:contextualSpacing/>
              <w:jc w:val="center"/>
              <w:rPr>
                <w:rFonts w:ascii="Times New Roman" w:hAnsi="Times New Roman" w:eastAsia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2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Таможенная очистка и доставка до места назначения (площадка строительства)</w:t>
            </w:r>
          </w:p>
        </w:tc>
        <w:tc>
          <w:tcPr>
            <w:tcW w:w="3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осуществляется за счет подрядчика и включено в стоимость оборудования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3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09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1"/>
                <w:numId w:val="1"/>
              </w:numPr>
              <w:suppressAutoHyphens w:val="true"/>
              <w:bidi w:val="0"/>
              <w:spacing w:lineRule="auto" w:line="240" w:before="60" w:after="0"/>
              <w:ind w:left="1134" w:right="0" w:hanging="964"/>
              <w:contextualSpacing/>
              <w:jc w:val="center"/>
              <w:rPr>
                <w:rFonts w:ascii="Times New Roman" w:hAnsi="Times New Roman" w:eastAsia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2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Условия поставки</w:t>
            </w:r>
          </w:p>
        </w:tc>
        <w:tc>
          <w:tcPr>
            <w:tcW w:w="3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Приемка продукции производится в рабочие дни с 9-00 до 11-00 и с 13-00 до 16-00.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09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1"/>
                <w:numId w:val="1"/>
              </w:numPr>
              <w:suppressAutoHyphens w:val="true"/>
              <w:bidi w:val="0"/>
              <w:spacing w:lineRule="auto" w:line="240" w:before="60" w:after="0"/>
              <w:ind w:left="1134" w:right="0" w:hanging="964"/>
              <w:contextualSpacing/>
              <w:jc w:val="center"/>
              <w:rPr>
                <w:rFonts w:ascii="Times New Roman" w:hAnsi="Times New Roman" w:eastAsia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2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iCs/>
                <w:sz w:val="24"/>
                <w:szCs w:val="24"/>
                <w:lang w:val="en-US"/>
              </w:rPr>
              <w:t>Требования к упаковке</w:t>
            </w:r>
          </w:p>
        </w:tc>
        <w:tc>
          <w:tcPr>
            <w:tcW w:w="3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iCs/>
                <w:sz w:val="24"/>
                <w:szCs w:val="24"/>
                <w:lang w:val="en-US"/>
              </w:rPr>
              <w:t>В заводской упаковке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09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1"/>
                <w:numId w:val="1"/>
              </w:numPr>
              <w:suppressAutoHyphens w:val="true"/>
              <w:bidi w:val="0"/>
              <w:spacing w:lineRule="auto" w:line="240" w:before="60" w:after="0"/>
              <w:ind w:left="1134" w:right="0" w:hanging="964"/>
              <w:contextualSpacing/>
              <w:jc w:val="center"/>
              <w:rPr>
                <w:rFonts w:ascii="Times New Roman" w:hAnsi="Times New Roman" w:eastAsia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2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Условия транспортирования согласно ГОСТ 23216</w:t>
            </w:r>
          </w:p>
        </w:tc>
        <w:tc>
          <w:tcPr>
            <w:tcW w:w="3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72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Средние (С)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3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09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60" w:after="0"/>
              <w:contextualSpacing/>
              <w:jc w:val="center"/>
              <w:rPr>
                <w:rFonts w:ascii="Times New Roman" w:hAnsi="Times New Roman" w:eastAsia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63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-//-</w:t>
            </w: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1"/>
              </w:numPr>
              <w:suppressAutoHyphens w:val="true"/>
              <w:bidi w:val="0"/>
              <w:spacing w:lineRule="auto" w:line="240" w:before="60" w:after="0"/>
              <w:ind w:left="1134" w:right="0" w:hanging="850"/>
              <w:contextualSpacing/>
              <w:jc w:val="center"/>
              <w:rPr>
                <w:rFonts w:ascii="Times New Roman" w:hAnsi="Times New Roman" w:eastAsia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Гарантийный срок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унифицированной формы ТОРГ-12 / УПД не менее 60 месяцев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2"/>
              <w:keepNext w:val="false"/>
              <w:widowControl w:val="false"/>
              <w:numPr>
                <w:ilvl w:val="0"/>
                <w:numId w:val="0"/>
              </w:numPr>
              <w:spacing w:before="0" w:after="0"/>
              <w:ind w:left="0" w:hanging="0"/>
              <w:jc w:val="left"/>
              <w:outlineLvl w:val="2"/>
              <w:rPr>
                <w:rFonts w:ascii="Times New Roman" w:hAnsi="Times New Roman" w:eastAsia="Times New Roman"/>
                <w:b w:val="false"/>
                <w:sz w:val="24"/>
                <w:szCs w:val="24"/>
                <w:lang w:val="ru-RU" w:eastAsia="ru-RU"/>
              </w:rPr>
            </w:pPr>
            <w:bookmarkStart w:id="33" w:name="__RefHeading___Toc13782_3525351776"/>
            <w:bookmarkEnd w:id="33"/>
            <w:r>
              <w:rPr>
                <w:rFonts w:eastAsia="Times New Roman"/>
                <w:b w:val="false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0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3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3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2"/>
              <w:keepNext w:val="false"/>
              <w:widowControl w:val="false"/>
              <w:numPr>
                <w:ilvl w:val="0"/>
                <w:numId w:val="0"/>
              </w:numPr>
              <w:spacing w:before="0" w:after="0"/>
              <w:ind w:left="0" w:hanging="0"/>
              <w:jc w:val="left"/>
              <w:outlineLvl w:val="2"/>
              <w:rPr>
                <w:rFonts w:ascii="Times New Roman" w:hAnsi="Times New Roman" w:eastAsia="Times New Roman"/>
                <w:b w:val="false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b w:val="false"/>
                <w:sz w:val="24"/>
                <w:szCs w:val="24"/>
                <w:lang w:val="ru-RU" w:eastAsia="ru-RU"/>
              </w:rPr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0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1"/>
              </w:numPr>
              <w:suppressAutoHyphens w:val="true"/>
              <w:bidi w:val="0"/>
              <w:spacing w:lineRule="auto" w:line="240" w:before="0" w:after="0"/>
              <w:ind w:left="-113" w:right="0" w:firstLine="34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217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iCs/>
                <w:kern w:val="0"/>
                <w:sz w:val="24"/>
                <w:szCs w:val="24"/>
                <w:lang w:val="ru-RU" w:bidi="ar-SA"/>
              </w:rPr>
              <w:t xml:space="preserve">Документы, передаваемые вместе с  </w:t>
            </w:r>
            <w:r>
              <w:rPr>
                <w:iCs/>
                <w:kern w:val="0"/>
                <w:sz w:val="24"/>
                <w:szCs w:val="24"/>
                <w:lang w:val="ru-RU" w:eastAsia="x-none" w:bidi="ar-SA"/>
              </w:rPr>
              <w:t>продукцией</w:t>
            </w:r>
          </w:p>
        </w:tc>
        <w:tc>
          <w:tcPr>
            <w:tcW w:w="3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iCs/>
                <w:kern w:val="0"/>
                <w:sz w:val="24"/>
                <w:szCs w:val="24"/>
                <w:lang w:val="ru-RU" w:bidi="ar-SA"/>
              </w:rPr>
              <w:t xml:space="preserve">Поставщик обязан одновременно с передачей </w:t>
            </w:r>
            <w:r>
              <w:rPr>
                <w:iCs/>
                <w:kern w:val="0"/>
                <w:sz w:val="24"/>
                <w:szCs w:val="24"/>
                <w:lang w:val="ru-RU" w:eastAsia="x-none" w:bidi="ar-SA"/>
              </w:rPr>
              <w:t xml:space="preserve">продукции </w:t>
            </w:r>
            <w:r>
              <w:rPr>
                <w:iCs/>
                <w:kern w:val="0"/>
                <w:sz w:val="24"/>
                <w:szCs w:val="24"/>
                <w:lang w:val="ru-RU" w:bidi="ar-SA"/>
              </w:rPr>
              <w:t>передать Покупателю относящиеся к нему, не ограничиваясь, следующие документы:</w:t>
            </w:r>
          </w:p>
          <w:p>
            <w:pPr>
              <w:pStyle w:val="Normal"/>
              <w:widowControl w:val="false"/>
              <w:numPr>
                <w:ilvl w:val="0"/>
                <w:numId w:val="13"/>
              </w:numPr>
              <w:suppressAutoHyphens w:val="true"/>
              <w:spacing w:before="0" w:after="0"/>
              <w:ind w:left="48" w:hanging="4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iCs/>
                <w:kern w:val="0"/>
                <w:sz w:val="24"/>
                <w:szCs w:val="24"/>
                <w:lang w:val="ru-RU" w:bidi="ar-SA"/>
              </w:rPr>
              <w:t>сертификаты качества;</w:t>
            </w:r>
          </w:p>
          <w:p>
            <w:pPr>
              <w:pStyle w:val="Normal"/>
              <w:widowControl w:val="false"/>
              <w:numPr>
                <w:ilvl w:val="0"/>
                <w:numId w:val="13"/>
              </w:numPr>
              <w:suppressAutoHyphens w:val="true"/>
              <w:spacing w:before="0" w:after="0"/>
              <w:ind w:left="48" w:hanging="4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iCs/>
                <w:kern w:val="0"/>
                <w:sz w:val="24"/>
                <w:szCs w:val="24"/>
                <w:lang w:val="ru-RU" w:bidi="ar-SA"/>
              </w:rPr>
              <w:t>эксплуатационная документация (паспорт, руководство по эксплуатации, протоколы приёмо-сдаточных испытаний).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48" w:hanging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iCs/>
                <w:kern w:val="0"/>
                <w:sz w:val="24"/>
                <w:szCs w:val="24"/>
                <w:lang w:val="ru-RU" w:bidi="ar-SA"/>
              </w:rPr>
              <w:t>Перечисленные выше документы предоставляются Заказчику вместе с поставляемой продукцией в электронном виде и на бумажном носителе на русском языке.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217" w:leader="none"/>
              </w:tabs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i/>
                <w:iCs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3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0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-117" w:right="0" w:firstLine="14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b/>
                <w:bCs/>
                <w:color w:val="auto"/>
                <w:kern w:val="0"/>
                <w:sz w:val="24"/>
                <w:szCs w:val="24"/>
                <w:lang w:val="ru-RU" w:eastAsia="ru-RU" w:bidi="ar-SA"/>
              </w:rPr>
              <w:t>5.</w:t>
            </w:r>
          </w:p>
        </w:tc>
        <w:tc>
          <w:tcPr>
            <w:tcW w:w="2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Прочие (дополнительные) требования к продукции</w:t>
            </w:r>
          </w:p>
        </w:tc>
        <w:tc>
          <w:tcPr>
            <w:tcW w:w="3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3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0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-117" w:right="0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5.1.</w:t>
            </w:r>
          </w:p>
        </w:tc>
        <w:tc>
          <w:tcPr>
            <w:tcW w:w="2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bCs w:val="false"/>
                <w:kern w:val="0"/>
                <w:sz w:val="24"/>
                <w:szCs w:val="24"/>
                <w:lang w:val="ru-RU" w:bidi="ar-SA"/>
              </w:rPr>
              <w:t>Требования к происхождению поставляемой продукции</w:t>
            </w:r>
          </w:p>
        </w:tc>
        <w:tc>
          <w:tcPr>
            <w:tcW w:w="3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bCs w:val="false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b w:val="false"/>
                <w:bCs w:val="false"/>
                <w:kern w:val="0"/>
                <w:sz w:val="24"/>
                <w:szCs w:val="24"/>
                <w:lang w:val="ru-RU" w:bidi="ar-SA"/>
              </w:rPr>
              <w:t>Постановлением Правительства Российской Федерации от 23.12.2024 №1875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предоставляется преимущество для товаров российского происхождения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i/>
                <w:iCs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3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Необходимо указать в Спецификации  поставляемого оборудования и материалов (Приложение 1 к Техническим требованиям) информацию о стране происхождения товара в соответствии с Общероссийским классификатором стран мира (утв. Постановлением Госстандарта России от 14.12.2001 N 529-ст.).  А также документы и информацию, подтверждающие страну происхождения товара в соответствии с требованиями п.3 Постановления Правительства Российской Федерации от 23 декабря 2024 г.  N 1875 “О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лиц”.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0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left="170" w:right="567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b/>
                <w:bCs/>
                <w:color w:val="auto"/>
                <w:sz w:val="24"/>
                <w:szCs w:val="24"/>
                <w:lang w:val="ru-RU" w:eastAsia="ru-RU" w:bidi="ar-SA"/>
              </w:rPr>
              <w:t>6</w:t>
            </w:r>
          </w:p>
        </w:tc>
        <w:tc>
          <w:tcPr>
            <w:tcW w:w="2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Требования к экономическим параметрам</w:t>
            </w:r>
          </w:p>
        </w:tc>
        <w:tc>
          <w:tcPr>
            <w:tcW w:w="3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3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2"/>
              <w:keepNext w:val="false"/>
              <w:widowControl w:val="false"/>
              <w:numPr>
                <w:ilvl w:val="0"/>
                <w:numId w:val="0"/>
              </w:numPr>
              <w:spacing w:before="0" w:after="0"/>
              <w:ind w:left="0" w:hanging="0"/>
              <w:jc w:val="left"/>
              <w:outlineLvl w:val="2"/>
              <w:rPr>
                <w:rFonts w:ascii="Times New Roman" w:hAnsi="Times New Roman" w:eastAsia="Times New Roman"/>
                <w:b w:val="false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b w:val="false"/>
                <w:sz w:val="24"/>
                <w:szCs w:val="24"/>
                <w:lang w:val="ru-RU" w:eastAsia="ru-RU"/>
              </w:rPr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0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60" w:after="60"/>
              <w:ind w:left="-117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6.1</w:t>
            </w:r>
          </w:p>
        </w:tc>
        <w:tc>
          <w:tcPr>
            <w:tcW w:w="2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iCs/>
                <w:kern w:val="0"/>
                <w:sz w:val="24"/>
                <w:szCs w:val="24"/>
                <w:lang w:val="ru-RU" w:bidi="ar-SA"/>
              </w:rPr>
              <w:t>Назначенный срок службы</w:t>
            </w:r>
          </w:p>
        </w:tc>
        <w:tc>
          <w:tcPr>
            <w:tcW w:w="3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48" w:firstLine="42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iCs/>
                <w:kern w:val="0"/>
                <w:sz w:val="24"/>
                <w:szCs w:val="24"/>
                <w:lang w:val="ru-RU" w:bidi="ar-SA"/>
              </w:rPr>
              <w:t xml:space="preserve">      </w:t>
            </w:r>
            <w:r>
              <w:rPr>
                <w:iCs/>
                <w:kern w:val="0"/>
                <w:sz w:val="24"/>
                <w:szCs w:val="24"/>
                <w:lang w:val="ru-RU" w:bidi="ar-SA"/>
              </w:rPr>
              <w:t xml:space="preserve">не менее </w:t>
            </w:r>
            <w:r>
              <w:rPr>
                <w:iCs/>
                <w:kern w:val="0"/>
                <w:sz w:val="24"/>
                <w:szCs w:val="24"/>
                <w:lang w:val="en-US" w:bidi="ar-SA"/>
              </w:rPr>
              <w:t>40</w:t>
            </w:r>
            <w:r>
              <w:rPr>
                <w:iCs/>
                <w:kern w:val="0"/>
                <w:sz w:val="24"/>
                <w:szCs w:val="24"/>
                <w:lang w:val="ru-RU" w:bidi="ar-SA"/>
              </w:rPr>
              <w:t xml:space="preserve"> лет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i/>
                <w:iCs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3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Heading1"/>
        <w:numPr>
          <w:ilvl w:val="0"/>
          <w:numId w:val="0"/>
        </w:numPr>
        <w:ind w:left="0" w:hanging="0"/>
        <w:rPr>
          <w:b w:val="false"/>
          <w:bCs/>
          <w:iCs/>
          <w:sz w:val="24"/>
          <w:szCs w:val="24"/>
        </w:rPr>
      </w:pPr>
      <w:r>
        <w:rPr>
          <w:b w:val="false"/>
          <w:bCs/>
          <w:iCs/>
          <w:sz w:val="24"/>
          <w:szCs w:val="24"/>
        </w:rPr>
      </w:r>
    </w:p>
    <w:p>
      <w:pPr>
        <w:pStyle w:val="Heading1"/>
        <w:numPr>
          <w:ilvl w:val="0"/>
          <w:numId w:val="0"/>
        </w:numPr>
        <w:ind w:left="0" w:hanging="0"/>
        <w:rPr>
          <w:b w:val="false"/>
          <w:bCs/>
          <w:iCs/>
          <w:sz w:val="24"/>
          <w:szCs w:val="24"/>
        </w:rPr>
      </w:pPr>
      <w:bookmarkStart w:id="34" w:name="__RefHeading___Toc4326_1446605355"/>
      <w:bookmarkStart w:id="35" w:name="_Toc172202389_Копия_1"/>
      <w:bookmarkEnd w:id="34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 xml:space="preserve">Позиция № 2 Таблицы 1.1 </w:t>
      </w:r>
      <w:r>
        <w:rPr>
          <w:bCs/>
          <w:iCs/>
          <w:color w:val="000000"/>
          <w:sz w:val="24"/>
          <w:szCs w:val="24"/>
        </w:rPr>
        <w:t>настоящих технических трбований</w:t>
      </w:r>
      <w:r>
        <w:rPr>
          <w:bCs/>
          <w:iCs/>
          <w:sz w:val="24"/>
          <w:szCs w:val="24"/>
        </w:rPr>
        <w:t xml:space="preserve">: </w:t>
      </w:r>
      <w:bookmarkEnd w:id="35"/>
      <w:r>
        <w:rPr>
          <w:bCs/>
          <w:iCs/>
          <w:sz w:val="24"/>
          <w:szCs w:val="24"/>
        </w:rPr>
        <w:t xml:space="preserve">Муфта концевая до 10 кВ </w:t>
      </w:r>
    </w:p>
    <w:tbl>
      <w:tblPr>
        <w:tblStyle w:val="1c"/>
        <w:tblW w:w="1516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064"/>
        <w:gridCol w:w="2955"/>
        <w:gridCol w:w="3466"/>
        <w:gridCol w:w="2550"/>
        <w:gridCol w:w="3795"/>
        <w:gridCol w:w="1337"/>
      </w:tblGrid>
      <w:tr>
        <w:trPr/>
        <w:tc>
          <w:tcPr>
            <w:tcW w:w="106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 xml:space="preserve">№ </w:t>
            </w: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п/п</w:t>
            </w:r>
          </w:p>
        </w:tc>
        <w:tc>
          <w:tcPr>
            <w:tcW w:w="295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Наименование параметра</w:t>
            </w:r>
          </w:p>
        </w:tc>
        <w:tc>
          <w:tcPr>
            <w:tcW w:w="346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Требование заказчика</w:t>
            </w:r>
          </w:p>
        </w:tc>
        <w:tc>
          <w:tcPr>
            <w:tcW w:w="6345" w:type="dxa"/>
            <w:gridSpan w:val="2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133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106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95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346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55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Согласие с требованием/ указание характеристик</w:t>
            </w:r>
          </w:p>
        </w:tc>
        <w:tc>
          <w:tcPr>
            <w:tcW w:w="3795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33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106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1</w:t>
            </w:r>
          </w:p>
        </w:tc>
        <w:tc>
          <w:tcPr>
            <w:tcW w:w="295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2</w:t>
            </w:r>
          </w:p>
        </w:tc>
        <w:tc>
          <w:tcPr>
            <w:tcW w:w="346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3</w:t>
            </w:r>
          </w:p>
        </w:tc>
        <w:tc>
          <w:tcPr>
            <w:tcW w:w="255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4</w:t>
            </w:r>
          </w:p>
        </w:tc>
        <w:tc>
          <w:tcPr>
            <w:tcW w:w="3795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5</w:t>
            </w:r>
          </w:p>
        </w:tc>
        <w:tc>
          <w:tcPr>
            <w:tcW w:w="133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>
        <w:trPr/>
        <w:tc>
          <w:tcPr>
            <w:tcW w:w="1064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4"/>
              </w:numPr>
              <w:suppressAutoHyphens w:val="true"/>
              <w:spacing w:before="0" w:after="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6421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Требования к конструкции, изготовлению и материалам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3795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133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64" w:type="dxa"/>
            <w:tcBorders/>
          </w:tcPr>
          <w:p>
            <w:pPr>
              <w:pStyle w:val="Normal"/>
              <w:widowControl w:val="false"/>
              <w:numPr>
                <w:ilvl w:val="1"/>
                <w:numId w:val="14"/>
              </w:numPr>
              <w:suppressAutoHyphens w:val="true"/>
              <w:spacing w:before="0" w:after="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29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Тип муфты</w:t>
            </w:r>
          </w:p>
        </w:tc>
        <w:tc>
          <w:tcPr>
            <w:tcW w:w="3466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contextualSpacing/>
              <w:jc w:val="left"/>
              <w:rPr/>
            </w:pPr>
            <w:r>
              <w:rPr>
                <w:rFonts w:eastAsia="Calibri"/>
                <w:kern w:val="0"/>
                <w:sz w:val="24"/>
                <w:szCs w:val="24"/>
                <w:lang w:val="en-US" w:bidi="ar-SA"/>
              </w:rPr>
              <w:t>концевая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i/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3795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133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064" w:type="dxa"/>
            <w:tcBorders/>
          </w:tcPr>
          <w:p>
            <w:pPr>
              <w:pStyle w:val="Normal"/>
              <w:widowControl w:val="false"/>
              <w:numPr>
                <w:ilvl w:val="1"/>
                <w:numId w:val="14"/>
              </w:numPr>
              <w:suppressAutoHyphens w:val="true"/>
              <w:spacing w:before="0" w:after="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29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  <w:lang w:val="en-US"/>
              </w:rPr>
            </w:pPr>
            <w:r>
              <w:rPr>
                <w:kern w:val="0"/>
                <w:sz w:val="24"/>
                <w:szCs w:val="24"/>
                <w:lang w:val="en-US" w:bidi="ar-SA"/>
              </w:rPr>
              <w:t>Номинальное измеряемое значение, до кВ</w:t>
            </w:r>
          </w:p>
        </w:tc>
        <w:tc>
          <w:tcPr>
            <w:tcW w:w="3466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contextualSpacing/>
              <w:jc w:val="left"/>
              <w:rPr>
                <w:sz w:val="24"/>
                <w:szCs w:val="24"/>
                <w:lang w:val="en-US"/>
              </w:rPr>
            </w:pPr>
            <w:r>
              <w:rPr>
                <w:kern w:val="0"/>
                <w:sz w:val="24"/>
                <w:szCs w:val="24"/>
                <w:lang w:val="en-US" w:bidi="ar-SA"/>
              </w:rPr>
              <w:t>10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3795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133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064" w:type="dxa"/>
            <w:tcBorders/>
          </w:tcPr>
          <w:p>
            <w:pPr>
              <w:pStyle w:val="Normal"/>
              <w:widowControl w:val="false"/>
              <w:numPr>
                <w:ilvl w:val="1"/>
                <w:numId w:val="14"/>
              </w:numPr>
              <w:suppressAutoHyphens w:val="true"/>
              <w:spacing w:before="0" w:after="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29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kern w:val="0"/>
                <w:sz w:val="24"/>
                <w:szCs w:val="24"/>
                <w:lang w:val="en-US" w:bidi="ar-SA"/>
              </w:rPr>
              <w:t>Изоляция кабеля</w:t>
            </w:r>
          </w:p>
        </w:tc>
        <w:tc>
          <w:tcPr>
            <w:tcW w:w="346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kern w:val="0"/>
                <w:sz w:val="24"/>
                <w:szCs w:val="24"/>
                <w:lang w:val="ru-RU" w:bidi="ar-SA"/>
              </w:rPr>
              <w:t>Бумажная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i/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3795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133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064" w:type="dxa"/>
            <w:tcBorders/>
          </w:tcPr>
          <w:p>
            <w:pPr>
              <w:pStyle w:val="Normal"/>
              <w:widowControl w:val="false"/>
              <w:numPr>
                <w:ilvl w:val="1"/>
                <w:numId w:val="14"/>
              </w:numPr>
              <w:suppressAutoHyphens w:val="true"/>
              <w:spacing w:before="0" w:after="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29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kern w:val="0"/>
                <w:sz w:val="24"/>
                <w:szCs w:val="24"/>
                <w:lang w:val="en-US" w:bidi="ar-SA"/>
              </w:rPr>
              <w:t>Количество жил кабеля</w:t>
            </w:r>
          </w:p>
        </w:tc>
        <w:tc>
          <w:tcPr>
            <w:tcW w:w="346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kern w:val="0"/>
                <w:sz w:val="24"/>
                <w:szCs w:val="24"/>
                <w:lang w:val="en-US" w:bidi="ar-SA"/>
              </w:rPr>
              <w:t>3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3795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133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064" w:type="dxa"/>
            <w:tcBorders/>
          </w:tcPr>
          <w:p>
            <w:pPr>
              <w:pStyle w:val="Normal"/>
              <w:widowControl w:val="false"/>
              <w:numPr>
                <w:ilvl w:val="1"/>
                <w:numId w:val="14"/>
              </w:numPr>
              <w:suppressAutoHyphens w:val="true"/>
              <w:spacing w:before="0" w:after="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29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kern w:val="0"/>
                <w:sz w:val="24"/>
                <w:szCs w:val="24"/>
                <w:lang w:val="ru-RU" w:bidi="ar-SA"/>
              </w:rPr>
              <w:t>Сечения кабеля, мм²</w:t>
            </w:r>
          </w:p>
        </w:tc>
        <w:tc>
          <w:tcPr>
            <w:tcW w:w="346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kern w:val="0"/>
                <w:sz w:val="24"/>
                <w:szCs w:val="24"/>
                <w:lang w:val="ru-RU" w:bidi="ar-SA"/>
              </w:rPr>
              <w:t>70/95/120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3795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133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064" w:type="dxa"/>
            <w:tcBorders/>
          </w:tcPr>
          <w:p>
            <w:pPr>
              <w:pStyle w:val="Normal"/>
              <w:widowControl w:val="false"/>
              <w:numPr>
                <w:ilvl w:val="1"/>
                <w:numId w:val="14"/>
              </w:numPr>
              <w:suppressAutoHyphens w:val="true"/>
              <w:spacing w:before="0" w:after="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29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kern w:val="0"/>
                <w:sz w:val="24"/>
                <w:szCs w:val="24"/>
                <w:lang w:val="en-US" w:bidi="ar-SA"/>
              </w:rPr>
              <w:t>Вид установки</w:t>
            </w:r>
          </w:p>
        </w:tc>
        <w:tc>
          <w:tcPr>
            <w:tcW w:w="346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kern w:val="0"/>
                <w:sz w:val="24"/>
                <w:szCs w:val="24"/>
                <w:lang w:val="ru-RU" w:bidi="ar-SA"/>
              </w:rPr>
              <w:t>внутренний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3795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133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064" w:type="dxa"/>
            <w:tcBorders/>
          </w:tcPr>
          <w:p>
            <w:pPr>
              <w:pStyle w:val="Normal"/>
              <w:widowControl w:val="false"/>
              <w:numPr>
                <w:ilvl w:val="1"/>
                <w:numId w:val="14"/>
              </w:numPr>
              <w:suppressAutoHyphens w:val="true"/>
              <w:spacing w:before="0" w:after="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29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kern w:val="0"/>
                <w:sz w:val="24"/>
                <w:szCs w:val="24"/>
                <w:lang w:val="ru-RU" w:bidi="ar-SA"/>
              </w:rPr>
              <w:t>Комплектация</w:t>
            </w:r>
          </w:p>
        </w:tc>
        <w:tc>
          <w:tcPr>
            <w:tcW w:w="346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kern w:val="0"/>
                <w:sz w:val="24"/>
                <w:szCs w:val="24"/>
                <w:lang w:val="en-US" w:bidi="ar-SA"/>
              </w:rPr>
              <w:t>без болтовых наконечников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3795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133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064" w:type="dxa"/>
            <w:tcBorders/>
          </w:tcPr>
          <w:p>
            <w:pPr>
              <w:pStyle w:val="Normal"/>
              <w:widowControl w:val="false"/>
              <w:numPr>
                <w:ilvl w:val="1"/>
                <w:numId w:val="14"/>
              </w:numPr>
              <w:suppressAutoHyphens w:val="true"/>
              <w:spacing w:before="0" w:after="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29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kern w:val="0"/>
                <w:sz w:val="24"/>
                <w:szCs w:val="24"/>
                <w:lang w:val="en-US" w:bidi="ar-SA"/>
              </w:rPr>
              <w:t>Технология монтажа</w:t>
            </w:r>
          </w:p>
        </w:tc>
        <w:tc>
          <w:tcPr>
            <w:tcW w:w="346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kern w:val="0"/>
                <w:sz w:val="24"/>
                <w:szCs w:val="24"/>
                <w:lang w:val="ru-RU" w:bidi="ar-SA"/>
              </w:rPr>
              <w:t>термоусаживаемая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3795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133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064" w:type="dxa"/>
            <w:tcBorders/>
          </w:tcPr>
          <w:p>
            <w:pPr>
              <w:pStyle w:val="Normal"/>
              <w:widowControl w:val="false"/>
              <w:numPr>
                <w:ilvl w:val="1"/>
                <w:numId w:val="14"/>
              </w:numPr>
              <w:suppressAutoHyphens w:val="true"/>
              <w:spacing w:before="0" w:after="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29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kern w:val="0"/>
                <w:sz w:val="24"/>
                <w:szCs w:val="24"/>
                <w:lang w:val="ru-RU" w:bidi="ar-SA"/>
              </w:rPr>
              <w:t>Температура эксплуатации, ˚С</w:t>
            </w:r>
          </w:p>
        </w:tc>
        <w:tc>
          <w:tcPr>
            <w:tcW w:w="346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kern w:val="0"/>
                <w:sz w:val="24"/>
                <w:szCs w:val="24"/>
                <w:lang w:val="ru-RU" w:bidi="ar-SA"/>
              </w:rPr>
              <w:t>-50°C ... +50°C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3795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133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064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4"/>
              </w:numPr>
              <w:suppressAutoHyphens w:val="true"/>
              <w:spacing w:before="0" w:after="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6421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3795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133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064" w:type="dxa"/>
            <w:tcBorders/>
          </w:tcPr>
          <w:p>
            <w:pPr>
              <w:pStyle w:val="Normal"/>
              <w:widowControl w:val="false"/>
              <w:numPr>
                <w:ilvl w:val="1"/>
                <w:numId w:val="14"/>
              </w:numPr>
              <w:suppressAutoHyphens w:val="true"/>
              <w:spacing w:before="0" w:after="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29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kern w:val="0"/>
                <w:sz w:val="24"/>
                <w:szCs w:val="24"/>
                <w:lang w:val="ru-RU" w:bidi="ar-SA"/>
              </w:rPr>
              <w:t>Место поставки</w:t>
            </w:r>
          </w:p>
        </w:tc>
        <w:tc>
          <w:tcPr>
            <w:tcW w:w="346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kern w:val="0"/>
                <w:sz w:val="24"/>
                <w:szCs w:val="24"/>
                <w:lang w:val="ru-RU" w:bidi="ar-SA"/>
              </w:rPr>
              <w:t>Продукция должна быть доставлена Поставщиком по адресу:</w:t>
            </w:r>
            <w:r>
              <w:rPr>
                <w:i/>
                <w:iCs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iCs/>
                <w:kern w:val="0"/>
                <w:sz w:val="24"/>
                <w:szCs w:val="24"/>
                <w:lang w:val="ru-RU" w:bidi="ar-SA"/>
              </w:rPr>
              <w:t>Московская область, Сергиево-Посадский г.о., пгт. Богородское, д. 100 (склад Покупателя).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kern w:val="0"/>
                <w:sz w:val="24"/>
                <w:szCs w:val="24"/>
                <w:lang w:val="ru-RU" w:bidi="ar-SA"/>
              </w:rPr>
              <w:t>Поставляемая продукция должна пройти все, предусмотренные законодательством Российской Федерации (и применимым законодательством других государств), процедуры таможенной очистки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3795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133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064" w:type="dxa"/>
            <w:tcBorders/>
          </w:tcPr>
          <w:p>
            <w:pPr>
              <w:pStyle w:val="Normal"/>
              <w:widowControl w:val="false"/>
              <w:numPr>
                <w:ilvl w:val="1"/>
                <w:numId w:val="14"/>
              </w:numPr>
              <w:suppressAutoHyphens w:val="true"/>
              <w:spacing w:before="0" w:after="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29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kern w:val="0"/>
                <w:sz w:val="24"/>
                <w:szCs w:val="24"/>
                <w:lang w:val="ru-RU" w:bidi="ar-SA"/>
              </w:rPr>
              <w:t>Условия поставки</w:t>
            </w:r>
          </w:p>
        </w:tc>
        <w:tc>
          <w:tcPr>
            <w:tcW w:w="346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kern w:val="0"/>
                <w:sz w:val="24"/>
                <w:szCs w:val="24"/>
                <w:lang w:val="ru-RU" w:bidi="ar-SA"/>
              </w:rPr>
              <w:t>Приемка продукции производится в рабочие дни с 9-00 до 11-00 и с 13-00 до 16-00.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3795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Cs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133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</w:p>
        </w:tc>
      </w:tr>
      <w:tr>
        <w:trPr/>
        <w:tc>
          <w:tcPr>
            <w:tcW w:w="1064" w:type="dxa"/>
            <w:tcBorders/>
          </w:tcPr>
          <w:p>
            <w:pPr>
              <w:pStyle w:val="Normal"/>
              <w:widowControl w:val="false"/>
              <w:numPr>
                <w:ilvl w:val="1"/>
                <w:numId w:val="14"/>
              </w:numPr>
              <w:suppressAutoHyphens w:val="true"/>
              <w:spacing w:before="0" w:after="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29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kern w:val="0"/>
                <w:sz w:val="24"/>
                <w:szCs w:val="24"/>
                <w:lang w:val="en-US" w:bidi="ar-SA"/>
              </w:rPr>
              <w:t>Требования к упаковке</w:t>
            </w:r>
          </w:p>
        </w:tc>
        <w:tc>
          <w:tcPr>
            <w:tcW w:w="346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  <w:lang w:val="en-US"/>
              </w:rPr>
            </w:pPr>
            <w:r>
              <w:rPr>
                <w:iCs/>
                <w:kern w:val="0"/>
                <w:sz w:val="24"/>
                <w:szCs w:val="24"/>
                <w:lang w:val="en-US" w:bidi="ar-SA"/>
              </w:rPr>
              <w:t>В заводской упаковке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3795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133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064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4"/>
              </w:numPr>
              <w:suppressAutoHyphens w:val="true"/>
              <w:spacing w:before="0" w:after="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6421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Cs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3795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iCs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133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</w:r>
          </w:p>
        </w:tc>
      </w:tr>
      <w:tr>
        <w:trPr/>
        <w:tc>
          <w:tcPr>
            <w:tcW w:w="1064" w:type="dxa"/>
            <w:tcBorders/>
          </w:tcPr>
          <w:p>
            <w:pPr>
              <w:pStyle w:val="Normal"/>
              <w:widowControl w:val="false"/>
              <w:numPr>
                <w:ilvl w:val="1"/>
                <w:numId w:val="14"/>
              </w:numPr>
              <w:suppressAutoHyphens w:val="true"/>
              <w:spacing w:before="0" w:after="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29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  <w:lang w:val="en-US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Срок гарантии</w:t>
            </w:r>
          </w:p>
        </w:tc>
        <w:tc>
          <w:tcPr>
            <w:tcW w:w="346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kern w:val="0"/>
                <w:sz w:val="24"/>
                <w:szCs w:val="24"/>
                <w:lang w:val="ru-RU" w:bidi="ar-SA"/>
              </w:rPr>
              <w:t>С даты подписания унифицированной формы ТОРГ-12 / УПД - 60 месяцев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795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i/>
                <w:i/>
                <w:iCs/>
                <w:sz w:val="24"/>
                <w:szCs w:val="24"/>
              </w:rPr>
            </w:pPr>
            <w:r>
              <w:rPr>
                <w:b/>
                <w:i/>
                <w:iCs/>
                <w:sz w:val="24"/>
                <w:szCs w:val="24"/>
              </w:rPr>
            </w:r>
          </w:p>
        </w:tc>
        <w:tc>
          <w:tcPr>
            <w:tcW w:w="133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i/>
                <w:i/>
                <w:iCs/>
                <w:sz w:val="24"/>
                <w:szCs w:val="24"/>
              </w:rPr>
            </w:pPr>
            <w:r>
              <w:rPr>
                <w:b/>
                <w:i/>
                <w:iCs/>
                <w:sz w:val="24"/>
                <w:szCs w:val="24"/>
              </w:rPr>
            </w:r>
          </w:p>
        </w:tc>
      </w:tr>
      <w:tr>
        <w:trPr/>
        <w:tc>
          <w:tcPr>
            <w:tcW w:w="1064" w:type="dxa"/>
            <w:tcBorders/>
          </w:tcPr>
          <w:p>
            <w:pPr>
              <w:pStyle w:val="Normal"/>
              <w:widowControl w:val="false"/>
              <w:numPr>
                <w:ilvl w:val="1"/>
                <w:numId w:val="14"/>
              </w:numPr>
              <w:suppressAutoHyphens w:val="true"/>
              <w:spacing w:before="0" w:after="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29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en-US" w:bidi="ar-SA"/>
              </w:rPr>
              <w:t>Требования к качеству продукции</w:t>
            </w:r>
          </w:p>
        </w:tc>
        <w:tc>
          <w:tcPr>
            <w:tcW w:w="346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Продукция должна быть новой, ранее не использованной, не бывшей в употреблении, не восстановленной после ремонта, не выставочным экземпляром, технически исправной.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3795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133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064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4"/>
              </w:numPr>
              <w:suppressAutoHyphens w:val="true"/>
              <w:spacing w:before="0" w:after="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6421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3795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133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064" w:type="dxa"/>
            <w:tcBorders/>
          </w:tcPr>
          <w:p>
            <w:pPr>
              <w:pStyle w:val="Normal"/>
              <w:widowControl w:val="false"/>
              <w:numPr>
                <w:ilvl w:val="1"/>
                <w:numId w:val="14"/>
              </w:numPr>
              <w:suppressAutoHyphens w:val="true"/>
              <w:spacing w:before="0" w:after="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295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217" w:leader="none"/>
              </w:tabs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iCs/>
                <w:kern w:val="0"/>
                <w:sz w:val="24"/>
                <w:szCs w:val="24"/>
                <w:lang w:val="ru-RU" w:bidi="ar-SA"/>
              </w:rPr>
              <w:t xml:space="preserve">Документы, передаваемые вместе с  </w:t>
            </w:r>
            <w:r>
              <w:rPr>
                <w:iCs/>
                <w:kern w:val="0"/>
                <w:sz w:val="24"/>
                <w:szCs w:val="24"/>
                <w:lang w:val="ru-RU" w:eastAsia="x-none" w:bidi="ar-SA"/>
              </w:rPr>
              <w:t>продукцией</w:t>
            </w:r>
          </w:p>
        </w:tc>
        <w:tc>
          <w:tcPr>
            <w:tcW w:w="346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kern w:val="0"/>
                <w:sz w:val="24"/>
                <w:szCs w:val="24"/>
                <w:lang w:val="ru-RU" w:bidi="ar-SA"/>
              </w:rPr>
              <w:t xml:space="preserve">Поставщик обязан одновременно с передачей </w:t>
            </w:r>
            <w:r>
              <w:rPr>
                <w:iCs/>
                <w:kern w:val="0"/>
                <w:sz w:val="24"/>
                <w:szCs w:val="24"/>
                <w:lang w:val="ru-RU" w:eastAsia="x-none" w:bidi="ar-SA"/>
              </w:rPr>
              <w:t xml:space="preserve">продукции </w:t>
            </w:r>
            <w:r>
              <w:rPr>
                <w:iCs/>
                <w:kern w:val="0"/>
                <w:sz w:val="24"/>
                <w:szCs w:val="24"/>
                <w:lang w:val="ru-RU" w:bidi="ar-SA"/>
              </w:rPr>
              <w:t>передать Покупателю относящиеся к нему, не ограничиваясь, следующие документы:</w:t>
            </w:r>
          </w:p>
          <w:p>
            <w:pPr>
              <w:pStyle w:val="Normal"/>
              <w:widowControl w:val="false"/>
              <w:numPr>
                <w:ilvl w:val="0"/>
                <w:numId w:val="13"/>
              </w:numPr>
              <w:suppressAutoHyphens w:val="true"/>
              <w:spacing w:before="0" w:after="0"/>
              <w:ind w:left="48" w:hanging="48"/>
              <w:contextualSpacing/>
              <w:jc w:val="both"/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kern w:val="0"/>
                <w:sz w:val="24"/>
                <w:szCs w:val="24"/>
                <w:lang w:val="ru-RU" w:bidi="ar-SA"/>
              </w:rPr>
              <w:t>сертификаты качества;</w:t>
            </w:r>
          </w:p>
          <w:p>
            <w:pPr>
              <w:pStyle w:val="Normal"/>
              <w:widowControl w:val="false"/>
              <w:numPr>
                <w:ilvl w:val="0"/>
                <w:numId w:val="13"/>
              </w:numPr>
              <w:suppressAutoHyphens w:val="true"/>
              <w:spacing w:before="0" w:after="0"/>
              <w:ind w:left="48" w:hanging="48"/>
              <w:contextualSpacing/>
              <w:jc w:val="both"/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kern w:val="0"/>
                <w:sz w:val="24"/>
                <w:szCs w:val="24"/>
                <w:lang w:val="ru-RU" w:bidi="ar-SA"/>
              </w:rPr>
              <w:t>эксплуатационная документация (паспорт, руководство по эксплуатации, протоколы приёмо-сдаточных испытаний).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48" w:hanging="0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iCs/>
                <w:kern w:val="0"/>
                <w:sz w:val="24"/>
                <w:szCs w:val="24"/>
                <w:lang w:val="ru-RU" w:bidi="ar-SA"/>
              </w:rPr>
              <w:t>Перечисленные выше документы предоставляются Заказчику вместе с поставляемой продукцией в электронном виде и на бумажном носителе на русском языке.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217" w:leader="none"/>
              </w:tabs>
              <w:suppressAutoHyphens w:val="true"/>
              <w:spacing w:before="0" w:after="0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iCs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3795" w:type="dxa"/>
            <w:tcBorders>
              <w:right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1337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064" w:type="dxa"/>
            <w:tcBorders>
              <w:top w:val="nil"/>
            </w:tcBorders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-117" w:right="0" w:firstLine="142"/>
              <w:contextualSpacing/>
              <w:jc w:val="center"/>
              <w:rPr>
                <w:rFonts w:ascii="Times New Roman" w:hAnsi="Times New Roman" w:eastAsia="Calibri" w:cs="Times New Roman"/>
                <w:b/>
                <w:bCs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b/>
                <w:bCs/>
                <w:color w:val="auto"/>
                <w:kern w:val="0"/>
                <w:sz w:val="24"/>
                <w:szCs w:val="24"/>
                <w:lang w:val="ru-RU" w:eastAsia="ru-RU" w:bidi="ar-SA"/>
              </w:rPr>
              <w:t>5.</w:t>
            </w:r>
          </w:p>
        </w:tc>
        <w:tc>
          <w:tcPr>
            <w:tcW w:w="295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Прочие (дополнительные) требования к продукции</w:t>
            </w:r>
          </w:p>
        </w:tc>
        <w:tc>
          <w:tcPr>
            <w:tcW w:w="346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55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379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133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064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-117" w:right="0" w:hanging="0"/>
              <w:contextualSpacing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5.1.</w:t>
            </w:r>
          </w:p>
        </w:tc>
        <w:tc>
          <w:tcPr>
            <w:tcW w:w="295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b w:val="false"/>
                <w:bCs w:val="false"/>
                <w:kern w:val="0"/>
                <w:sz w:val="24"/>
                <w:szCs w:val="24"/>
                <w:lang w:val="ru-RU" w:bidi="ar-SA"/>
              </w:rPr>
              <w:t>Требования к происхождению поставляемой продукции</w:t>
            </w:r>
          </w:p>
        </w:tc>
        <w:tc>
          <w:tcPr>
            <w:tcW w:w="346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b w:val="false"/>
                <w:bCs w:val="false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b w:val="false"/>
                <w:bCs w:val="false"/>
                <w:kern w:val="0"/>
                <w:sz w:val="24"/>
                <w:szCs w:val="24"/>
                <w:lang w:val="ru-RU" w:bidi="ar-SA"/>
              </w:rPr>
              <w:t>Постановлением Правительства Российской Федерации от 23.12.2024 №1875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предоставляется преимущество для товаров российского происхождения</w:t>
            </w:r>
          </w:p>
        </w:tc>
        <w:tc>
          <w:tcPr>
            <w:tcW w:w="255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iCs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379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Необходимо указать в Спецификации  поставляемого оборудования и материалов (Приложение 1 к Техническим требованиям) информацию о стране происхождения товара в соответствии с Общероссийским классификатором стран мира (утв. Постановлением Госстандарта России от 14.12.2001 N 529-ст.).  А также документы и информацию, подтверждающие страну происхождения товара в соответствии с требованиями п.3 Постановления Правительства Российской Федерации от 23 декабря 2024 г.  N 1875 “О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лиц”.</w:t>
            </w:r>
          </w:p>
        </w:tc>
        <w:tc>
          <w:tcPr>
            <w:tcW w:w="133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064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left="170" w:right="567" w:hanging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 w:cs="Times New Roman"/>
                <w:b/>
                <w:bCs/>
                <w:color w:val="auto"/>
                <w:sz w:val="24"/>
                <w:szCs w:val="24"/>
                <w:lang w:val="ru-RU" w:eastAsia="ru-RU" w:bidi="ar-SA"/>
              </w:rPr>
              <w:t>6</w:t>
            </w:r>
          </w:p>
        </w:tc>
        <w:tc>
          <w:tcPr>
            <w:tcW w:w="6421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Требования к экономическим параметрам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3795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133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064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60" w:after="60"/>
              <w:ind w:left="-117" w:hanging="0"/>
              <w:contextualSpacing/>
              <w:jc w:val="center"/>
              <w:rPr>
                <w:rFonts w:eastAsia="Calibri"/>
                <w:b w:val="false"/>
                <w:bCs w:val="false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6.1</w:t>
            </w:r>
          </w:p>
        </w:tc>
        <w:tc>
          <w:tcPr>
            <w:tcW w:w="29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iCs/>
                <w:kern w:val="0"/>
                <w:sz w:val="24"/>
                <w:szCs w:val="24"/>
                <w:lang w:val="ru-RU" w:bidi="ar-SA"/>
              </w:rPr>
              <w:t>Назначенный срок службы</w:t>
            </w:r>
          </w:p>
        </w:tc>
        <w:tc>
          <w:tcPr>
            <w:tcW w:w="346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left="48" w:firstLine="426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iCs/>
                <w:kern w:val="0"/>
                <w:sz w:val="24"/>
                <w:szCs w:val="24"/>
                <w:lang w:val="ru-RU" w:bidi="ar-SA"/>
              </w:rPr>
              <w:t xml:space="preserve">Не менее </w:t>
            </w:r>
            <w:r>
              <w:rPr>
                <w:iCs/>
                <w:kern w:val="0"/>
                <w:sz w:val="24"/>
                <w:szCs w:val="24"/>
                <w:lang w:val="en-US" w:bidi="ar-SA"/>
              </w:rPr>
              <w:t>5</w:t>
            </w:r>
            <w:r>
              <w:rPr>
                <w:iCs/>
                <w:kern w:val="0"/>
                <w:sz w:val="24"/>
                <w:szCs w:val="24"/>
                <w:lang w:val="ru-RU" w:bidi="ar-SA"/>
              </w:rPr>
              <w:t xml:space="preserve"> лет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iCs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3795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133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Heading1"/>
        <w:numPr>
          <w:ilvl w:val="0"/>
          <w:numId w:val="0"/>
        </w:numPr>
        <w:ind w:left="0" w:hanging="0"/>
        <w:rPr>
          <w:rStyle w:val="Style14"/>
          <w:b/>
          <w:i w:val="false"/>
          <w:i w:val="false"/>
          <w:sz w:val="24"/>
          <w:szCs w:val="24"/>
        </w:rPr>
      </w:pPr>
      <w:bookmarkStart w:id="36" w:name="__RefHeading___Toc4328_1446605355"/>
      <w:bookmarkStart w:id="37" w:name="_Toc172202390"/>
      <w:bookmarkEnd w:id="36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 xml:space="preserve">Позиция № 3 Таблицы 1.1 </w:t>
      </w:r>
      <w:r>
        <w:rPr>
          <w:bCs/>
          <w:iCs/>
          <w:color w:val="000000"/>
          <w:sz w:val="24"/>
          <w:szCs w:val="24"/>
        </w:rPr>
        <w:t>настоящих технических трбований</w:t>
      </w:r>
      <w:r>
        <w:rPr>
          <w:bCs/>
          <w:iCs/>
          <w:sz w:val="24"/>
          <w:szCs w:val="24"/>
        </w:rPr>
        <w:t xml:space="preserve">: </w:t>
      </w:r>
      <w:bookmarkEnd w:id="37"/>
      <w:r>
        <w:rPr>
          <w:bCs/>
          <w:iCs/>
          <w:sz w:val="24"/>
          <w:szCs w:val="24"/>
        </w:rPr>
        <w:t xml:space="preserve">Муфта концевая наружной установки 500 кВ </w:t>
      </w:r>
    </w:p>
    <w:p>
      <w:pPr>
        <w:pStyle w:val="Normal"/>
        <w:ind w:firstLine="709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</w:r>
    </w:p>
    <w:tbl>
      <w:tblPr>
        <w:tblStyle w:val="af0"/>
        <w:tblW w:w="1516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005"/>
        <w:gridCol w:w="3014"/>
        <w:gridCol w:w="3466"/>
        <w:gridCol w:w="2550"/>
        <w:gridCol w:w="3795"/>
        <w:gridCol w:w="1337"/>
      </w:tblGrid>
      <w:tr>
        <w:trPr/>
        <w:tc>
          <w:tcPr>
            <w:tcW w:w="100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 xml:space="preserve">№ </w:t>
            </w: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п/п</w:t>
            </w:r>
          </w:p>
        </w:tc>
        <w:tc>
          <w:tcPr>
            <w:tcW w:w="301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Наименование параметра</w:t>
            </w:r>
          </w:p>
        </w:tc>
        <w:tc>
          <w:tcPr>
            <w:tcW w:w="346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Требование заказчика</w:t>
            </w:r>
          </w:p>
        </w:tc>
        <w:tc>
          <w:tcPr>
            <w:tcW w:w="6345" w:type="dxa"/>
            <w:gridSpan w:val="2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133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100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301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346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55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Согласие с требованием/ указание характеристик</w:t>
            </w:r>
          </w:p>
        </w:tc>
        <w:tc>
          <w:tcPr>
            <w:tcW w:w="3795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33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100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1</w:t>
            </w:r>
          </w:p>
        </w:tc>
        <w:tc>
          <w:tcPr>
            <w:tcW w:w="301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2</w:t>
            </w:r>
          </w:p>
        </w:tc>
        <w:tc>
          <w:tcPr>
            <w:tcW w:w="346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3</w:t>
            </w:r>
          </w:p>
        </w:tc>
        <w:tc>
          <w:tcPr>
            <w:tcW w:w="255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4</w:t>
            </w:r>
          </w:p>
        </w:tc>
        <w:tc>
          <w:tcPr>
            <w:tcW w:w="3795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5</w:t>
            </w:r>
          </w:p>
        </w:tc>
        <w:tc>
          <w:tcPr>
            <w:tcW w:w="133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005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6"/>
              </w:numPr>
              <w:suppressAutoHyphens w:val="true"/>
              <w:spacing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6480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Требования к конструкции, изготовлению и материалам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3795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133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005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16"/>
              </w:numPr>
              <w:suppressAutoHyphens w:val="true"/>
              <w:spacing w:before="0" w:after="0"/>
              <w:ind w:left="-117" w:firstLine="142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301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Тип муфты</w:t>
            </w:r>
          </w:p>
        </w:tc>
        <w:tc>
          <w:tcPr>
            <w:tcW w:w="3466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contextualSpacing/>
              <w:jc w:val="center"/>
              <w:rPr/>
            </w:pPr>
            <w:r>
              <w:rPr>
                <w:rFonts w:eastAsia="Calibri"/>
                <w:kern w:val="0"/>
                <w:sz w:val="24"/>
                <w:szCs w:val="24"/>
                <w:lang w:val="en-US" w:bidi="ar-SA"/>
              </w:rPr>
              <w:t>концевая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i/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3795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133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005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1"/>
                <w:numId w:val="16"/>
              </w:numPr>
              <w:suppressAutoHyphens w:val="true"/>
              <w:spacing w:before="0" w:after="0"/>
              <w:ind w:left="-117" w:firstLine="142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‍</w:t>
            </w:r>
          </w:p>
        </w:tc>
        <w:tc>
          <w:tcPr>
            <w:tcW w:w="3014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Номинальная частота, Гц</w:t>
            </w:r>
          </w:p>
          <w:p>
            <w:pPr>
              <w:pStyle w:val="BodyText"/>
              <w:widowControl w:val="false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66" w:type="dxa"/>
            <w:tcBorders>
              <w:top w:val="nil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2550" w:type="dxa"/>
            <w:tcBorders>
              <w:top w:val="nil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379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133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005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16"/>
              </w:numPr>
              <w:suppressAutoHyphens w:val="true"/>
              <w:spacing w:before="0" w:after="0"/>
              <w:ind w:left="-117" w:firstLine="142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3014" w:type="dxa"/>
            <w:tcBorders/>
          </w:tcPr>
          <w:p>
            <w:pPr>
              <w:pStyle w:val="BodyText"/>
              <w:widowControl w:val="false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en-US" w:bidi="ar-SA"/>
              </w:rPr>
              <w:t>Номинальное напряжение U</w:t>
            </w:r>
            <w:r>
              <w:rPr>
                <w:kern w:val="0"/>
                <w:sz w:val="18"/>
                <w:szCs w:val="18"/>
                <w:lang w:val="en-US" w:bidi="ar-SA"/>
              </w:rPr>
              <w:t>ф</w:t>
            </w:r>
            <w:r>
              <w:rPr>
                <w:kern w:val="0"/>
                <w:sz w:val="24"/>
                <w:szCs w:val="24"/>
                <w:lang w:val="en-US" w:bidi="ar-SA"/>
              </w:rPr>
              <w:t>/U, кВ</w:t>
            </w:r>
          </w:p>
        </w:tc>
        <w:tc>
          <w:tcPr>
            <w:tcW w:w="3466" w:type="dxa"/>
            <w:tcBorders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  <w:t>290/500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3795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133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005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1"/>
                <w:numId w:val="16"/>
              </w:numPr>
              <w:suppressAutoHyphens w:val="true"/>
              <w:spacing w:before="0" w:after="0"/>
              <w:ind w:left="-117" w:firstLine="142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‍</w:t>
            </w:r>
          </w:p>
        </w:tc>
        <w:tc>
          <w:tcPr>
            <w:tcW w:w="3014" w:type="dxa"/>
            <w:tcBorders>
              <w:top w:val="nil"/>
            </w:tcBorders>
          </w:tcPr>
          <w:p>
            <w:pPr>
              <w:pStyle w:val="BodyText"/>
              <w:widowControl w:val="false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Наибольшее рабочее напряжение, кВ</w:t>
            </w:r>
          </w:p>
        </w:tc>
        <w:tc>
          <w:tcPr>
            <w:tcW w:w="3466" w:type="dxa"/>
            <w:tcBorders>
              <w:top w:val="nil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550</w:t>
            </w:r>
          </w:p>
        </w:tc>
        <w:tc>
          <w:tcPr>
            <w:tcW w:w="2550" w:type="dxa"/>
            <w:tcBorders>
              <w:top w:val="nil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379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133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005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1"/>
                <w:numId w:val="16"/>
              </w:numPr>
              <w:suppressAutoHyphens w:val="true"/>
              <w:spacing w:before="0" w:after="0"/>
              <w:ind w:left="-117" w:firstLine="142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‍</w:t>
            </w:r>
          </w:p>
        </w:tc>
        <w:tc>
          <w:tcPr>
            <w:tcW w:w="3014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Испытательное напряжение промышленной частоты (60 мин) при приемо-сдаточных испытаниях, кВ</w:t>
            </w:r>
          </w:p>
        </w:tc>
        <w:tc>
          <w:tcPr>
            <w:tcW w:w="3466" w:type="dxa"/>
            <w:tcBorders>
              <w:top w:val="nil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580</w:t>
            </w:r>
          </w:p>
        </w:tc>
        <w:tc>
          <w:tcPr>
            <w:tcW w:w="2550" w:type="dxa"/>
            <w:tcBorders>
              <w:top w:val="nil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379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133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005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16"/>
              </w:numPr>
              <w:suppressAutoHyphens w:val="true"/>
              <w:spacing w:before="0" w:after="0"/>
              <w:ind w:left="-117" w:firstLine="142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301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kern w:val="0"/>
                <w:sz w:val="24"/>
                <w:szCs w:val="24"/>
                <w:lang w:val="en-US" w:bidi="ar-SA"/>
              </w:rPr>
              <w:t>Материал изоляции ввода</w:t>
            </w:r>
          </w:p>
        </w:tc>
        <w:tc>
          <w:tcPr>
            <w:tcW w:w="346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bCs/>
                <w:kern w:val="0"/>
                <w:sz w:val="24"/>
                <w:szCs w:val="24"/>
                <w:lang w:val="ru-RU" w:bidi="ar-SA"/>
              </w:rPr>
              <w:t>композитный изолятор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i/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3795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133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005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1"/>
                <w:numId w:val="16"/>
              </w:numPr>
              <w:suppressAutoHyphens w:val="true"/>
              <w:spacing w:before="0" w:after="0"/>
              <w:ind w:left="-117" w:firstLine="142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‍</w:t>
            </w:r>
          </w:p>
        </w:tc>
        <w:tc>
          <w:tcPr>
            <w:tcW w:w="3014" w:type="dxa"/>
            <w:tcBorders>
              <w:top w:val="nil"/>
            </w:tcBorders>
          </w:tcPr>
          <w:p>
            <w:pPr>
              <w:pStyle w:val="BodyText"/>
              <w:widowControl w:val="false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spacing w:val="0"/>
                <w:sz w:val="24"/>
                <w:szCs w:val="24"/>
              </w:rPr>
              <w:t>Наибольший длительный рабочий ток фазы при температуре окружающей среды +40⁰С, А</w:t>
            </w:r>
          </w:p>
        </w:tc>
        <w:tc>
          <w:tcPr>
            <w:tcW w:w="3466" w:type="dxa"/>
            <w:tcBorders>
              <w:top w:val="nil"/>
            </w:tcBorders>
          </w:tcPr>
          <w:p>
            <w:pPr>
              <w:pStyle w:val="BodyText"/>
              <w:widowControl w:val="false"/>
              <w:spacing w:before="0" w:after="12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color w:val="auto"/>
                <w:spacing w:val="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auto"/>
                <w:spacing w:val="0"/>
                <w:kern w:val="0"/>
                <w:sz w:val="24"/>
                <w:szCs w:val="24"/>
                <w:lang w:val="ru-RU" w:eastAsia="ru-RU" w:bidi="ar-SA"/>
              </w:rPr>
              <w:t>2000</w:t>
            </w:r>
          </w:p>
        </w:tc>
        <w:tc>
          <w:tcPr>
            <w:tcW w:w="2550" w:type="dxa"/>
            <w:tcBorders>
              <w:top w:val="nil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379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133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005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1"/>
                <w:numId w:val="16"/>
              </w:numPr>
              <w:suppressAutoHyphens w:val="true"/>
              <w:spacing w:before="0" w:after="0"/>
              <w:ind w:left="-117" w:firstLine="142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3014" w:type="dxa"/>
            <w:tcBorders>
              <w:top w:val="nil"/>
            </w:tcBorders>
          </w:tcPr>
          <w:p>
            <w:pPr>
              <w:pStyle w:val="BodyText"/>
              <w:widowControl w:val="false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spacing w:val="0"/>
                <w:sz w:val="24"/>
                <w:szCs w:val="24"/>
              </w:rPr>
              <w:t>Длина пути утечки внешней изоляции, мм</w:t>
            </w:r>
          </w:p>
        </w:tc>
        <w:tc>
          <w:tcPr>
            <w:tcW w:w="3466" w:type="dxa"/>
            <w:tcBorders>
              <w:top w:val="nil"/>
            </w:tcBorders>
          </w:tcPr>
          <w:p>
            <w:pPr>
              <w:pStyle w:val="BodyText"/>
              <w:widowControl w:val="false"/>
              <w:spacing w:before="0" w:after="0"/>
              <w:contextualSpacing/>
              <w:jc w:val="center"/>
              <w:rPr/>
            </w:pPr>
            <w:r>
              <w:rPr>
                <w:b w:val="false"/>
                <w:i w:val="false"/>
                <w:caps w:val="false"/>
                <w:smallCaps w:val="false"/>
                <w:spacing w:val="0"/>
                <w:sz w:val="24"/>
                <w:szCs w:val="24"/>
              </w:rPr>
              <w:t>17070</w:t>
            </w:r>
          </w:p>
        </w:tc>
        <w:tc>
          <w:tcPr>
            <w:tcW w:w="2550" w:type="dxa"/>
            <w:tcBorders>
              <w:top w:val="nil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379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133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005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1"/>
                <w:numId w:val="16"/>
              </w:numPr>
              <w:suppressAutoHyphens w:val="true"/>
              <w:spacing w:before="0" w:after="0"/>
              <w:ind w:left="-117" w:firstLine="142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‍</w:t>
            </w:r>
          </w:p>
        </w:tc>
        <w:tc>
          <w:tcPr>
            <w:tcW w:w="3014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Выдерживаемое напряжение грозового импульса, 1,2/50мкс, кВ</w:t>
            </w:r>
          </w:p>
        </w:tc>
        <w:tc>
          <w:tcPr>
            <w:tcW w:w="3466" w:type="dxa"/>
            <w:tcBorders>
              <w:top w:val="nil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1550</w:t>
            </w:r>
          </w:p>
        </w:tc>
        <w:tc>
          <w:tcPr>
            <w:tcW w:w="2550" w:type="dxa"/>
            <w:tcBorders>
              <w:top w:val="nil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379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133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005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1"/>
                <w:numId w:val="16"/>
              </w:numPr>
              <w:suppressAutoHyphens w:val="true"/>
              <w:spacing w:before="0" w:after="0"/>
              <w:ind w:left="-117" w:firstLine="142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‍</w:t>
            </w:r>
          </w:p>
        </w:tc>
        <w:tc>
          <w:tcPr>
            <w:tcW w:w="3014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Испытательное напряжение коммутационного импульса, кВ</w:t>
            </w:r>
          </w:p>
        </w:tc>
        <w:tc>
          <w:tcPr>
            <w:tcW w:w="3466" w:type="dxa"/>
            <w:tcBorders>
              <w:top w:val="nil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1175</w:t>
            </w:r>
          </w:p>
        </w:tc>
        <w:tc>
          <w:tcPr>
            <w:tcW w:w="2550" w:type="dxa"/>
            <w:tcBorders>
              <w:top w:val="nil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379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133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005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1"/>
                <w:numId w:val="16"/>
              </w:numPr>
              <w:suppressAutoHyphens w:val="true"/>
              <w:spacing w:before="0" w:after="0"/>
              <w:ind w:left="-117" w:firstLine="142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‍</w:t>
            </w:r>
          </w:p>
        </w:tc>
        <w:tc>
          <w:tcPr>
            <w:tcW w:w="3014" w:type="dxa"/>
            <w:tcBorders>
              <w:top w:val="nil"/>
            </w:tcBorders>
          </w:tcPr>
          <w:p>
            <w:pPr>
              <w:pStyle w:val="BodyText"/>
              <w:widowControl w:val="false"/>
              <w:spacing w:before="0" w:after="120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color w:val="auto"/>
                <w:spacing w:val="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auto"/>
                <w:spacing w:val="0"/>
                <w:kern w:val="0"/>
                <w:sz w:val="24"/>
                <w:szCs w:val="24"/>
                <w:lang w:val="ru-RU" w:eastAsia="ru-RU" w:bidi="ar-SA"/>
              </w:rPr>
              <w:t>Выдерживаемый ток трехфазного короткого замыкания , 1 сек, кА</w:t>
            </w:r>
          </w:p>
        </w:tc>
        <w:tc>
          <w:tcPr>
            <w:tcW w:w="3466" w:type="dxa"/>
            <w:tcBorders>
              <w:top w:val="nil"/>
            </w:tcBorders>
          </w:tcPr>
          <w:p>
            <w:pPr>
              <w:pStyle w:val="BodyText"/>
              <w:widowControl w:val="false"/>
              <w:spacing w:before="0" w:after="12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color w:val="auto"/>
                <w:spacing w:val="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auto"/>
                <w:spacing w:val="0"/>
                <w:kern w:val="0"/>
                <w:sz w:val="24"/>
                <w:szCs w:val="24"/>
                <w:lang w:val="ru-RU" w:eastAsia="ru-RU" w:bidi="ar-SA"/>
              </w:rPr>
              <w:t>50</w:t>
            </w:r>
          </w:p>
        </w:tc>
        <w:tc>
          <w:tcPr>
            <w:tcW w:w="2550" w:type="dxa"/>
            <w:tcBorders>
              <w:top w:val="nil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379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133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005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1"/>
                <w:numId w:val="16"/>
              </w:numPr>
              <w:suppressAutoHyphens w:val="true"/>
              <w:spacing w:before="0" w:after="0"/>
              <w:ind w:left="-117" w:firstLine="142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301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kern w:val="0"/>
                <w:sz w:val="24"/>
                <w:szCs w:val="24"/>
                <w:lang w:val="ru-RU" w:bidi="ar-SA"/>
              </w:rPr>
              <w:t>Заполнение</w:t>
            </w:r>
          </w:p>
        </w:tc>
        <w:tc>
          <w:tcPr>
            <w:tcW w:w="346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bCs/>
                <w:kern w:val="0"/>
                <w:sz w:val="24"/>
                <w:szCs w:val="24"/>
                <w:lang w:val="en-US" w:bidi="ar-SA"/>
              </w:rPr>
              <w:t>элегаз (SF6) в качестве изолирующей среды</w:t>
            </w:r>
          </w:p>
        </w:tc>
        <w:tc>
          <w:tcPr>
            <w:tcW w:w="255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379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133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005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1"/>
                <w:numId w:val="16"/>
              </w:numPr>
              <w:suppressAutoHyphens w:val="true"/>
              <w:spacing w:before="0" w:after="0"/>
              <w:ind w:left="-117" w:firstLine="142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‍</w:t>
            </w:r>
          </w:p>
        </w:tc>
        <w:tc>
          <w:tcPr>
            <w:tcW w:w="3014" w:type="dxa"/>
            <w:tcBorders>
              <w:top w:val="nil"/>
            </w:tcBorders>
          </w:tcPr>
          <w:p>
            <w:pPr>
              <w:pStyle w:val="BodyText"/>
              <w:widowControl w:val="false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Диаметр по изоляции кабеля, мм</w:t>
            </w:r>
          </w:p>
        </w:tc>
        <w:tc>
          <w:tcPr>
            <w:tcW w:w="3466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6435" w:leader="none"/>
                <w:tab w:val="left" w:pos="7875" w:leader="none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до 129</w:t>
            </w:r>
          </w:p>
        </w:tc>
        <w:tc>
          <w:tcPr>
            <w:tcW w:w="255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379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1337" w:type="dxa"/>
            <w:tcBorders>
              <w:top w:val="nil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005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1"/>
                <w:numId w:val="16"/>
              </w:numPr>
              <w:suppressAutoHyphens w:val="true"/>
              <w:spacing w:before="0" w:after="0"/>
              <w:ind w:left="-117" w:firstLine="142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‍</w:t>
            </w:r>
          </w:p>
        </w:tc>
        <w:tc>
          <w:tcPr>
            <w:tcW w:w="3014" w:type="dxa"/>
            <w:tcBorders>
              <w:top w:val="nil"/>
            </w:tcBorders>
          </w:tcPr>
          <w:p>
            <w:pPr>
              <w:pStyle w:val="BodyText"/>
              <w:widowControl w:val="false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Диапазон сечений жилы, мм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466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6435" w:leader="none"/>
                <w:tab w:val="left" w:pos="7875" w:leader="none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630 - 2500</w:t>
            </w:r>
          </w:p>
        </w:tc>
        <w:tc>
          <w:tcPr>
            <w:tcW w:w="255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79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37" w:type="dxa"/>
            <w:tcBorders>
              <w:top w:val="nil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005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1"/>
                <w:numId w:val="16"/>
              </w:numPr>
              <w:suppressAutoHyphens w:val="true"/>
              <w:spacing w:before="0" w:after="0"/>
              <w:ind w:left="-117" w:firstLine="142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‍</w:t>
            </w:r>
          </w:p>
        </w:tc>
        <w:tc>
          <w:tcPr>
            <w:tcW w:w="3014" w:type="dxa"/>
            <w:tcBorders>
              <w:top w:val="nil"/>
            </w:tcBorders>
          </w:tcPr>
          <w:p>
            <w:pPr>
              <w:pStyle w:val="BodyText"/>
              <w:widowControl w:val="false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Величина интенсивности сейсмического воздействия, при котором 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сохраняется</w:t>
            </w:r>
            <w:r>
              <w:rPr>
                <w:sz w:val="24"/>
                <w:szCs w:val="24"/>
              </w:rPr>
              <w:t xml:space="preserve"> работоспособность оборудования, не менее</w:t>
            </w:r>
          </w:p>
        </w:tc>
        <w:tc>
          <w:tcPr>
            <w:tcW w:w="3466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6435" w:leader="none"/>
                <w:tab w:val="left" w:pos="7875" w:leader="none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MSK-64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6435" w:leader="none"/>
                <w:tab w:val="left" w:pos="7875" w:leader="none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6 баллов</w:t>
            </w:r>
          </w:p>
        </w:tc>
        <w:tc>
          <w:tcPr>
            <w:tcW w:w="2550" w:type="dxa"/>
            <w:tcBorders>
              <w:top w:val="nil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379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37" w:type="dxa"/>
            <w:tcBorders>
              <w:top w:val="nil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005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1"/>
                <w:numId w:val="16"/>
              </w:numPr>
              <w:suppressAutoHyphens w:val="true"/>
              <w:spacing w:before="0" w:after="0"/>
              <w:ind w:left="-117" w:firstLine="142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301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kern w:val="0"/>
                <w:sz w:val="24"/>
                <w:szCs w:val="24"/>
                <w:lang w:val="ru-RU" w:bidi="ar-SA"/>
              </w:rPr>
              <w:t>Температура эксплуатации, ˚С</w:t>
            </w:r>
          </w:p>
        </w:tc>
        <w:tc>
          <w:tcPr>
            <w:tcW w:w="346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bCs/>
                <w:kern w:val="0"/>
                <w:sz w:val="24"/>
                <w:szCs w:val="24"/>
                <w:lang w:val="ru-RU" w:bidi="ar-SA"/>
              </w:rPr>
              <w:t>-50°C ... +50°C</w:t>
            </w:r>
          </w:p>
        </w:tc>
        <w:tc>
          <w:tcPr>
            <w:tcW w:w="255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379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133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005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1"/>
                <w:numId w:val="16"/>
              </w:numPr>
              <w:suppressAutoHyphens w:val="true"/>
              <w:spacing w:before="0" w:after="0"/>
              <w:ind w:left="-117" w:firstLine="142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‍</w:t>
            </w:r>
          </w:p>
        </w:tc>
        <w:tc>
          <w:tcPr>
            <w:tcW w:w="3014" w:type="dxa"/>
            <w:tcBorders>
              <w:top w:val="nil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Категория размещения и  </w:t>
            </w:r>
            <w:r>
              <w:rPr>
                <w:sz w:val="24"/>
                <w:szCs w:val="24"/>
              </w:rPr>
              <w:t>климатическое исполнение  по ГОСТ 15150-69</w:t>
            </w:r>
          </w:p>
        </w:tc>
        <w:tc>
          <w:tcPr>
            <w:tcW w:w="3466" w:type="dxa"/>
            <w:tcBorders>
              <w:top w:val="nil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У1</w:t>
            </w:r>
          </w:p>
        </w:tc>
        <w:tc>
          <w:tcPr>
            <w:tcW w:w="2550" w:type="dxa"/>
            <w:tcBorders>
              <w:top w:val="nil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379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133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005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6"/>
              </w:numPr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Calibri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6480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3795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133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005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27"/>
              </w:numPr>
              <w:suppressAutoHyphens w:val="true"/>
              <w:spacing w:before="0" w:after="0"/>
              <w:ind w:left="-117" w:firstLine="142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301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kern w:val="0"/>
                <w:sz w:val="24"/>
                <w:szCs w:val="24"/>
                <w:lang w:val="ru-RU" w:bidi="ar-SA"/>
              </w:rPr>
              <w:t>Место поставки</w:t>
            </w:r>
          </w:p>
        </w:tc>
        <w:tc>
          <w:tcPr>
            <w:tcW w:w="346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kern w:val="0"/>
                <w:sz w:val="24"/>
                <w:szCs w:val="24"/>
                <w:lang w:val="ru-RU" w:bidi="ar-SA"/>
              </w:rPr>
              <w:t>Продукция должна быть доставлена Поставщиком по адресу:</w:t>
            </w:r>
            <w:r>
              <w:rPr>
                <w:i/>
                <w:iCs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iCs/>
                <w:kern w:val="0"/>
                <w:sz w:val="24"/>
                <w:szCs w:val="24"/>
                <w:lang w:val="ru-RU" w:bidi="ar-SA"/>
              </w:rPr>
              <w:t>Московская область, Сергиево-Посадский г.о., пгт. Богородское, д. 100 (склад Покупателя).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kern w:val="0"/>
                <w:sz w:val="24"/>
                <w:szCs w:val="24"/>
                <w:lang w:val="ru-RU" w:bidi="ar-SA"/>
              </w:rPr>
              <w:t>Поставляемая продукция должна пройти все, предусмотренные законодательством Российской Федерации (и применимым законодательством других государств), процедуры таможенной очистки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Cs/>
                <w:sz w:val="24"/>
                <w:szCs w:val="24"/>
              </w:rPr>
            </w:pPr>
            <w:r>
              <w:rPr>
                <w:i/>
                <w:iCs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3795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133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005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16"/>
              </w:numPr>
              <w:suppressAutoHyphens w:val="true"/>
              <w:spacing w:before="0" w:after="0"/>
              <w:ind w:left="-117" w:firstLine="142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301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kern w:val="0"/>
                <w:sz w:val="24"/>
                <w:szCs w:val="24"/>
                <w:lang w:val="ru-RU" w:bidi="ar-SA"/>
              </w:rPr>
              <w:t>Условия поставки</w:t>
            </w:r>
          </w:p>
        </w:tc>
        <w:tc>
          <w:tcPr>
            <w:tcW w:w="346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kern w:val="0"/>
                <w:sz w:val="24"/>
                <w:szCs w:val="24"/>
                <w:lang w:val="ru-RU" w:bidi="ar-SA"/>
              </w:rPr>
              <w:t>Приемка продукции производится в рабочие дни с 9-00 до 11-00 и с 13-00 до 16-00.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Cs/>
                <w:sz w:val="24"/>
                <w:szCs w:val="24"/>
              </w:rPr>
            </w:pPr>
            <w:r>
              <w:rPr>
                <w:i/>
                <w:iCs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3795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Cs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133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</w:p>
        </w:tc>
      </w:tr>
      <w:tr>
        <w:trPr/>
        <w:tc>
          <w:tcPr>
            <w:tcW w:w="1005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16"/>
              </w:numPr>
              <w:suppressAutoHyphens w:val="true"/>
              <w:spacing w:before="0" w:after="0"/>
              <w:ind w:left="-117" w:firstLine="142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301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kern w:val="0"/>
                <w:sz w:val="24"/>
                <w:szCs w:val="24"/>
                <w:lang w:val="en-US" w:bidi="ar-SA"/>
              </w:rPr>
              <w:t>Требования к упаковке</w:t>
            </w:r>
          </w:p>
        </w:tc>
        <w:tc>
          <w:tcPr>
            <w:tcW w:w="346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  <w:lang w:val="en-US"/>
              </w:rPr>
            </w:pPr>
            <w:r>
              <w:rPr>
                <w:iCs/>
                <w:kern w:val="0"/>
                <w:sz w:val="24"/>
                <w:szCs w:val="24"/>
                <w:lang w:val="en-US" w:bidi="ar-SA"/>
              </w:rPr>
              <w:t>В заводской упаковке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Cs/>
                <w:sz w:val="24"/>
                <w:szCs w:val="24"/>
              </w:rPr>
            </w:pPr>
            <w:r>
              <w:rPr>
                <w:i/>
                <w:iCs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3795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133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005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6"/>
              </w:numPr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Calibri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6480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Cs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3795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iCs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133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</w:r>
          </w:p>
        </w:tc>
      </w:tr>
      <w:tr>
        <w:trPr/>
        <w:tc>
          <w:tcPr>
            <w:tcW w:w="1005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28"/>
              </w:numPr>
              <w:suppressAutoHyphens w:val="true"/>
              <w:spacing w:before="0" w:after="0"/>
              <w:ind w:left="-117" w:firstLine="142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301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  <w:lang w:val="en-US"/>
              </w:rPr>
            </w:pPr>
            <w:r>
              <w:rPr>
                <w:kern w:val="0"/>
                <w:sz w:val="24"/>
                <w:szCs w:val="24"/>
                <w:lang w:val="en-US" w:bidi="ar-SA"/>
              </w:rPr>
              <w:t>Гарантийный срок эксплуатации</w:t>
            </w:r>
          </w:p>
        </w:tc>
        <w:tc>
          <w:tcPr>
            <w:tcW w:w="346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kern w:val="0"/>
                <w:sz w:val="24"/>
                <w:szCs w:val="24"/>
                <w:lang w:val="ru-RU" w:bidi="ar-SA"/>
              </w:rPr>
              <w:t xml:space="preserve">Гарантийный срок службы закупаемой </w:t>
            </w:r>
            <w:r>
              <w:rPr>
                <w:iCs/>
                <w:kern w:val="0"/>
                <w:sz w:val="24"/>
                <w:szCs w:val="24"/>
                <w:lang w:val="ru-RU" w:eastAsia="x-none" w:bidi="ar-SA"/>
              </w:rPr>
              <w:t xml:space="preserve">продукции </w:t>
            </w:r>
            <w:r>
              <w:rPr>
                <w:iCs/>
                <w:kern w:val="0"/>
                <w:sz w:val="24"/>
                <w:szCs w:val="24"/>
                <w:lang w:val="ru-RU" w:bidi="ar-SA"/>
              </w:rPr>
              <w:t>я не менее 12 (двенадцати) месяцев с даты подписания ТОРГ-12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Cs/>
                <w:sz w:val="24"/>
                <w:szCs w:val="24"/>
              </w:rPr>
            </w:pPr>
            <w:r>
              <w:rPr>
                <w:i/>
                <w:iCs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3795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iCs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133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</w:r>
          </w:p>
        </w:tc>
      </w:tr>
      <w:tr>
        <w:trPr/>
        <w:tc>
          <w:tcPr>
            <w:tcW w:w="1005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16"/>
              </w:numPr>
              <w:suppressAutoHyphens w:val="true"/>
              <w:spacing w:before="0" w:after="0"/>
              <w:ind w:left="-117" w:firstLine="142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301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  <w:lang w:val="en-US"/>
              </w:rPr>
            </w:pPr>
            <w:r>
              <w:rPr>
                <w:kern w:val="0"/>
                <w:sz w:val="24"/>
                <w:szCs w:val="24"/>
                <w:lang w:val="en-US" w:bidi="ar-SA"/>
              </w:rPr>
              <w:t>Требования к качеству продукции</w:t>
            </w:r>
          </w:p>
        </w:tc>
        <w:tc>
          <w:tcPr>
            <w:tcW w:w="346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Продукция должна быть новой, ранее не использованной, не бывшей в употреблении, не восстановленной после ремонта, не выставочным экземпляром, технически исправной и иметь протоколы приёмо-сдаточных испытаний.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Cs/>
                <w:sz w:val="24"/>
                <w:szCs w:val="24"/>
              </w:rPr>
            </w:pPr>
            <w:r>
              <w:rPr>
                <w:i/>
                <w:iCs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3795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133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005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6"/>
              </w:numPr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Calibri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6480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3795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133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005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29"/>
              </w:numPr>
              <w:suppressAutoHyphens w:val="true"/>
              <w:spacing w:before="0" w:after="0"/>
              <w:ind w:left="-117" w:firstLine="142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301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217" w:leader="none"/>
              </w:tabs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iCs/>
                <w:kern w:val="0"/>
                <w:sz w:val="24"/>
                <w:szCs w:val="24"/>
                <w:lang w:val="ru-RU" w:bidi="ar-SA"/>
              </w:rPr>
              <w:t xml:space="preserve">Документы, передаваемые вместе с  </w:t>
            </w:r>
            <w:r>
              <w:rPr>
                <w:iCs/>
                <w:kern w:val="0"/>
                <w:sz w:val="24"/>
                <w:szCs w:val="24"/>
                <w:lang w:val="ru-RU" w:eastAsia="x-none" w:bidi="ar-SA"/>
              </w:rPr>
              <w:t>продукцией</w:t>
            </w:r>
          </w:p>
        </w:tc>
        <w:tc>
          <w:tcPr>
            <w:tcW w:w="346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kern w:val="0"/>
                <w:sz w:val="24"/>
                <w:szCs w:val="24"/>
                <w:lang w:val="ru-RU" w:bidi="ar-SA"/>
              </w:rPr>
              <w:t xml:space="preserve">Поставщик обязан одновременно с передачей </w:t>
            </w:r>
            <w:r>
              <w:rPr>
                <w:iCs/>
                <w:kern w:val="0"/>
                <w:sz w:val="24"/>
                <w:szCs w:val="24"/>
                <w:lang w:val="ru-RU" w:eastAsia="x-none" w:bidi="ar-SA"/>
              </w:rPr>
              <w:t xml:space="preserve">продукции </w:t>
            </w:r>
            <w:r>
              <w:rPr>
                <w:iCs/>
                <w:kern w:val="0"/>
                <w:sz w:val="24"/>
                <w:szCs w:val="24"/>
                <w:lang w:val="ru-RU" w:bidi="ar-SA"/>
              </w:rPr>
              <w:t>передать Покупателю относящиеся к нему, не ограничиваясь, следующие документы:</w:t>
            </w:r>
          </w:p>
          <w:p>
            <w:pPr>
              <w:pStyle w:val="Normal"/>
              <w:widowControl w:val="false"/>
              <w:numPr>
                <w:ilvl w:val="0"/>
                <w:numId w:val="13"/>
              </w:numPr>
              <w:suppressAutoHyphens w:val="true"/>
              <w:spacing w:before="0" w:after="0"/>
              <w:ind w:left="48" w:hanging="48"/>
              <w:contextualSpacing/>
              <w:jc w:val="both"/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kern w:val="0"/>
                <w:sz w:val="24"/>
                <w:szCs w:val="24"/>
                <w:lang w:val="ru-RU" w:bidi="ar-SA"/>
              </w:rPr>
              <w:t>сертификаты качества;</w:t>
            </w:r>
          </w:p>
          <w:p>
            <w:pPr>
              <w:pStyle w:val="Normal"/>
              <w:widowControl w:val="false"/>
              <w:numPr>
                <w:ilvl w:val="0"/>
                <w:numId w:val="13"/>
              </w:numPr>
              <w:suppressAutoHyphens w:val="true"/>
              <w:spacing w:before="0" w:after="0"/>
              <w:ind w:left="48" w:hanging="48"/>
              <w:contextualSpacing/>
              <w:jc w:val="both"/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kern w:val="0"/>
                <w:sz w:val="24"/>
                <w:szCs w:val="24"/>
                <w:lang w:val="ru-RU" w:bidi="ar-SA"/>
              </w:rPr>
              <w:t>эксплуатационная документация (паспорт, руководство по эксплуатации, протоколы приёмо-сдаточных испытаний).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48" w:hanging="0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i w:val="false"/>
                <w:iCs/>
                <w:kern w:val="0"/>
                <w:sz w:val="24"/>
                <w:szCs w:val="24"/>
                <w:lang w:val="ru-RU" w:eastAsia="ru-RU" w:bidi="ar-SA"/>
              </w:rPr>
              <w:t>Перечисленные выше документы предоставляются Заказчику вместе с поставляемой продукцией в электронном виде и на бумажном носителе на русском языке.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217" w:leader="none"/>
              </w:tabs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3795" w:type="dxa"/>
            <w:tcBorders>
              <w:right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1337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005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6"/>
              </w:numPr>
              <w:suppressAutoHyphens w:val="true"/>
              <w:spacing w:before="0" w:after="0"/>
              <w:ind w:left="-117" w:right="0" w:firstLine="142"/>
              <w:contextualSpacing/>
              <w:jc w:val="center"/>
              <w:rPr/>
            </w:pPr>
            <w:r>
              <w:rPr/>
            </w:r>
          </w:p>
        </w:tc>
        <w:tc>
          <w:tcPr>
            <w:tcW w:w="301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Прочие (дополнительные) требования к продукции</w:t>
            </w:r>
          </w:p>
        </w:tc>
        <w:tc>
          <w:tcPr>
            <w:tcW w:w="346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55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379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133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005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1"/>
                <w:numId w:val="16"/>
              </w:numPr>
              <w:suppressAutoHyphens w:val="true"/>
              <w:bidi w:val="0"/>
              <w:spacing w:lineRule="auto" w:line="240" w:before="0" w:after="0"/>
              <w:ind w:left="57" w:right="0" w:hanging="0"/>
              <w:contextualSpacing/>
              <w:jc w:val="center"/>
              <w:rPr/>
            </w:pPr>
            <w:r>
              <w:rPr/>
            </w:r>
          </w:p>
        </w:tc>
        <w:tc>
          <w:tcPr>
            <w:tcW w:w="301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b w:val="false"/>
                <w:bCs w:val="false"/>
                <w:kern w:val="0"/>
                <w:sz w:val="24"/>
                <w:szCs w:val="24"/>
                <w:lang w:val="ru-RU" w:bidi="ar-SA"/>
              </w:rPr>
              <w:t>Требования к происхождению поставляемой продукции</w:t>
            </w:r>
          </w:p>
        </w:tc>
        <w:tc>
          <w:tcPr>
            <w:tcW w:w="346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b w:val="false"/>
                <w:bCs w:val="false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b w:val="false"/>
                <w:bCs w:val="false"/>
                <w:kern w:val="0"/>
                <w:sz w:val="24"/>
                <w:szCs w:val="24"/>
                <w:lang w:val="ru-RU" w:bidi="ar-SA"/>
              </w:rPr>
              <w:t>Постановлением Правительства Российской Федерации от 23.12.2024 №1875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предоставляется преимущество для товаров российского происхождения</w:t>
            </w:r>
          </w:p>
        </w:tc>
        <w:tc>
          <w:tcPr>
            <w:tcW w:w="255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iCs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379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kern w:val="0"/>
                <w:sz w:val="24"/>
                <w:szCs w:val="24"/>
                <w:lang w:val="ru-RU" w:bidi="ar-SA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Необходимо указать в Спецификации  поставляемого оборудования и материалов (Приложение 1 к Техническим требованиям) информацию о стране происхождения товара в соответствии с Общероссийским классификатором стран мира (утв. Постановлением Госстандарта России от 14.12.2001 N 529-ст.).  А также документы и информацию, подтверждающие страну происхождения товара в соответствии с требованиями п.3 Постановления Правительства Российской Федерации от 23 декабря 2024 г.  N 1875 “О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лиц”.</w:t>
            </w:r>
          </w:p>
        </w:tc>
        <w:tc>
          <w:tcPr>
            <w:tcW w:w="133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kern w:val="0"/>
                <w:sz w:val="24"/>
                <w:szCs w:val="24"/>
                <w:lang w:val="ru-RU" w:bidi="ar-SA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Heading1"/>
        <w:numPr>
          <w:ilvl w:val="0"/>
          <w:numId w:val="0"/>
        </w:numPr>
        <w:ind w:left="0" w:hanging="0"/>
        <w:rPr>
          <w:rStyle w:val="Style14"/>
          <w:b/>
          <w:i w:val="false"/>
          <w:i w:val="false"/>
          <w:sz w:val="24"/>
          <w:szCs w:val="24"/>
          <w:lang w:val="ru-RU"/>
        </w:rPr>
      </w:pPr>
      <w:bookmarkStart w:id="38" w:name="__RefHeading___Toc4330_1446605355"/>
      <w:bookmarkStart w:id="39" w:name="_Toc172202391"/>
      <w:bookmarkEnd w:id="38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 xml:space="preserve">Позиция № </w:t>
      </w:r>
      <w:r>
        <w:rPr>
          <w:bCs/>
          <w:iCs/>
          <w:sz w:val="24"/>
          <w:szCs w:val="24"/>
          <w:lang w:val="ru-RU"/>
        </w:rPr>
        <w:t>4</w:t>
      </w:r>
      <w:r>
        <w:rPr>
          <w:bCs/>
          <w:iCs/>
          <w:sz w:val="24"/>
          <w:szCs w:val="24"/>
        </w:rPr>
        <w:t xml:space="preserve"> Таблицы 1.1 </w:t>
      </w:r>
      <w:r>
        <w:rPr>
          <w:bCs/>
          <w:iCs/>
          <w:color w:val="000000"/>
          <w:sz w:val="24"/>
          <w:szCs w:val="24"/>
        </w:rPr>
        <w:t>настоящих технических трбований</w:t>
      </w:r>
      <w:r>
        <w:rPr>
          <w:bCs/>
          <w:iCs/>
          <w:sz w:val="24"/>
          <w:szCs w:val="24"/>
        </w:rPr>
        <w:t xml:space="preserve">: </w:t>
      </w:r>
      <w:bookmarkStart w:id="40" w:name="_Toc172202392"/>
      <w:bookmarkEnd w:id="39"/>
      <w:bookmarkEnd w:id="40"/>
      <w:r>
        <w:rPr>
          <w:bCs/>
          <w:iCs/>
          <w:sz w:val="24"/>
          <w:szCs w:val="24"/>
          <w:lang w:val="ru-RU"/>
        </w:rPr>
        <w:t xml:space="preserve">Муфта концевая внутренней установки 500 кВ </w:t>
      </w:r>
    </w:p>
    <w:tbl>
      <w:tblPr>
        <w:tblStyle w:val="af0"/>
        <w:tblW w:w="1516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005"/>
        <w:gridCol w:w="3014"/>
        <w:gridCol w:w="3466"/>
        <w:gridCol w:w="2550"/>
        <w:gridCol w:w="3795"/>
        <w:gridCol w:w="1337"/>
      </w:tblGrid>
      <w:tr>
        <w:trPr/>
        <w:tc>
          <w:tcPr>
            <w:tcW w:w="100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 xml:space="preserve">№ </w:t>
            </w: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п/п</w:t>
            </w:r>
          </w:p>
        </w:tc>
        <w:tc>
          <w:tcPr>
            <w:tcW w:w="301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Наименование параметра</w:t>
            </w:r>
          </w:p>
        </w:tc>
        <w:tc>
          <w:tcPr>
            <w:tcW w:w="346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Требование заказчика</w:t>
            </w:r>
          </w:p>
        </w:tc>
        <w:tc>
          <w:tcPr>
            <w:tcW w:w="6345" w:type="dxa"/>
            <w:gridSpan w:val="2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133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100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301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346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55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Согласие с требованием/ указание характеристик</w:t>
            </w:r>
          </w:p>
        </w:tc>
        <w:tc>
          <w:tcPr>
            <w:tcW w:w="3795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33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100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1</w:t>
            </w:r>
          </w:p>
        </w:tc>
        <w:tc>
          <w:tcPr>
            <w:tcW w:w="301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2</w:t>
            </w:r>
          </w:p>
        </w:tc>
        <w:tc>
          <w:tcPr>
            <w:tcW w:w="346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3</w:t>
            </w:r>
          </w:p>
        </w:tc>
        <w:tc>
          <w:tcPr>
            <w:tcW w:w="255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4</w:t>
            </w:r>
          </w:p>
        </w:tc>
        <w:tc>
          <w:tcPr>
            <w:tcW w:w="3795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5</w:t>
            </w:r>
          </w:p>
        </w:tc>
        <w:tc>
          <w:tcPr>
            <w:tcW w:w="133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00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suppressAutoHyphens w:val="true"/>
              <w:spacing w:before="0" w:after="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6480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Требования к конструкции, изготовлению и материалам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3795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133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005" w:type="dxa"/>
            <w:tcBorders/>
          </w:tcPr>
          <w:p>
            <w:pPr>
              <w:pStyle w:val="Normal"/>
              <w:widowControl w:val="false"/>
              <w:numPr>
                <w:ilvl w:val="1"/>
                <w:numId w:val="15"/>
              </w:numPr>
              <w:suppressAutoHyphens w:val="true"/>
              <w:spacing w:before="0" w:after="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3014" w:type="dxa"/>
            <w:tcBorders/>
          </w:tcPr>
          <w:p>
            <w:pPr>
              <w:pStyle w:val="Normal"/>
              <w:widowControl w:val="false"/>
              <w:suppressAutoHyphens w:val="tru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Тип</w:t>
            </w:r>
          </w:p>
        </w:tc>
        <w:tc>
          <w:tcPr>
            <w:tcW w:w="3466" w:type="dxa"/>
            <w:tcBorders/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sz w:val="24"/>
                <w:szCs w:val="24"/>
              </w:rPr>
              <w:t>концевая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i/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3795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133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005" w:type="dxa"/>
            <w:tcBorders>
              <w:top w:val="nil"/>
            </w:tcBorders>
          </w:tcPr>
          <w:p>
            <w:pPr>
              <w:pStyle w:val="Normal"/>
              <w:widowControl w:val="false"/>
              <w:numPr>
                <w:ilvl w:val="1"/>
                <w:numId w:val="15"/>
              </w:numPr>
              <w:suppressAutoHyphens w:val="true"/>
              <w:spacing w:before="0" w:after="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301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установки</w:t>
            </w:r>
          </w:p>
        </w:tc>
        <w:tc>
          <w:tcPr>
            <w:tcW w:w="346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sz w:val="24"/>
                <w:szCs w:val="24"/>
              </w:rPr>
              <w:t>внутренняя</w:t>
            </w:r>
          </w:p>
        </w:tc>
        <w:tc>
          <w:tcPr>
            <w:tcW w:w="255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i/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379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133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005" w:type="dxa"/>
            <w:tcBorders>
              <w:top w:val="nil"/>
            </w:tcBorders>
          </w:tcPr>
          <w:p>
            <w:pPr>
              <w:pStyle w:val="Normal"/>
              <w:widowControl w:val="false"/>
              <w:numPr>
                <w:ilvl w:val="1"/>
                <w:numId w:val="15"/>
              </w:numPr>
              <w:suppressAutoHyphens w:val="true"/>
              <w:spacing w:before="0" w:after="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‍</w:t>
            </w:r>
          </w:p>
        </w:tc>
        <w:tc>
          <w:tcPr>
            <w:tcW w:w="3014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Номинальная частота, Гц</w:t>
            </w:r>
          </w:p>
          <w:p>
            <w:pPr>
              <w:pStyle w:val="BodyText"/>
              <w:widowControl w:val="false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66" w:type="dxa"/>
            <w:tcBorders>
              <w:top w:val="nil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2550" w:type="dxa"/>
            <w:tcBorders>
              <w:top w:val="nil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379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133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005" w:type="dxa"/>
            <w:tcBorders/>
          </w:tcPr>
          <w:p>
            <w:pPr>
              <w:pStyle w:val="Normal"/>
              <w:widowControl w:val="false"/>
              <w:numPr>
                <w:ilvl w:val="1"/>
                <w:numId w:val="15"/>
              </w:numPr>
              <w:suppressAutoHyphens w:val="true"/>
              <w:spacing w:before="0" w:after="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‍</w:t>
            </w:r>
          </w:p>
        </w:tc>
        <w:tc>
          <w:tcPr>
            <w:tcW w:w="3014" w:type="dxa"/>
            <w:tcBorders/>
          </w:tcPr>
          <w:p>
            <w:pPr>
              <w:pStyle w:val="BodyText"/>
              <w:widowControl w:val="false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Номинальное напряжение U</w:t>
            </w:r>
            <w:r>
              <w:rPr>
                <w:sz w:val="18"/>
                <w:szCs w:val="18"/>
              </w:rPr>
              <w:t>ф</w:t>
            </w:r>
            <w:r>
              <w:rPr>
                <w:sz w:val="24"/>
                <w:szCs w:val="24"/>
              </w:rPr>
              <w:t>/U, кВ</w:t>
            </w:r>
          </w:p>
        </w:tc>
        <w:tc>
          <w:tcPr>
            <w:tcW w:w="3466" w:type="dxa"/>
            <w:tcBorders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290/500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3795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133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005" w:type="dxa"/>
            <w:tcBorders>
              <w:top w:val="nil"/>
            </w:tcBorders>
          </w:tcPr>
          <w:p>
            <w:pPr>
              <w:pStyle w:val="Normal"/>
              <w:widowControl w:val="false"/>
              <w:numPr>
                <w:ilvl w:val="1"/>
                <w:numId w:val="15"/>
              </w:numPr>
              <w:suppressAutoHyphens w:val="true"/>
              <w:spacing w:before="0" w:after="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3014" w:type="dxa"/>
            <w:tcBorders>
              <w:top w:val="nil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Максимальное рабочее напряжение, кВ</w:t>
            </w:r>
          </w:p>
        </w:tc>
        <w:tc>
          <w:tcPr>
            <w:tcW w:w="3466" w:type="dxa"/>
            <w:tcBorders>
              <w:top w:val="nil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550</w:t>
            </w:r>
          </w:p>
        </w:tc>
        <w:tc>
          <w:tcPr>
            <w:tcW w:w="255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i/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379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133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005" w:type="dxa"/>
            <w:tcBorders/>
          </w:tcPr>
          <w:p>
            <w:pPr>
              <w:pStyle w:val="Normal"/>
              <w:widowControl w:val="false"/>
              <w:numPr>
                <w:ilvl w:val="1"/>
                <w:numId w:val="15"/>
              </w:numPr>
              <w:suppressAutoHyphens w:val="true"/>
              <w:spacing w:before="0" w:after="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3014" w:type="dxa"/>
            <w:tcBorders/>
          </w:tcPr>
          <w:p>
            <w:pPr>
              <w:pStyle w:val="Normal"/>
              <w:widowControl w:val="false"/>
              <w:spacing w:before="0" w:after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Выдерживаемое напряжение грозового импульса, 1,2/50мкс, кВ</w:t>
            </w:r>
          </w:p>
        </w:tc>
        <w:tc>
          <w:tcPr>
            <w:tcW w:w="3466" w:type="dxa"/>
            <w:tcBorders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1550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i/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3795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133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005" w:type="dxa"/>
            <w:tcBorders>
              <w:top w:val="nil"/>
            </w:tcBorders>
          </w:tcPr>
          <w:p>
            <w:pPr>
              <w:pStyle w:val="Normal"/>
              <w:widowControl w:val="false"/>
              <w:numPr>
                <w:ilvl w:val="1"/>
                <w:numId w:val="15"/>
              </w:numPr>
              <w:suppressAutoHyphens w:val="true"/>
              <w:spacing w:before="0" w:after="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‍</w:t>
            </w:r>
          </w:p>
        </w:tc>
        <w:tc>
          <w:tcPr>
            <w:tcW w:w="3014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Испытательное напряжение коммутационного импульса, кВ</w:t>
            </w:r>
          </w:p>
        </w:tc>
        <w:tc>
          <w:tcPr>
            <w:tcW w:w="3466" w:type="dxa"/>
            <w:tcBorders>
              <w:top w:val="nil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1175</w:t>
            </w:r>
          </w:p>
        </w:tc>
        <w:tc>
          <w:tcPr>
            <w:tcW w:w="255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i/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379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133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005" w:type="dxa"/>
            <w:tcBorders>
              <w:top w:val="nil"/>
            </w:tcBorders>
          </w:tcPr>
          <w:p>
            <w:pPr>
              <w:pStyle w:val="Normal"/>
              <w:widowControl w:val="false"/>
              <w:numPr>
                <w:ilvl w:val="1"/>
                <w:numId w:val="15"/>
              </w:numPr>
              <w:suppressAutoHyphens w:val="true"/>
              <w:spacing w:before="0" w:after="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‍</w:t>
            </w:r>
          </w:p>
        </w:tc>
        <w:tc>
          <w:tcPr>
            <w:tcW w:w="3014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Испытательное напряжение промышленной частоты (60 мин) при приемо-сдаточных испытаниях, кВ</w:t>
            </w:r>
          </w:p>
        </w:tc>
        <w:tc>
          <w:tcPr>
            <w:tcW w:w="3466" w:type="dxa"/>
            <w:tcBorders>
              <w:top w:val="nil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580</w:t>
            </w:r>
          </w:p>
        </w:tc>
        <w:tc>
          <w:tcPr>
            <w:tcW w:w="2550" w:type="dxa"/>
            <w:tcBorders>
              <w:top w:val="nil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379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133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005" w:type="dxa"/>
            <w:tcBorders/>
          </w:tcPr>
          <w:p>
            <w:pPr>
              <w:pStyle w:val="Normal"/>
              <w:widowControl w:val="false"/>
              <w:numPr>
                <w:ilvl w:val="1"/>
                <w:numId w:val="15"/>
              </w:numPr>
              <w:suppressAutoHyphens w:val="true"/>
              <w:spacing w:before="0" w:after="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301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kern w:val="0"/>
                <w:sz w:val="24"/>
                <w:szCs w:val="24"/>
                <w:lang w:val="ru-RU" w:bidi="ar-SA"/>
              </w:rPr>
              <w:t>Сечение подключаемого кабеля, мм²</w:t>
            </w:r>
          </w:p>
        </w:tc>
        <w:tc>
          <w:tcPr>
            <w:tcW w:w="346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800–2500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3795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133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005" w:type="dxa"/>
            <w:tcBorders>
              <w:top w:val="nil"/>
            </w:tcBorders>
          </w:tcPr>
          <w:p>
            <w:pPr>
              <w:pStyle w:val="Normal"/>
              <w:widowControl w:val="false"/>
              <w:numPr>
                <w:ilvl w:val="1"/>
                <w:numId w:val="15"/>
              </w:numPr>
              <w:suppressAutoHyphens w:val="true"/>
              <w:spacing w:before="0" w:after="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‍</w:t>
            </w:r>
          </w:p>
        </w:tc>
        <w:tc>
          <w:tcPr>
            <w:tcW w:w="3014" w:type="dxa"/>
            <w:tcBorders>
              <w:top w:val="nil"/>
            </w:tcBorders>
          </w:tcPr>
          <w:p>
            <w:pPr>
              <w:pStyle w:val="BodyText"/>
              <w:widowControl w:val="false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Диаметр по изоляции кабеля, мм</w:t>
            </w:r>
          </w:p>
        </w:tc>
        <w:tc>
          <w:tcPr>
            <w:tcW w:w="3466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6435" w:leader="none"/>
                <w:tab w:val="left" w:pos="7875" w:leader="none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до 129</w:t>
            </w:r>
          </w:p>
        </w:tc>
        <w:tc>
          <w:tcPr>
            <w:tcW w:w="255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379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133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005" w:type="dxa"/>
            <w:tcBorders>
              <w:top w:val="nil"/>
            </w:tcBorders>
          </w:tcPr>
          <w:p>
            <w:pPr>
              <w:pStyle w:val="Normal"/>
              <w:widowControl w:val="false"/>
              <w:numPr>
                <w:ilvl w:val="1"/>
                <w:numId w:val="15"/>
              </w:numPr>
              <w:suppressAutoHyphens w:val="true"/>
              <w:spacing w:before="0" w:after="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‍</w:t>
            </w:r>
          </w:p>
        </w:tc>
        <w:tc>
          <w:tcPr>
            <w:tcW w:w="3014" w:type="dxa"/>
            <w:tcBorders>
              <w:top w:val="nil"/>
            </w:tcBorders>
          </w:tcPr>
          <w:p>
            <w:pPr>
              <w:pStyle w:val="BodyText"/>
              <w:widowControl w:val="false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Наружный диаметр фланца, мм</w:t>
            </w:r>
          </w:p>
        </w:tc>
        <w:tc>
          <w:tcPr>
            <w:tcW w:w="3466" w:type="dxa"/>
            <w:tcBorders>
              <w:top w:val="nil"/>
            </w:tcBorders>
          </w:tcPr>
          <w:p>
            <w:pPr>
              <w:pStyle w:val="BodyText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680</w:t>
            </w:r>
          </w:p>
        </w:tc>
        <w:tc>
          <w:tcPr>
            <w:tcW w:w="2550" w:type="dxa"/>
            <w:tcBorders>
              <w:top w:val="nil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379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133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005" w:type="dxa"/>
            <w:tcBorders>
              <w:top w:val="nil"/>
            </w:tcBorders>
          </w:tcPr>
          <w:p>
            <w:pPr>
              <w:pStyle w:val="Normal"/>
              <w:widowControl w:val="false"/>
              <w:numPr>
                <w:ilvl w:val="1"/>
                <w:numId w:val="15"/>
              </w:numPr>
              <w:suppressAutoHyphens w:val="true"/>
              <w:spacing w:before="0" w:after="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‍</w:t>
            </w:r>
          </w:p>
        </w:tc>
        <w:tc>
          <w:tcPr>
            <w:tcW w:w="3014" w:type="dxa"/>
            <w:tcBorders>
              <w:top w:val="nil"/>
            </w:tcBorders>
          </w:tcPr>
          <w:p>
            <w:pPr>
              <w:pStyle w:val="BodyText"/>
              <w:widowControl w:val="false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Длина от верхней плоскости фланца до торца контакта, мм</w:t>
            </w:r>
          </w:p>
        </w:tc>
        <w:tc>
          <w:tcPr>
            <w:tcW w:w="3466" w:type="dxa"/>
            <w:tcBorders>
              <w:top w:val="nil"/>
            </w:tcBorders>
          </w:tcPr>
          <w:p>
            <w:pPr>
              <w:pStyle w:val="BodyText"/>
              <w:widowControl w:val="false"/>
              <w:spacing w:before="0" w:after="0"/>
              <w:contextualSpacing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1400</w:t>
            </w:r>
          </w:p>
        </w:tc>
        <w:tc>
          <w:tcPr>
            <w:tcW w:w="2550" w:type="dxa"/>
            <w:tcBorders>
              <w:top w:val="nil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379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133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005" w:type="dxa"/>
            <w:tcBorders>
              <w:top w:val="nil"/>
            </w:tcBorders>
          </w:tcPr>
          <w:p>
            <w:pPr>
              <w:pStyle w:val="Normal"/>
              <w:widowControl w:val="false"/>
              <w:numPr>
                <w:ilvl w:val="1"/>
                <w:numId w:val="15"/>
              </w:numPr>
              <w:suppressAutoHyphens w:val="true"/>
              <w:spacing w:before="0" w:after="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‍</w:t>
            </w:r>
          </w:p>
        </w:tc>
        <w:tc>
          <w:tcPr>
            <w:tcW w:w="3014" w:type="dxa"/>
            <w:tcBorders>
              <w:top w:val="nil"/>
            </w:tcBorders>
          </w:tcPr>
          <w:p>
            <w:pPr>
              <w:pStyle w:val="BodyText"/>
              <w:widowControl w:val="false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Длина от верхней плоскости фланца до низа хомута, мм</w:t>
            </w:r>
          </w:p>
        </w:tc>
        <w:tc>
          <w:tcPr>
            <w:tcW w:w="3466" w:type="dxa"/>
            <w:tcBorders>
              <w:top w:val="nil"/>
            </w:tcBorders>
          </w:tcPr>
          <w:p>
            <w:pPr>
              <w:pStyle w:val="BodyText"/>
              <w:widowControl w:val="false"/>
              <w:spacing w:before="0" w:after="0"/>
              <w:contextualSpacing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825</w:t>
            </w:r>
          </w:p>
        </w:tc>
        <w:tc>
          <w:tcPr>
            <w:tcW w:w="2550" w:type="dxa"/>
            <w:tcBorders>
              <w:top w:val="nil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379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133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005" w:type="dxa"/>
            <w:tcBorders>
              <w:top w:val="nil"/>
            </w:tcBorders>
          </w:tcPr>
          <w:p>
            <w:pPr>
              <w:pStyle w:val="Normal"/>
              <w:widowControl w:val="false"/>
              <w:numPr>
                <w:ilvl w:val="1"/>
                <w:numId w:val="15"/>
              </w:numPr>
              <w:suppressAutoHyphens w:val="true"/>
              <w:spacing w:before="0" w:after="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‍</w:t>
            </w:r>
          </w:p>
        </w:tc>
        <w:tc>
          <w:tcPr>
            <w:tcW w:w="3014" w:type="dxa"/>
            <w:tcBorders>
              <w:top w:val="nil"/>
            </w:tcBorders>
          </w:tcPr>
          <w:p>
            <w:pPr>
              <w:pStyle w:val="BodyText"/>
              <w:widowControl w:val="false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spacing w:val="0"/>
                <w:sz w:val="24"/>
                <w:szCs w:val="24"/>
              </w:rPr>
              <w:t>Выдерживаемый ток трехфазного короткого замыкания , 1 сек, кА</w:t>
            </w:r>
          </w:p>
        </w:tc>
        <w:tc>
          <w:tcPr>
            <w:tcW w:w="3466" w:type="dxa"/>
            <w:tcBorders>
              <w:top w:val="nil"/>
            </w:tcBorders>
          </w:tcPr>
          <w:p>
            <w:pPr>
              <w:pStyle w:val="BodyText"/>
              <w:widowControl w:val="false"/>
              <w:spacing w:before="0" w:after="0"/>
              <w:contextualSpacing/>
              <w:jc w:val="center"/>
              <w:rPr/>
            </w:pPr>
            <w:r>
              <w:rPr>
                <w:b w:val="false"/>
                <w:i w:val="false"/>
                <w:caps w:val="false"/>
                <w:smallCaps w:val="false"/>
                <w:spacing w:val="0"/>
                <w:sz w:val="24"/>
                <w:szCs w:val="24"/>
              </w:rPr>
              <w:t>50</w:t>
            </w:r>
          </w:p>
        </w:tc>
        <w:tc>
          <w:tcPr>
            <w:tcW w:w="2550" w:type="dxa"/>
            <w:tcBorders>
              <w:top w:val="nil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379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133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005" w:type="dxa"/>
            <w:tcBorders>
              <w:top w:val="nil"/>
            </w:tcBorders>
          </w:tcPr>
          <w:p>
            <w:pPr>
              <w:pStyle w:val="Normal"/>
              <w:widowControl w:val="false"/>
              <w:numPr>
                <w:ilvl w:val="1"/>
                <w:numId w:val="15"/>
              </w:numPr>
              <w:suppressAutoHyphens w:val="true"/>
              <w:spacing w:before="0" w:after="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3014" w:type="dxa"/>
            <w:tcBorders>
              <w:top w:val="nil"/>
            </w:tcBorders>
          </w:tcPr>
          <w:p>
            <w:pPr>
              <w:pStyle w:val="BodyText"/>
              <w:widowControl w:val="false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spacing w:val="0"/>
                <w:sz w:val="24"/>
                <w:szCs w:val="24"/>
              </w:rPr>
              <w:t>Наибольший длительный рабочий ток фазы при температуре окружающей среды +40⁰С, А</w:t>
            </w:r>
          </w:p>
        </w:tc>
        <w:tc>
          <w:tcPr>
            <w:tcW w:w="3466" w:type="dxa"/>
            <w:tcBorders>
              <w:top w:val="nil"/>
            </w:tcBorders>
          </w:tcPr>
          <w:p>
            <w:pPr>
              <w:pStyle w:val="BodyText"/>
              <w:widowControl w:val="false"/>
              <w:spacing w:before="0" w:after="12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color w:val="auto"/>
                <w:spacing w:val="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auto"/>
                <w:spacing w:val="0"/>
                <w:kern w:val="0"/>
                <w:sz w:val="24"/>
                <w:szCs w:val="24"/>
                <w:lang w:val="ru-RU" w:eastAsia="ru-RU" w:bidi="ar-SA"/>
              </w:rPr>
              <w:t>2000</w:t>
            </w:r>
          </w:p>
        </w:tc>
        <w:tc>
          <w:tcPr>
            <w:tcW w:w="2550" w:type="dxa"/>
            <w:tcBorders>
              <w:top w:val="nil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i/>
                <w:i/>
                <w:iCs/>
                <w:sz w:val="24"/>
                <w:szCs w:val="24"/>
              </w:rPr>
            </w:pPr>
            <w:r>
              <w:rPr>
                <w:i/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379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133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005" w:type="dxa"/>
            <w:tcBorders>
              <w:top w:val="nil"/>
            </w:tcBorders>
          </w:tcPr>
          <w:p>
            <w:pPr>
              <w:pStyle w:val="Normal"/>
              <w:widowControl w:val="false"/>
              <w:numPr>
                <w:ilvl w:val="1"/>
                <w:numId w:val="15"/>
              </w:numPr>
              <w:suppressAutoHyphens w:val="true"/>
              <w:spacing w:before="0" w:after="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301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изоляции ввода</w:t>
            </w:r>
          </w:p>
        </w:tc>
        <w:tc>
          <w:tcPr>
            <w:tcW w:w="346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Эпоксидная смола</w:t>
            </w:r>
          </w:p>
        </w:tc>
        <w:tc>
          <w:tcPr>
            <w:tcW w:w="255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379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133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005" w:type="dxa"/>
            <w:tcBorders>
              <w:top w:val="nil"/>
            </w:tcBorders>
          </w:tcPr>
          <w:p>
            <w:pPr>
              <w:pStyle w:val="Normal"/>
              <w:widowControl w:val="false"/>
              <w:numPr>
                <w:ilvl w:val="1"/>
                <w:numId w:val="15"/>
              </w:numPr>
              <w:suppressAutoHyphens w:val="true"/>
              <w:spacing w:before="0" w:after="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‍</w:t>
            </w:r>
          </w:p>
        </w:tc>
        <w:tc>
          <w:tcPr>
            <w:tcW w:w="3014" w:type="dxa"/>
            <w:tcBorders>
              <w:top w:val="nil"/>
            </w:tcBorders>
          </w:tcPr>
          <w:p>
            <w:pPr>
              <w:pStyle w:val="BodyText"/>
              <w:widowControl w:val="false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Присоединительные размеры</w:t>
            </w:r>
          </w:p>
        </w:tc>
        <w:tc>
          <w:tcPr>
            <w:tcW w:w="3466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6435" w:leader="none"/>
                <w:tab w:val="left" w:pos="7875" w:leader="none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по МЭК 62271-209, вариант исполнения Fig.3, «Fluid-filled».</w:t>
            </w:r>
          </w:p>
        </w:tc>
        <w:tc>
          <w:tcPr>
            <w:tcW w:w="2550" w:type="dxa"/>
            <w:tcBorders>
              <w:top w:val="nil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</w:r>
          </w:p>
        </w:tc>
        <w:tc>
          <w:tcPr>
            <w:tcW w:w="379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37" w:type="dxa"/>
            <w:tcBorders>
              <w:top w:val="nil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005" w:type="dxa"/>
            <w:tcBorders>
              <w:top w:val="nil"/>
            </w:tcBorders>
          </w:tcPr>
          <w:p>
            <w:pPr>
              <w:pStyle w:val="Normal"/>
              <w:widowControl w:val="false"/>
              <w:numPr>
                <w:ilvl w:val="1"/>
                <w:numId w:val="15"/>
              </w:numPr>
              <w:suppressAutoHyphens w:val="true"/>
              <w:spacing w:before="0" w:after="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‍</w:t>
            </w:r>
          </w:p>
        </w:tc>
        <w:tc>
          <w:tcPr>
            <w:tcW w:w="3014" w:type="dxa"/>
            <w:tcBorders>
              <w:top w:val="nil"/>
            </w:tcBorders>
          </w:tcPr>
          <w:p>
            <w:pPr>
              <w:pStyle w:val="BodyText"/>
              <w:widowControl w:val="false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Величина интенсивности сейсмического воздействия, при котором 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сохраняется</w:t>
            </w:r>
            <w:r>
              <w:rPr>
                <w:sz w:val="24"/>
                <w:szCs w:val="24"/>
              </w:rPr>
              <w:t xml:space="preserve"> работоспособность оборудования, не менее</w:t>
            </w:r>
          </w:p>
        </w:tc>
        <w:tc>
          <w:tcPr>
            <w:tcW w:w="3466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6435" w:leader="none"/>
                <w:tab w:val="left" w:pos="7875" w:leader="none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MSK-64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6435" w:leader="none"/>
                <w:tab w:val="left" w:pos="7875" w:leader="none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6 баллов</w:t>
            </w:r>
          </w:p>
        </w:tc>
        <w:tc>
          <w:tcPr>
            <w:tcW w:w="2550" w:type="dxa"/>
            <w:tcBorders>
              <w:top w:val="nil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379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37" w:type="dxa"/>
            <w:tcBorders>
              <w:top w:val="nil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005" w:type="dxa"/>
            <w:tcBorders/>
          </w:tcPr>
          <w:p>
            <w:pPr>
              <w:pStyle w:val="Normal"/>
              <w:widowControl w:val="false"/>
              <w:numPr>
                <w:ilvl w:val="1"/>
                <w:numId w:val="15"/>
              </w:numPr>
              <w:suppressAutoHyphens w:val="true"/>
              <w:spacing w:before="0" w:after="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3014" w:type="dxa"/>
            <w:tcBorders/>
          </w:tcPr>
          <w:p>
            <w:pPr>
              <w:pStyle w:val="Normal"/>
              <w:widowControl w:val="false"/>
              <w:suppressAutoHyphens w:val="tru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Стандарт по электрическим испытаниям</w:t>
            </w:r>
          </w:p>
        </w:tc>
        <w:tc>
          <w:tcPr>
            <w:tcW w:w="3466" w:type="dxa"/>
            <w:tcBorders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МЭК 62067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3795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133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005" w:type="dxa"/>
            <w:tcBorders>
              <w:top w:val="nil"/>
            </w:tcBorders>
          </w:tcPr>
          <w:p>
            <w:pPr>
              <w:pStyle w:val="Normal"/>
              <w:widowControl w:val="false"/>
              <w:numPr>
                <w:ilvl w:val="1"/>
                <w:numId w:val="15"/>
              </w:numPr>
              <w:suppressAutoHyphens w:val="true"/>
              <w:spacing w:before="0" w:after="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‍</w:t>
            </w:r>
          </w:p>
        </w:tc>
        <w:tc>
          <w:tcPr>
            <w:tcW w:w="3014" w:type="dxa"/>
            <w:tcBorders>
              <w:top w:val="nil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Категория размещения и  </w:t>
            </w:r>
            <w:r>
              <w:rPr>
                <w:sz w:val="24"/>
                <w:szCs w:val="24"/>
              </w:rPr>
              <w:t>климатическое исполнение  по ГОСТ 15150-69</w:t>
            </w:r>
          </w:p>
        </w:tc>
        <w:tc>
          <w:tcPr>
            <w:tcW w:w="3466" w:type="dxa"/>
            <w:tcBorders>
              <w:top w:val="nil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У1</w:t>
            </w:r>
          </w:p>
        </w:tc>
        <w:tc>
          <w:tcPr>
            <w:tcW w:w="2550" w:type="dxa"/>
            <w:tcBorders>
              <w:top w:val="nil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379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133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00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suppressAutoHyphens w:val="true"/>
              <w:spacing w:before="0" w:after="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6480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3795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133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005" w:type="dxa"/>
            <w:tcBorders/>
          </w:tcPr>
          <w:p>
            <w:pPr>
              <w:pStyle w:val="Normal"/>
              <w:widowControl w:val="false"/>
              <w:numPr>
                <w:ilvl w:val="1"/>
                <w:numId w:val="15"/>
              </w:numPr>
              <w:suppressAutoHyphens w:val="true"/>
              <w:spacing w:before="0" w:after="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301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kern w:val="0"/>
                <w:sz w:val="24"/>
                <w:szCs w:val="24"/>
                <w:lang w:val="ru-RU" w:bidi="ar-SA"/>
              </w:rPr>
              <w:t>Место поставки</w:t>
            </w:r>
          </w:p>
        </w:tc>
        <w:tc>
          <w:tcPr>
            <w:tcW w:w="346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kern w:val="0"/>
                <w:sz w:val="24"/>
                <w:szCs w:val="24"/>
                <w:lang w:val="ru-RU" w:bidi="ar-SA"/>
              </w:rPr>
              <w:t>Продукция должна быть доставлена Поставщиком по адресу:</w:t>
            </w:r>
            <w:r>
              <w:rPr>
                <w:i/>
                <w:iCs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iCs/>
                <w:kern w:val="0"/>
                <w:sz w:val="24"/>
                <w:szCs w:val="24"/>
                <w:lang w:val="ru-RU" w:bidi="ar-SA"/>
              </w:rPr>
              <w:t>Московская область, Сергиево-Посадский г.о., пгт. Богородское, д. 100 (склад Покупателя).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kern w:val="0"/>
                <w:sz w:val="24"/>
                <w:szCs w:val="24"/>
                <w:lang w:val="ru-RU" w:bidi="ar-SA"/>
              </w:rPr>
              <w:t>Поставляемая продукция должна пройти все, предусмотренные законодательством Российской Федерации (и применимым законодательством других государств), процедуры таможенной очистки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3795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133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005" w:type="dxa"/>
            <w:tcBorders/>
          </w:tcPr>
          <w:p>
            <w:pPr>
              <w:pStyle w:val="Normal"/>
              <w:widowControl w:val="false"/>
              <w:numPr>
                <w:ilvl w:val="1"/>
                <w:numId w:val="15"/>
              </w:numPr>
              <w:suppressAutoHyphens w:val="true"/>
              <w:spacing w:before="0" w:after="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301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kern w:val="0"/>
                <w:sz w:val="24"/>
                <w:szCs w:val="24"/>
                <w:lang w:val="ru-RU" w:bidi="ar-SA"/>
              </w:rPr>
              <w:t>Условия поставки</w:t>
            </w:r>
          </w:p>
        </w:tc>
        <w:tc>
          <w:tcPr>
            <w:tcW w:w="346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kern w:val="0"/>
                <w:sz w:val="24"/>
                <w:szCs w:val="24"/>
                <w:lang w:val="ru-RU" w:bidi="ar-SA"/>
              </w:rPr>
              <w:t>Приемка продукции производится в рабочие дни с 9-00 до 11-00 и с 13-00 до 16-00.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Cs/>
                <w:sz w:val="24"/>
                <w:szCs w:val="24"/>
              </w:rPr>
            </w:pPr>
            <w:r>
              <w:rPr>
                <w:i/>
                <w:iCs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3795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Cs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133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</w:p>
        </w:tc>
      </w:tr>
      <w:tr>
        <w:trPr/>
        <w:tc>
          <w:tcPr>
            <w:tcW w:w="1005" w:type="dxa"/>
            <w:tcBorders/>
          </w:tcPr>
          <w:p>
            <w:pPr>
              <w:pStyle w:val="Normal"/>
              <w:widowControl w:val="false"/>
              <w:numPr>
                <w:ilvl w:val="1"/>
                <w:numId w:val="15"/>
              </w:numPr>
              <w:suppressAutoHyphens w:val="true"/>
              <w:spacing w:before="0" w:after="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301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kern w:val="0"/>
                <w:sz w:val="24"/>
                <w:szCs w:val="24"/>
                <w:lang w:val="en-US" w:bidi="ar-SA"/>
              </w:rPr>
              <w:t>Требования к упаковке</w:t>
            </w:r>
          </w:p>
        </w:tc>
        <w:tc>
          <w:tcPr>
            <w:tcW w:w="346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  <w:lang w:val="en-US"/>
              </w:rPr>
            </w:pPr>
            <w:r>
              <w:rPr>
                <w:iCs/>
                <w:kern w:val="0"/>
                <w:sz w:val="24"/>
                <w:szCs w:val="24"/>
                <w:lang w:val="en-US" w:bidi="ar-SA"/>
              </w:rPr>
              <w:t>В заводской упаковке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Cs/>
                <w:sz w:val="24"/>
                <w:szCs w:val="24"/>
              </w:rPr>
            </w:pPr>
            <w:r>
              <w:rPr>
                <w:i/>
                <w:iCs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3795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133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00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suppressAutoHyphens w:val="true"/>
              <w:spacing w:before="0" w:after="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6480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Cs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3795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iCs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133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</w:r>
          </w:p>
        </w:tc>
      </w:tr>
      <w:tr>
        <w:trPr/>
        <w:tc>
          <w:tcPr>
            <w:tcW w:w="1005" w:type="dxa"/>
            <w:tcBorders/>
          </w:tcPr>
          <w:p>
            <w:pPr>
              <w:pStyle w:val="Normal"/>
              <w:widowControl w:val="false"/>
              <w:numPr>
                <w:ilvl w:val="1"/>
                <w:numId w:val="15"/>
              </w:numPr>
              <w:suppressAutoHyphens w:val="true"/>
              <w:spacing w:before="0" w:after="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301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  <w:lang w:val="en-US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Срок гарантии</w:t>
            </w:r>
          </w:p>
        </w:tc>
        <w:tc>
          <w:tcPr>
            <w:tcW w:w="346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Гарантийный срок службы закупаемой </w:t>
            </w:r>
            <w:r>
              <w:rPr>
                <w:kern w:val="0"/>
                <w:sz w:val="24"/>
                <w:szCs w:val="24"/>
                <w:lang w:val="ru-RU" w:eastAsia="x-none" w:bidi="ar-SA"/>
              </w:rPr>
              <w:t xml:space="preserve">продукции </w:t>
            </w:r>
            <w:r>
              <w:rPr>
                <w:kern w:val="0"/>
                <w:sz w:val="24"/>
                <w:szCs w:val="24"/>
                <w:lang w:val="ru-RU" w:bidi="ar-SA"/>
              </w:rPr>
              <w:t>я не менее 12 (двенадцати) месяцев с даты подписания ТОРГ-12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795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i/>
                <w:i/>
                <w:iCs/>
                <w:sz w:val="24"/>
                <w:szCs w:val="24"/>
              </w:rPr>
            </w:pPr>
            <w:r>
              <w:rPr>
                <w:b/>
                <w:i/>
                <w:iCs/>
                <w:sz w:val="24"/>
                <w:szCs w:val="24"/>
              </w:rPr>
            </w:r>
          </w:p>
        </w:tc>
        <w:tc>
          <w:tcPr>
            <w:tcW w:w="133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i/>
                <w:i/>
                <w:iCs/>
                <w:sz w:val="24"/>
                <w:szCs w:val="24"/>
              </w:rPr>
            </w:pPr>
            <w:r>
              <w:rPr>
                <w:b/>
                <w:i/>
                <w:iCs/>
                <w:sz w:val="24"/>
                <w:szCs w:val="24"/>
              </w:rPr>
            </w:r>
          </w:p>
        </w:tc>
      </w:tr>
      <w:tr>
        <w:trPr/>
        <w:tc>
          <w:tcPr>
            <w:tcW w:w="1005" w:type="dxa"/>
            <w:tcBorders/>
          </w:tcPr>
          <w:p>
            <w:pPr>
              <w:pStyle w:val="Normal"/>
              <w:widowControl w:val="false"/>
              <w:numPr>
                <w:ilvl w:val="1"/>
                <w:numId w:val="15"/>
              </w:numPr>
              <w:suppressAutoHyphens w:val="true"/>
              <w:spacing w:before="0" w:after="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301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en-US" w:bidi="ar-SA"/>
              </w:rPr>
              <w:t>Требования к качеству продукции</w:t>
            </w:r>
          </w:p>
        </w:tc>
        <w:tc>
          <w:tcPr>
            <w:tcW w:w="346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Продукция должна быть новой, ранее не использованной, не бывшей в употреблении, не восстановленной после ремонта, не выставочным экземпляром, технически исправной.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Cs/>
                <w:sz w:val="24"/>
                <w:szCs w:val="24"/>
              </w:rPr>
            </w:pPr>
            <w:r>
              <w:rPr>
                <w:i/>
                <w:iCs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3795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133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00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suppressAutoHyphens w:val="true"/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6480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3795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133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005" w:type="dxa"/>
            <w:tcBorders/>
          </w:tcPr>
          <w:p>
            <w:pPr>
              <w:pStyle w:val="Normal"/>
              <w:widowControl w:val="false"/>
              <w:numPr>
                <w:ilvl w:val="1"/>
                <w:numId w:val="15"/>
              </w:numPr>
              <w:suppressAutoHyphens w:val="true"/>
              <w:spacing w:before="0" w:after="0"/>
              <w:ind w:left="-117" w:firstLine="142"/>
              <w:contextualSpacing/>
              <w:jc w:val="center"/>
              <w:rPr/>
            </w:pPr>
            <w:r>
              <w:rPr/>
            </w:r>
          </w:p>
        </w:tc>
        <w:tc>
          <w:tcPr>
            <w:tcW w:w="301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217" w:leader="none"/>
              </w:tabs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iCs/>
                <w:kern w:val="0"/>
                <w:sz w:val="24"/>
                <w:szCs w:val="24"/>
                <w:lang w:val="ru-RU" w:bidi="ar-SA"/>
              </w:rPr>
              <w:t xml:space="preserve">Документы, передаваемые вместе с  </w:t>
            </w:r>
            <w:r>
              <w:rPr>
                <w:iCs/>
                <w:kern w:val="0"/>
                <w:sz w:val="24"/>
                <w:szCs w:val="24"/>
                <w:lang w:val="ru-RU" w:eastAsia="x-none" w:bidi="ar-SA"/>
              </w:rPr>
              <w:t>продукцией</w:t>
            </w:r>
          </w:p>
        </w:tc>
        <w:tc>
          <w:tcPr>
            <w:tcW w:w="346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kern w:val="0"/>
                <w:sz w:val="24"/>
                <w:szCs w:val="24"/>
                <w:lang w:val="ru-RU" w:bidi="ar-SA"/>
              </w:rPr>
              <w:t xml:space="preserve">Поставщик обязан одновременно с передачей </w:t>
            </w:r>
            <w:r>
              <w:rPr>
                <w:iCs/>
                <w:kern w:val="0"/>
                <w:sz w:val="24"/>
                <w:szCs w:val="24"/>
                <w:lang w:val="ru-RU" w:eastAsia="x-none" w:bidi="ar-SA"/>
              </w:rPr>
              <w:t xml:space="preserve">продукции </w:t>
            </w:r>
            <w:r>
              <w:rPr>
                <w:iCs/>
                <w:kern w:val="0"/>
                <w:sz w:val="24"/>
                <w:szCs w:val="24"/>
                <w:lang w:val="ru-RU" w:bidi="ar-SA"/>
              </w:rPr>
              <w:t>передать Покупателю относящиеся к нему, не ограничиваясь, следующие документы:</w:t>
            </w:r>
          </w:p>
          <w:p>
            <w:pPr>
              <w:pStyle w:val="Normal"/>
              <w:widowControl w:val="false"/>
              <w:numPr>
                <w:ilvl w:val="0"/>
                <w:numId w:val="13"/>
              </w:numPr>
              <w:suppressAutoHyphens w:val="true"/>
              <w:spacing w:before="0" w:after="0"/>
              <w:ind w:left="48" w:hanging="48"/>
              <w:contextualSpacing/>
              <w:jc w:val="both"/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kern w:val="0"/>
                <w:sz w:val="24"/>
                <w:szCs w:val="24"/>
                <w:lang w:val="ru-RU" w:bidi="ar-SA"/>
              </w:rPr>
              <w:t>сертификаты качества;</w:t>
            </w:r>
          </w:p>
          <w:p>
            <w:pPr>
              <w:pStyle w:val="Normal"/>
              <w:widowControl w:val="false"/>
              <w:numPr>
                <w:ilvl w:val="0"/>
                <w:numId w:val="13"/>
              </w:numPr>
              <w:suppressAutoHyphens w:val="true"/>
              <w:spacing w:before="0" w:after="0"/>
              <w:ind w:left="48" w:hanging="48"/>
              <w:contextualSpacing/>
              <w:jc w:val="both"/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kern w:val="0"/>
                <w:sz w:val="24"/>
                <w:szCs w:val="24"/>
                <w:lang w:val="ru-RU" w:bidi="ar-SA"/>
              </w:rPr>
              <w:t>эксплуатационная документация (паспорт, руководство по эксплуатации, протоколы приёмо-сдаточных испытаний).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48" w:hanging="0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iCs/>
                <w:kern w:val="0"/>
                <w:sz w:val="24"/>
                <w:szCs w:val="24"/>
                <w:lang w:val="ru-RU" w:bidi="ar-SA"/>
              </w:rPr>
              <w:t>Перечисленные выше документы предоставляются Заказчику вместе с поставляемой продукцией в электронном виде и на бумажном носителе на русском языке.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217" w:leader="none"/>
              </w:tabs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3795" w:type="dxa"/>
            <w:tcBorders>
              <w:right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1337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005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5"/>
              </w:numPr>
              <w:suppressAutoHyphens w:val="true"/>
              <w:spacing w:before="0" w:after="0"/>
              <w:ind w:left="-117" w:right="0" w:firstLine="142"/>
              <w:contextualSpacing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301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Прочие (дополнительные) требования к продукции</w:t>
            </w:r>
          </w:p>
        </w:tc>
        <w:tc>
          <w:tcPr>
            <w:tcW w:w="346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55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379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133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005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-117" w:right="0" w:hanging="0"/>
              <w:contextualSpacing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5.1.</w:t>
            </w:r>
          </w:p>
        </w:tc>
        <w:tc>
          <w:tcPr>
            <w:tcW w:w="301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b w:val="false"/>
                <w:bCs w:val="false"/>
                <w:kern w:val="0"/>
                <w:sz w:val="24"/>
                <w:szCs w:val="24"/>
                <w:lang w:val="ru-RU" w:bidi="ar-SA"/>
              </w:rPr>
              <w:t>Требования к происхождению поставляемой продукции</w:t>
            </w:r>
          </w:p>
        </w:tc>
        <w:tc>
          <w:tcPr>
            <w:tcW w:w="346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b w:val="false"/>
                <w:bCs w:val="false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b w:val="false"/>
                <w:bCs w:val="false"/>
                <w:kern w:val="0"/>
                <w:sz w:val="24"/>
                <w:szCs w:val="24"/>
                <w:lang w:val="ru-RU" w:bidi="ar-SA"/>
              </w:rPr>
              <w:t>Постановлением Правительства Российской Федерации от 23.12.2024 №1875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предоставляется преимущество для товаров российского происхождения</w:t>
            </w:r>
          </w:p>
        </w:tc>
        <w:tc>
          <w:tcPr>
            <w:tcW w:w="255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iCs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379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Необходимо указать в Спецификации  поставляемого оборудования и материалов (Приложение 1 к Техническим требованиям) информацию о стране происхождения товара в соответствии с Общероссийским классификатором стран мира (утв. Постановлением Госстандарта России от 14.12.2001 N 529-ст.).  А также документы и информацию, подтверждающие страну происхождения товара в соответствии с требованиями п.3 Постановления Правительства Российской Федерации от 23 декабря 2024 г.  N 1875 “О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лиц”.</w:t>
            </w:r>
          </w:p>
        </w:tc>
        <w:tc>
          <w:tcPr>
            <w:tcW w:w="133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/>
        <w:tc>
          <w:tcPr>
            <w:tcW w:w="100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suppressAutoHyphens w:val="true"/>
              <w:spacing w:before="0" w:after="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6480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Требования к экономическим параметрам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3795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133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005" w:type="dxa"/>
            <w:tcBorders/>
          </w:tcPr>
          <w:p>
            <w:pPr>
              <w:pStyle w:val="Normal"/>
              <w:widowControl w:val="false"/>
              <w:numPr>
                <w:ilvl w:val="1"/>
                <w:numId w:val="15"/>
              </w:numPr>
              <w:suppressAutoHyphens w:val="true"/>
              <w:spacing w:before="0" w:after="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301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iCs/>
                <w:kern w:val="0"/>
                <w:sz w:val="24"/>
                <w:szCs w:val="24"/>
                <w:lang w:val="ru-RU" w:bidi="ar-SA"/>
              </w:rPr>
              <w:t>Назначенный срок службы</w:t>
            </w:r>
          </w:p>
        </w:tc>
        <w:tc>
          <w:tcPr>
            <w:tcW w:w="346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left="48" w:firstLine="426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iCs/>
                <w:kern w:val="0"/>
                <w:sz w:val="24"/>
                <w:szCs w:val="24"/>
                <w:lang w:val="ru-RU" w:bidi="ar-SA"/>
              </w:rPr>
              <w:t xml:space="preserve">Не менее </w:t>
            </w:r>
            <w:r>
              <w:rPr>
                <w:iCs/>
                <w:kern w:val="0"/>
                <w:sz w:val="24"/>
                <w:szCs w:val="24"/>
                <w:lang w:val="en-US" w:bidi="ar-SA"/>
              </w:rPr>
              <w:t>5</w:t>
            </w:r>
            <w:r>
              <w:rPr>
                <w:iCs/>
                <w:kern w:val="0"/>
                <w:sz w:val="24"/>
                <w:szCs w:val="24"/>
                <w:lang w:val="ru-RU" w:bidi="ar-SA"/>
              </w:rPr>
              <w:t xml:space="preserve"> лет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3795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133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spacing w:before="120" w:after="40"/>
        <w:ind w:right="397" w:hanging="0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* Указанные в настоящем ТТ ссылки на ТУ, марку (тип) продукции носят описательный, а не обязательный характер. </w:t>
      </w:r>
    </w:p>
    <w:p>
      <w:pPr>
        <w:pStyle w:val="Normal"/>
        <w:spacing w:before="40" w:after="40"/>
        <w:ind w:right="-30" w:hanging="0"/>
        <w:jc w:val="both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В случае, если Участником предлагается эквивалентная продукция</w:t>
      </w:r>
      <w:r>
        <w:rPr>
          <w:i/>
          <w:iCs/>
          <w:sz w:val="24"/>
          <w:szCs w:val="24"/>
        </w:rPr>
        <w:t xml:space="preserve"> требуемой Заказчику продукции или ее составных частей, он должен в обязательном порядке в составе своего предложения предоставить подробное техническое описание предлагаемого к поставке эквивалента, в объеме не менее установленных в настоящем ТТ требований, обозначенных как «параметры эквивалентности»</w:t>
      </w:r>
    </w:p>
    <w:p>
      <w:pPr>
        <w:pStyle w:val="Normal"/>
        <w:spacing w:before="40" w:after="40"/>
        <w:ind w:right="-30" w:hanging="0"/>
        <w:jc w:val="both"/>
        <w:rPr>
          <w:i/>
          <w:i/>
          <w:iCs/>
        </w:rPr>
      </w:pPr>
      <w:r>
        <w:rPr>
          <w:i/>
          <w:iCs/>
        </w:rPr>
      </w:r>
    </w:p>
    <w:p>
      <w:pPr>
        <w:pStyle w:val="Heading1"/>
        <w:numPr>
          <w:ilvl w:val="0"/>
          <w:numId w:val="30"/>
        </w:numPr>
        <w:rPr>
          <w:sz w:val="24"/>
          <w:szCs w:val="24"/>
        </w:rPr>
      </w:pPr>
      <w:bookmarkStart w:id="41" w:name="__RefHeading___Toc4332_1446605355"/>
      <w:bookmarkStart w:id="42" w:name="_Toc172202398"/>
      <w:bookmarkEnd w:id="41"/>
      <w:r>
        <w:rPr>
          <w:sz w:val="24"/>
          <w:szCs w:val="24"/>
        </w:rPr>
        <w:t>Требования к документации по ценообразованию на этапе закупки</w:t>
      </w:r>
      <w:bookmarkEnd w:id="42"/>
    </w:p>
    <w:p>
      <w:pPr>
        <w:pStyle w:val="ListParagraph"/>
        <w:numPr>
          <w:ilvl w:val="1"/>
          <w:numId w:val="10"/>
        </w:numPr>
        <w:rPr/>
      </w:pPr>
      <w:r>
        <w:rPr/>
        <w:t>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>
      <w:pPr>
        <w:sectPr>
          <w:headerReference w:type="default" r:id="rId5"/>
          <w:headerReference w:type="first" r:id="rId6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extDirection w:val="lrTb"/>
          <w:docGrid w:type="default" w:linePitch="381" w:charSpace="0"/>
        </w:sectPr>
        <w:pStyle w:val="ListParagraph"/>
        <w:numPr>
          <w:ilvl w:val="1"/>
          <w:numId w:val="10"/>
        </w:numPr>
        <w:rPr/>
      </w:pPr>
      <w:bookmarkStart w:id="43" w:name="_Hlk88327292"/>
      <w:r>
        <w:rPr>
          <w:bCs/>
          <w:iCs/>
        </w:rPr>
        <w:t>Вместе с Коммерческим предложением Участник должен предоставить в составе заявки</w:t>
      </w:r>
      <w:r>
        <w:rPr>
          <w:iCs/>
        </w:rPr>
        <w:t xml:space="preserve"> спецификацию поставляемой </w:t>
      </w:r>
      <w:r>
        <w:rPr>
          <w:iCs/>
          <w:kern w:val="0"/>
          <w:lang w:val="ru-RU" w:bidi="ar-SA"/>
        </w:rPr>
        <w:t xml:space="preserve">продукции </w:t>
      </w:r>
      <w:r>
        <w:rPr>
          <w:iCs/>
        </w:rPr>
        <w:t xml:space="preserve"> по форме, приведенной в Приложении № 1 к настоящим Техническим требованиям (в случае закупки  </w:t>
      </w:r>
      <w:r>
        <w:rPr>
          <w:iCs/>
          <w:kern w:val="0"/>
          <w:lang w:val="ru-RU" w:bidi="ar-SA"/>
        </w:rPr>
        <w:t xml:space="preserve">продукции </w:t>
      </w:r>
      <w:r>
        <w:rPr>
          <w:iCs/>
        </w:rPr>
        <w:t xml:space="preserve"> (материалов) комплектом в спецификации необходимо разбить его на позиции с указанием полного наименования (тип, марка, арт</w:t>
      </w:r>
      <w:bookmarkEnd w:id="43"/>
      <w:r>
        <w:rPr>
          <w:iCs/>
        </w:rPr>
        <w:t>икул) каждой составляющей и стоимости за единицу).</w:t>
      </w:r>
    </w:p>
    <w:p>
      <w:pPr>
        <w:pStyle w:val="Heading1"/>
        <w:numPr>
          <w:ilvl w:val="0"/>
          <w:numId w:val="31"/>
        </w:numPr>
        <w:rPr>
          <w:sz w:val="24"/>
          <w:szCs w:val="24"/>
        </w:rPr>
      </w:pPr>
      <w:bookmarkStart w:id="44" w:name="__RefHeading___Toc4334_1446605355"/>
      <w:bookmarkStart w:id="45" w:name="_Toc172202399"/>
      <w:bookmarkStart w:id="46" w:name="_Toc46743519"/>
      <w:bookmarkStart w:id="47" w:name="_Toc51339699"/>
      <w:bookmarkEnd w:id="44"/>
      <w:bookmarkEnd w:id="46"/>
      <w:bookmarkEnd w:id="47"/>
      <w:r>
        <w:rPr>
          <w:sz w:val="24"/>
          <w:szCs w:val="24"/>
        </w:rPr>
        <w:t>Приложения</w:t>
      </w:r>
      <w:bookmarkEnd w:id="45"/>
    </w:p>
    <w:p>
      <w:pPr>
        <w:sectPr>
          <w:headerReference w:type="default" r:id="rId7"/>
          <w:headerReference w:type="first" r:id="rId8"/>
          <w:type w:val="nextPage"/>
          <w:pgSz w:w="11906" w:h="16838"/>
          <w:pgMar w:left="851" w:right="851" w:gutter="0" w:header="680" w:top="737" w:footer="0" w:bottom="992"/>
          <w:pgNumType w:fmt="decimal"/>
          <w:formProt w:val="false"/>
          <w:textDirection w:val="lrTb"/>
          <w:docGrid w:type="default" w:linePitch="381" w:charSpace="0"/>
        </w:sectPr>
        <w:pStyle w:val="Normal"/>
        <w:ind w:left="1985" w:hanging="1985"/>
        <w:jc w:val="both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 xml:space="preserve">Приложение № 1: </w:t>
      </w:r>
      <w:r>
        <w:rPr>
          <w:color w:val="000000"/>
          <w:sz w:val="24"/>
          <w:szCs w:val="24"/>
          <w:lang w:eastAsia="x-none"/>
        </w:rPr>
        <w:t>Требования к оформлению и составлению документации по ценообразованию.</w:t>
      </w:r>
    </w:p>
    <w:p>
      <w:pPr>
        <w:pStyle w:val="Normal"/>
        <w:spacing w:before="0" w:after="120"/>
        <w:jc w:val="right"/>
        <w:rPr>
          <w:rFonts w:eastAsia="Calibri"/>
          <w:sz w:val="24"/>
          <w:szCs w:val="24"/>
        </w:rPr>
      </w:pPr>
      <w:bookmarkStart w:id="48" w:name="_Toc46743519_Копия_1"/>
      <w:bookmarkStart w:id="49" w:name="_Toc51339699_Копия_1"/>
      <w:bookmarkStart w:id="50" w:name="_Ref40301253"/>
      <w:bookmarkStart w:id="51" w:name="_Hlk48224758"/>
      <w:bookmarkEnd w:id="48"/>
      <w:bookmarkEnd w:id="49"/>
      <w:bookmarkEnd w:id="50"/>
      <w:bookmarkEnd w:id="51"/>
      <w:r>
        <w:rPr>
          <w:rFonts w:eastAsia="Calibri"/>
          <w:sz w:val="24"/>
          <w:szCs w:val="24"/>
        </w:rPr>
        <w:t>Приложение №</w:t>
      </w:r>
      <w:r>
        <w:rPr>
          <w:rFonts w:eastAsia="Calibri"/>
          <w:sz w:val="24"/>
          <w:szCs w:val="24"/>
          <w:lang w:val="en-US"/>
        </w:rPr>
        <w:t>1</w:t>
      </w:r>
      <w:r>
        <w:rPr>
          <w:rFonts w:eastAsia="Calibri"/>
          <w:sz w:val="24"/>
          <w:szCs w:val="24"/>
        </w:rPr>
        <w:t xml:space="preserve"> к Техническим требованиям</w:t>
      </w:r>
    </w:p>
    <w:p>
      <w:pPr>
        <w:pStyle w:val="Normal"/>
        <w:spacing w:before="240" w:after="120"/>
        <w:jc w:val="center"/>
        <w:rPr>
          <w:b/>
          <w:bCs/>
          <w:caps/>
          <w:sz w:val="24"/>
          <w:szCs w:val="24"/>
        </w:rPr>
      </w:pPr>
      <w:r>
        <w:rPr>
          <w:b/>
          <w:bCs/>
          <w:caps/>
          <w:sz w:val="24"/>
          <w:szCs w:val="24"/>
        </w:rPr>
      </w:r>
    </w:p>
    <w:p>
      <w:pPr>
        <w:pStyle w:val="Normal"/>
        <w:spacing w:before="240" w:after="120"/>
        <w:jc w:val="center"/>
        <w:rPr>
          <w:b/>
          <w:bCs/>
          <w:i/>
          <w:i/>
          <w:caps/>
          <w:sz w:val="24"/>
          <w:szCs w:val="24"/>
          <w:shd w:fill="FFFF99" w:val="clear"/>
        </w:rPr>
      </w:pPr>
      <w:r>
        <w:rPr>
          <w:b/>
          <w:bCs/>
          <w:caps/>
          <w:sz w:val="24"/>
          <w:szCs w:val="24"/>
        </w:rPr>
        <w:t xml:space="preserve">Требования </w:t>
        <w:br/>
        <w:t>к оформлению и составлению документации по ценообразованию</w:t>
      </w:r>
    </w:p>
    <w:p>
      <w:pPr>
        <w:pStyle w:val="Normal"/>
        <w:keepNext w:val="true"/>
        <w:keepLines/>
        <w:spacing w:before="0" w:after="120"/>
        <w:rPr>
          <w:sz w:val="24"/>
          <w:szCs w:val="24"/>
        </w:rPr>
      </w:pPr>
      <w:r>
        <w:rPr>
          <w:sz w:val="24"/>
          <w:szCs w:val="24"/>
        </w:rPr>
      </w:r>
      <w:bookmarkStart w:id="52" w:name="_Ref40301253_Копия_1"/>
      <w:bookmarkStart w:id="53" w:name="_Hlk48224758_Копия_1"/>
      <w:bookmarkStart w:id="54" w:name="_Ref40301253_Копия_1"/>
      <w:bookmarkStart w:id="55" w:name="_Hlk48224758_Копия_1"/>
      <w:bookmarkEnd w:id="54"/>
      <w:bookmarkEnd w:id="55"/>
    </w:p>
    <w:tbl>
      <w:tblPr>
        <w:tblpPr w:bottomFromText="0" w:horzAnchor="margin" w:leftFromText="180" w:rightFromText="180" w:tblpX="0" w:tblpY="362" w:topFromText="0" w:vertAnchor="text"/>
        <w:tblW w:w="5000" w:type="pct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597"/>
        <w:gridCol w:w="959"/>
        <w:gridCol w:w="974"/>
        <w:gridCol w:w="977"/>
        <w:gridCol w:w="1230"/>
        <w:gridCol w:w="1165"/>
        <w:gridCol w:w="986"/>
        <w:gridCol w:w="950"/>
        <w:gridCol w:w="1208"/>
        <w:gridCol w:w="1008"/>
        <w:gridCol w:w="1025"/>
        <w:gridCol w:w="880"/>
        <w:gridCol w:w="818"/>
        <w:gridCol w:w="924"/>
        <w:gridCol w:w="1011"/>
      </w:tblGrid>
      <w:tr>
        <w:trPr>
          <w:trHeight w:val="526" w:hRule="atLeast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85" w:right="-85" w:hanging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№ </w:t>
            </w:r>
            <w:r>
              <w:rPr>
                <w:bCs/>
                <w:sz w:val="24"/>
                <w:szCs w:val="24"/>
              </w:rPr>
              <w:t>поз.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85" w:right="-85" w:hanging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Наименование Товара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85" w:right="-85" w:hanging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Артикул, тип, марка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85" w:right="-85" w:hanging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Завод изготовитель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85" w:right="-85" w:hanging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Страна происхождения Товара</w:t>
            </w:r>
            <w:r>
              <w:rPr>
                <w:rStyle w:val="FootnoteReference"/>
                <w:sz w:val="24"/>
                <w:szCs w:val="24"/>
              </w:rPr>
              <w:footnoteReference w:id="2"/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85" w:right="-85" w:hanging="0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Страна регистрации производителя Товара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85" w:right="-85" w:hanging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Код ОКПД 2 (с наименованием)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85" w:right="-85" w:hanging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85" w:right="-85" w:hanging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Порядковый номер(а) реестровой(ых) записи(ей)</w:t>
            </w:r>
            <w:r>
              <w:rPr>
                <w:rStyle w:val="FootnoteReference"/>
                <w:sz w:val="24"/>
                <w:szCs w:val="24"/>
              </w:rPr>
              <w:footnoteReference w:id="3"/>
            </w:r>
          </w:p>
          <w:p>
            <w:pPr>
              <w:pStyle w:val="Normal"/>
              <w:widowControl w:val="false"/>
              <w:ind w:left="-85" w:right="-85" w:hanging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85" w:right="-85" w:hanging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Количество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85" w:right="-85" w:hanging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Цена за единицу, руб. без НДС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85" w:right="-85" w:hanging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Цена, руб. без НДС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85" w:right="-85" w:hanging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НДС</w:t>
            </w:r>
          </w:p>
          <w:p>
            <w:pPr>
              <w:pStyle w:val="Normal"/>
              <w:widowControl w:val="false"/>
              <w:ind w:left="-85" w:right="-85" w:hanging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(___%) руб.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85" w:right="-85" w:hanging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Стоимость, руб., с НДС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85" w:right="-85" w:hanging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Перечень сопроводительных документов (в том числе подтверждающих качество Товара)</w:t>
            </w:r>
          </w:p>
        </w:tc>
      </w:tr>
      <w:tr>
        <w:trPr>
          <w:trHeight w:val="538" w:hRule="atLeast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  <w:highlight w:val="lightGray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</w:p>
        </w:tc>
      </w:tr>
    </w:tbl>
    <w:p>
      <w:pPr>
        <w:pStyle w:val="Normal"/>
        <w:spacing w:before="0" w:after="240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Спецификация поставляемой </w:t>
      </w:r>
      <w:r>
        <w:rPr>
          <w:rFonts w:eastAsia="Calibri"/>
          <w:b/>
          <w:iCs/>
          <w:kern w:val="0"/>
          <w:sz w:val="24"/>
          <w:szCs w:val="24"/>
          <w:lang w:val="ru-RU" w:bidi="ar-SA"/>
        </w:rPr>
        <w:t>продукции</w:t>
      </w:r>
      <w:r>
        <w:rPr>
          <w:rFonts w:eastAsia="Calibri"/>
          <w:b/>
          <w:sz w:val="24"/>
          <w:szCs w:val="24"/>
        </w:rPr>
        <w:t xml:space="preserve"> и материалов</w:t>
      </w:r>
    </w:p>
    <w:p>
      <w:pPr>
        <w:pStyle w:val="Normal"/>
        <w:widowControl/>
        <w:suppressAutoHyphens w:val="true"/>
        <w:bidi w:val="0"/>
        <w:spacing w:lineRule="auto" w:line="240" w:before="0" w:after="0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t>Примечание</w:t>
      </w:r>
      <w:r>
        <w:rPr>
          <w:sz w:val="24"/>
          <w:szCs w:val="24"/>
        </w:rPr>
        <w:t>: в случае закупки продукции (материалов) комплектом, в спецификации необходимо разбить его на позиции с указанием полного наименования (тип, марка, артикул) каждой составляющей и стоимости за единицу.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/>
      </w:pPr>
      <w:r>
        <w:rPr>
          <w:b/>
          <w:sz w:val="24"/>
          <w:szCs w:val="24"/>
        </w:rPr>
        <w:t>*</w:t>
      </w:r>
      <w:r>
        <w:rPr>
          <w:sz w:val="24"/>
          <w:szCs w:val="24"/>
        </w:rPr>
        <w:t>В случае включения в спецификацию стоимости за единицу продукции, МТР с учетом доставки, указать данное условие</w:t>
      </w:r>
    </w:p>
    <w:sectPr>
      <w:headerReference w:type="default" r:id="rId9"/>
      <w:headerReference w:type="first" r:id="rId10"/>
      <w:footnotePr>
        <w:numFmt w:val="decimal"/>
      </w:footnotePr>
      <w:type w:val="nextPage"/>
      <w:pgSz w:orient="landscape" w:w="16838" w:h="11906"/>
      <w:pgMar w:left="992" w:right="1134" w:gutter="0" w:header="680" w:top="1134" w:footer="0" w:bottom="851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YS Text">
    <w:altName w:val="apple-system"/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widowControl w:val="false"/>
        <w:jc w:val="both"/>
        <w:rPr/>
      </w:pPr>
      <w:r>
        <w:rPr>
          <w:rStyle w:val="Style1"/>
        </w:rPr>
        <w:footnoteRef/>
      </w:r>
      <w:r>
        <w:rPr/>
        <w:t xml:space="preserve"> </w:t>
      </w:r>
      <w:r>
        <w:rPr/>
        <w:t>В соответствии с Общероссийским классификатором стран мира (утв. Постановлением Госстандарта России от 14.12.2001 N 529-ст.).</w:t>
      </w:r>
    </w:p>
  </w:footnote>
  <w:footnote w:id="3">
    <w:p>
      <w:pPr>
        <w:pStyle w:val="FootnoteText"/>
        <w:widowControl w:val="false"/>
        <w:jc w:val="both"/>
        <w:rPr/>
      </w:pPr>
      <w:r>
        <w:rPr>
          <w:rStyle w:val="Style1"/>
        </w:rPr>
        <w:footnoteRef/>
      </w:r>
      <w:r>
        <w:rPr/>
        <w:t xml:space="preserve"> </w:t>
      </w:r>
      <w:r>
        <w:rPr/>
        <w:t>Порядковый номер (номера) реестровой записи (реестровых записей), под которой (которыми) Товар включен в реестры, предусмотренные пунктом 23 Постановления Правительства РФ от 23.12.2024 № 1875</w:t>
      </w:r>
      <w:r>
        <w:rPr>
          <w:rFonts w:eastAsia="Calibri"/>
          <w:lang w:eastAsia="en-US"/>
        </w:rPr>
        <w:t xml:space="preserve">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246186142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5</w:t>
        </w:r>
        <w:r>
          <w:rPr/>
          <w:fldChar w:fldCharType="end"/>
        </w:r>
      </w:p>
    </w:sdtContent>
  </w:sdt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283184014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24</w:t>
        </w:r>
        <w:r>
          <w:rPr/>
          <w:fldChar w:fldCharType="end"/>
        </w:r>
      </w:p>
      <w:p>
        <w:pPr>
          <w:pStyle w:val="Header"/>
          <w:jc w:val="center"/>
          <w:rPr/>
        </w:pPr>
        <w:r>
          <w:rPr/>
        </w:r>
      </w:p>
    </w:sdtContent>
  </w:sdt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722412150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25</w:t>
        </w:r>
        <w:r>
          <w:rPr/>
          <w:fldChar w:fldCharType="end"/>
        </w:r>
      </w:p>
      <w:p>
        <w:pPr>
          <w:pStyle w:val="Header"/>
          <w:jc w:val="center"/>
          <w:rPr/>
        </w:pPr>
        <w:r>
          <w:rPr/>
        </w:r>
      </w:p>
    </w:sdtContent>
  </w:sdt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326261025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26</w:t>
        </w:r>
        <w:r>
          <w:rPr/>
          <w:fldChar w:fldCharType="end"/>
        </w:r>
      </w:p>
    </w:sdtContent>
  </w:sdt>
  <w:p>
    <w:pPr>
      <w:pStyle w:val="Header"/>
      <w:jc w:val="center"/>
      <w:rPr/>
    </w:pPr>
    <w:r>
      <w:rPr/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 %1 "/>
      <w:lvlJc w:val="left"/>
      <w:pPr>
        <w:tabs>
          <w:tab w:val="num" w:pos="397"/>
        </w:tabs>
        <w:ind w:left="754" w:hanging="397"/>
      </w:pPr>
      <w:rPr/>
    </w:lvl>
    <w:lvl w:ilvl="1">
      <w:start w:val="1"/>
      <w:numFmt w:val="decimal"/>
      <w:lvlText w:val=" %1.%2 "/>
      <w:lvlJc w:val="left"/>
      <w:pPr>
        <w:tabs>
          <w:tab w:val="num" w:pos="794"/>
        </w:tabs>
        <w:ind w:left="1151" w:hanging="397"/>
      </w:pPr>
      <w:rPr/>
    </w:lvl>
    <w:lvl w:ilvl="2">
      <w:start w:val="1"/>
      <w:numFmt w:val="decimal"/>
      <w:lvlText w:val=" %1.%2.%3 "/>
      <w:lvlJc w:val="left"/>
      <w:pPr>
        <w:tabs>
          <w:tab w:val="num" w:pos="1191"/>
        </w:tabs>
        <w:ind w:left="1548" w:hanging="397"/>
      </w:pPr>
      <w:rPr/>
    </w:lvl>
    <w:lvl w:ilvl="3">
      <w:start w:val="1"/>
      <w:numFmt w:val="decimal"/>
      <w:lvlText w:val=" %1.%2.%3.%4 "/>
      <w:lvlJc w:val="left"/>
      <w:pPr>
        <w:tabs>
          <w:tab w:val="num" w:pos="1588"/>
        </w:tabs>
        <w:ind w:left="1945" w:hanging="397"/>
      </w:pPr>
      <w:rPr/>
    </w:lvl>
    <w:lvl w:ilvl="4">
      <w:start w:val="1"/>
      <w:numFmt w:val="decimal"/>
      <w:lvlText w:val=" %1.%2.%3.%4.%5 "/>
      <w:lvlJc w:val="left"/>
      <w:pPr>
        <w:tabs>
          <w:tab w:val="num" w:pos="1985"/>
        </w:tabs>
        <w:ind w:left="2342" w:hanging="397"/>
      </w:pPr>
      <w:rPr/>
    </w:lvl>
    <w:lvl w:ilvl="5">
      <w:start w:val="1"/>
      <w:numFmt w:val="decimal"/>
      <w:lvlText w:val=" %1.%2.%3.%4.%5.%6 "/>
      <w:lvlJc w:val="left"/>
      <w:pPr>
        <w:tabs>
          <w:tab w:val="num" w:pos="2381"/>
        </w:tabs>
        <w:ind w:left="2738" w:hanging="397"/>
      </w:pPr>
      <w:rPr/>
    </w:lvl>
    <w:lvl w:ilvl="6">
      <w:start w:val="1"/>
      <w:numFmt w:val="decimal"/>
      <w:lvlText w:val=" %1.%2.%3.%4.%5.%6.%7 "/>
      <w:lvlJc w:val="left"/>
      <w:pPr>
        <w:tabs>
          <w:tab w:val="num" w:pos="2778"/>
        </w:tabs>
        <w:ind w:left="3135" w:hanging="397"/>
      </w:pPr>
      <w:rPr/>
    </w:lvl>
    <w:lvl w:ilvl="7">
      <w:start w:val="1"/>
      <w:numFmt w:val="decimal"/>
      <w:lvlText w:val=" %1.%2.%3.%4.%5.%6.%7.%8 "/>
      <w:lvlJc w:val="left"/>
      <w:pPr>
        <w:tabs>
          <w:tab w:val="num" w:pos="3175"/>
        </w:tabs>
        <w:ind w:left="3532" w:hanging="397"/>
      </w:pPr>
      <w:rPr/>
    </w:lvl>
    <w:lvl w:ilvl="8">
      <w:start w:val="1"/>
      <w:numFmt w:val="decimal"/>
      <w:lvlText w:val=" %1.%2.%3.%4.%5.%6.%7.%8.%9 "/>
      <w:lvlJc w:val="left"/>
      <w:pPr>
        <w:tabs>
          <w:tab w:val="num" w:pos="3572"/>
        </w:tabs>
        <w:ind w:left="3929" w:hanging="397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3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60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880" w:hanging="72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960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680" w:hanging="108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760" w:hanging="144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480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560" w:hanging="180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2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3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2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3"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6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/>
    </w:lvl>
  </w:abstractNum>
  <w:abstractNum w:abstractNumId="17"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60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880" w:hanging="72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960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680" w:hanging="108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760" w:hanging="144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480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560" w:hanging="1800"/>
      </w:pPr>
      <w:rPr/>
    </w:lvl>
  </w:abstractNum>
  <w:abstractNum w:abstractNumId="18"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60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880" w:hanging="72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960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680" w:hanging="108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760" w:hanging="144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480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560" w:hanging="1800"/>
      </w:pPr>
      <w:rPr/>
    </w:lvl>
  </w:abstractNum>
  <w:abstractNum w:abstractNumId="19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/>
    </w:lvl>
  </w:abstractNum>
  <w:abstractNum w:abstractNumId="20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/>
    </w:lvl>
  </w:abstractNum>
  <w:abstractNum w:abstractNumId="2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/>
    </w:lvl>
  </w:abstractNum>
  <w:abstractNum w:abstractNumId="22"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60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880" w:hanging="72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960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680" w:hanging="108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760" w:hanging="144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480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560" w:hanging="1800"/>
      </w:pPr>
      <w:rPr/>
    </w:lvl>
  </w:abstractNum>
  <w:abstractNum w:abstractNumId="23"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60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880" w:hanging="72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960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680" w:hanging="108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760" w:hanging="144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480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560" w:hanging="1800"/>
      </w:pPr>
      <w:rPr/>
    </w:lvl>
  </w:abstractNum>
  <w:abstractNum w:abstractNumId="2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17"/>
    <w:lvlOverride w:ilvl="0">
      <w:startOverride w:val="1"/>
    </w:lvlOverride>
  </w:num>
  <w:num w:numId="26">
    <w:abstractNumId w:val="17"/>
  </w:num>
  <w:num w:numId="27">
    <w:abstractNumId w:val="16"/>
    <w:lvlOverride w:ilvl="0">
      <w:startOverride w:val="1"/>
    </w:lvlOverride>
    <w:lvlOverride w:ilvl="1">
      <w:startOverride w:val="1"/>
    </w:lvlOverride>
  </w:num>
  <w:num w:numId="28">
    <w:abstractNumId w:val="16"/>
    <w:lvlOverride w:ilvl="0">
      <w:startOverride w:val="1"/>
    </w:lvlOverride>
    <w:lvlOverride w:ilvl="1">
      <w:startOverride w:val="1"/>
    </w:lvlOverride>
  </w:num>
  <w:num w:numId="29">
    <w:abstractNumId w:val="16"/>
    <w:lvlOverride w:ilvl="0">
      <w:startOverride w:val="1"/>
    </w:lvlOverride>
    <w:lvlOverride w:ilvl="1">
      <w:startOverride w:val="1"/>
    </w:lvlOverride>
  </w:num>
  <w:num w:numId="30">
    <w:abstractNumId w:val="17"/>
  </w:num>
  <w:num w:numId="31">
    <w:abstractNumId w:val="17"/>
  </w:num>
</w:numbering>
</file>

<file path=word/settings.xml><?xml version="1.0" encoding="utf-8"?>
<w:settings xmlns:w="http://schemas.openxmlformats.org/wordprocessingml/2006/main">
  <w:zoom w:percent="100"/>
  <w:trackRevisions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0" w:semiHidden="1" w:unhideWhenUsed="1"/>
    <w:lsdException w:name="toc 6" w:uiPriority="0" w:semiHidden="1" w:unhideWhenUsed="1"/>
    <w:lsdException w:name="toc 7" w:uiPriority="0" w:semiHidden="1" w:unhideWhenUsed="1"/>
    <w:lsdException w:name="toc 8" w:uiPriority="0" w:semiHidden="1" w:unhideWhenUsed="1"/>
    <w:lsdException w:name="toc 9" w:uiPriority="0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uiPriority="0" w:semiHidden="1" w:unhideWhenUsed="1"/>
    <w:lsdException w:name="endnote text" w:uiPriority="0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uiPriority="0" w:semiHidden="1" w:unhideWhenUsed="1"/>
    <w:lsdException w:name="Body Text Indent 2" w:uiPriority="0" w:semiHidden="1" w:unhideWhenUsed="1"/>
    <w:lsdException w:name="Body Text Indent 3" w:uiPriority="0" w:semiHidden="1" w:unhideWhenUsed="1"/>
    <w:lsdException w:name="Block Text" w:uiPriority="0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5012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150122"/>
    <w:pPr>
      <w:numPr>
        <w:ilvl w:val="0"/>
      </w:num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150122"/>
    <w:pPr>
      <w:numPr>
        <w:ilvl w:val="1"/>
        <w:numId w:val="8"/>
      </w:num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150122"/>
    <w:pPr>
      <w:keepNext w:val="true"/>
      <w:numPr>
        <w:ilvl w:val="2"/>
        <w:numId w:val="8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150122"/>
    <w:pPr>
      <w:numPr>
        <w:ilvl w:val="0"/>
        <w:numId w:val="0"/>
      </w:numPr>
      <w:ind w:left="1080" w:hanging="360"/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150122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150122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150122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150122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150122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150122"/>
    <w:rPr>
      <w:rFonts w:ascii="Times New Roman" w:hAnsi="Times New Roman" w:eastAsia="Calibri" w:cs="Times New Roman"/>
      <w:b/>
      <w:sz w:val="28"/>
      <w:szCs w:val="28"/>
      <w:lang w:val="x-none" w:eastAsia="x-none"/>
    </w:rPr>
  </w:style>
  <w:style w:type="character" w:styleId="2" w:customStyle="1">
    <w:name w:val="Заголовок 2 Знак"/>
    <w:basedOn w:val="DefaultParagraphFont"/>
    <w:qFormat/>
    <w:rsid w:val="00150122"/>
    <w:rPr>
      <w:rFonts w:ascii="Times New Roman" w:hAnsi="Times New Roman" w:eastAsia="Calibri" w:cs="Times New Roman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basedOn w:val="DefaultParagraphFont"/>
    <w:qFormat/>
    <w:rsid w:val="00150122"/>
    <w:rPr>
      <w:rFonts w:ascii="Times New Roman" w:hAnsi="Times New Roman" w:eastAsia="Calibri" w:cs="Times New Roman"/>
      <w:b/>
      <w:sz w:val="24"/>
      <w:szCs w:val="24"/>
      <w:lang w:val="x-none" w:eastAsia="x-none"/>
    </w:rPr>
  </w:style>
  <w:style w:type="character" w:styleId="4" w:customStyle="1">
    <w:name w:val="Заголовок 4 Знак"/>
    <w:basedOn w:val="DefaultParagraphFont"/>
    <w:qFormat/>
    <w:rsid w:val="00150122"/>
    <w:rPr>
      <w:rFonts w:ascii="Times New Roman" w:hAnsi="Times New Roman" w:eastAsia="Calibri" w:cs="Times New Roman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basedOn w:val="DefaultParagraphFont"/>
    <w:uiPriority w:val="9"/>
    <w:qFormat/>
    <w:rsid w:val="00150122"/>
    <w:rPr>
      <w:rFonts w:ascii="Times New Roman" w:hAnsi="Times New Roman" w:eastAsia="Times New Roman" w:cs="Times New Roman"/>
      <w:b/>
      <w:bCs/>
      <w:i/>
      <w:iCs/>
      <w:sz w:val="26"/>
      <w:szCs w:val="26"/>
      <w:lang w:val="x-none" w:eastAsia="x-none"/>
    </w:rPr>
  </w:style>
  <w:style w:type="character" w:styleId="6" w:customStyle="1">
    <w:name w:val="Заголовок 6 Знак"/>
    <w:basedOn w:val="DefaultParagraphFont"/>
    <w:uiPriority w:val="9"/>
    <w:qFormat/>
    <w:rsid w:val="00150122"/>
    <w:rPr>
      <w:rFonts w:ascii="Cambria" w:hAnsi="Cambria" w:eastAsia="Times New Roman" w:cs="Times New Roman"/>
      <w:i/>
      <w:iCs/>
      <w:color w:val="243F60"/>
      <w:sz w:val="20"/>
      <w:szCs w:val="20"/>
      <w:lang w:val="x-none" w:eastAsia="x-none"/>
    </w:rPr>
  </w:style>
  <w:style w:type="character" w:styleId="7" w:customStyle="1">
    <w:name w:val="Заголовок 7 Знак"/>
    <w:basedOn w:val="DefaultParagraphFont"/>
    <w:uiPriority w:val="9"/>
    <w:qFormat/>
    <w:rsid w:val="00150122"/>
    <w:rPr>
      <w:rFonts w:ascii="Cambria" w:hAnsi="Cambria" w:eastAsia="Times New Roman" w:cs="Times New Roman"/>
      <w:i/>
      <w:iCs/>
      <w:color w:val="404040"/>
      <w:sz w:val="20"/>
      <w:szCs w:val="20"/>
      <w:lang w:val="x-none" w:eastAsia="x-none"/>
    </w:rPr>
  </w:style>
  <w:style w:type="character" w:styleId="8" w:customStyle="1">
    <w:name w:val="Заголовок 8 Знак"/>
    <w:basedOn w:val="DefaultParagraphFont"/>
    <w:uiPriority w:val="9"/>
    <w:qFormat/>
    <w:rsid w:val="00150122"/>
    <w:rPr>
      <w:rFonts w:ascii="Cambria" w:hAnsi="Cambria" w:eastAsia="Times New Roman" w:cs="Times New Roman"/>
      <w:color w:val="4F81BD"/>
      <w:sz w:val="20"/>
      <w:szCs w:val="20"/>
      <w:lang w:val="x-none" w:eastAsia="x-none"/>
    </w:rPr>
  </w:style>
  <w:style w:type="character" w:styleId="9" w:customStyle="1">
    <w:name w:val="Заголовок 9 Знак"/>
    <w:basedOn w:val="DefaultParagraphFont"/>
    <w:uiPriority w:val="9"/>
    <w:qFormat/>
    <w:rsid w:val="00150122"/>
    <w:rPr>
      <w:rFonts w:ascii="Arial" w:hAnsi="Arial" w:eastAsia="Times New Roman" w:cs="Times New Roman"/>
      <w:lang w:val="x-none" w:eastAsia="x-none"/>
    </w:rPr>
  </w:style>
  <w:style w:type="character" w:styleId="Style" w:customStyle="1">
    <w:name w:val="Текст сноски Знак"/>
    <w:basedOn w:val="DefaultParagraphFont"/>
    <w:uiPriority w:val="99"/>
    <w:qFormat/>
    <w:rsid w:val="00150122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">
    <w:name w:val="Символ сноски"/>
    <w:qFormat/>
    <w:rsid w:val="00150122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2" w:customStyle="1">
    <w:name w:val="Верхний колонтитул Знак"/>
    <w:basedOn w:val="DefaultParagraphFont"/>
    <w:uiPriority w:val="99"/>
    <w:qFormat/>
    <w:rsid w:val="00150122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3" w:customStyle="1">
    <w:name w:val="Основной текст с отступом Знак"/>
    <w:basedOn w:val="DefaultParagraphFont"/>
    <w:qFormat/>
    <w:rsid w:val="00150122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4" w:customStyle="1">
    <w:name w:val="Нижний колонтитул Знак"/>
    <w:basedOn w:val="DefaultParagraphFont"/>
    <w:qFormat/>
    <w:rsid w:val="00150122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Style5" w:customStyle="1">
    <w:name w:val="Основной текст Знак"/>
    <w:basedOn w:val="DefaultParagraphFont"/>
    <w:qFormat/>
    <w:rsid w:val="00150122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21" w:customStyle="1">
    <w:name w:val="Основной текст с отступом 2 Знак"/>
    <w:basedOn w:val="DefaultParagraphFont"/>
    <w:link w:val="BodyTextIndent2"/>
    <w:qFormat/>
    <w:rsid w:val="00150122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31" w:customStyle="1">
    <w:name w:val="Основной текст 3 Знак"/>
    <w:basedOn w:val="DefaultParagraphFont"/>
    <w:link w:val="BodyText3"/>
    <w:qFormat/>
    <w:rsid w:val="00150122"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32" w:customStyle="1">
    <w:name w:val="Основной текст с отступом 3 Знак"/>
    <w:basedOn w:val="DefaultParagraphFont"/>
    <w:link w:val="BodyTextIndent3"/>
    <w:qFormat/>
    <w:rsid w:val="00150122"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22" w:customStyle="1">
    <w:name w:val="Основной текст 2 Знак"/>
    <w:basedOn w:val="DefaultParagraphFont"/>
    <w:link w:val="BodyText2"/>
    <w:qFormat/>
    <w:rsid w:val="00150122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Pagenumber">
    <w:name w:val="page number"/>
    <w:basedOn w:val="DefaultParagraphFont"/>
    <w:qFormat/>
    <w:rsid w:val="00150122"/>
    <w:rPr/>
  </w:style>
  <w:style w:type="character" w:styleId="Hyperlink">
    <w:name w:val="Hyperlink"/>
    <w:uiPriority w:val="99"/>
    <w:rsid w:val="00150122"/>
    <w:rPr>
      <w:color w:val="0000FF"/>
      <w:u w:val="single"/>
    </w:rPr>
  </w:style>
  <w:style w:type="character" w:styleId="Style6" w:customStyle="1">
    <w:name w:val="Текст выноски Знак"/>
    <w:basedOn w:val="DefaultParagraphFont"/>
    <w:link w:val="BalloonText"/>
    <w:semiHidden/>
    <w:qFormat/>
    <w:rsid w:val="00150122"/>
    <w:rPr>
      <w:rFonts w:ascii="Tahoma" w:hAnsi="Tahoma" w:eastAsia="Times New Roman" w:cs="Tahoma"/>
      <w:sz w:val="16"/>
      <w:szCs w:val="16"/>
      <w:lang w:eastAsia="ru-RU"/>
    </w:rPr>
  </w:style>
  <w:style w:type="character" w:styleId="Annotationreference">
    <w:name w:val="annotation reference"/>
    <w:uiPriority w:val="99"/>
    <w:semiHidden/>
    <w:qFormat/>
    <w:rsid w:val="00150122"/>
    <w:rPr>
      <w:sz w:val="16"/>
      <w:szCs w:val="16"/>
    </w:rPr>
  </w:style>
  <w:style w:type="character" w:styleId="Style7" w:customStyle="1">
    <w:name w:val="Текст примечания Знак"/>
    <w:basedOn w:val="DefaultParagraphFont"/>
    <w:link w:val="Annotationtext"/>
    <w:semiHidden/>
    <w:qFormat/>
    <w:rsid w:val="00150122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8" w:customStyle="1">
    <w:name w:val="Тема примечания Знак"/>
    <w:basedOn w:val="Style7"/>
    <w:link w:val="Annotationsubject"/>
    <w:semiHidden/>
    <w:qFormat/>
    <w:rsid w:val="00150122"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Strong1">
    <w:name w:val="Strong1"/>
    <w:qFormat/>
    <w:rsid w:val="00150122"/>
    <w:rPr>
      <w:b/>
      <w:bCs/>
    </w:rPr>
  </w:style>
  <w:style w:type="character" w:styleId="Style9" w:customStyle="1">
    <w:name w:val="Название Знак"/>
    <w:link w:val="15"/>
    <w:uiPriority w:val="10"/>
    <w:qFormat/>
    <w:rsid w:val="00150122"/>
    <w:rPr>
      <w:rFonts w:ascii="Times New Roman" w:hAnsi="Times New Roman" w:eastAsia="Times New Roman" w:cs="Times New Roman"/>
      <w:sz w:val="28"/>
      <w:szCs w:val="20"/>
      <w:lang w:val="x-none" w:eastAsia="x-none"/>
    </w:rPr>
  </w:style>
  <w:style w:type="character" w:styleId="Style10" w:customStyle="1">
    <w:name w:val="Подзаголовок Знак"/>
    <w:basedOn w:val="DefaultParagraphFont"/>
    <w:uiPriority w:val="11"/>
    <w:qFormat/>
    <w:rsid w:val="00150122"/>
    <w:rPr>
      <w:rFonts w:ascii="Cambria" w:hAnsi="Cambria" w:eastAsia="Times New Roman" w:cs="Times New Roman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150122"/>
    <w:rPr>
      <w:i/>
      <w:iCs/>
    </w:rPr>
  </w:style>
  <w:style w:type="character" w:styleId="23" w:customStyle="1">
    <w:name w:val="Цитата 2 Знак"/>
    <w:basedOn w:val="DefaultParagraphFont"/>
    <w:link w:val="Quote"/>
    <w:uiPriority w:val="29"/>
    <w:qFormat/>
    <w:rsid w:val="00150122"/>
    <w:rPr>
      <w:rFonts w:ascii="Calibri" w:hAnsi="Calibri" w:eastAsia="Calibri" w:cs="Times New Roman"/>
      <w:i/>
      <w:iCs/>
      <w:color w:val="000000"/>
      <w:sz w:val="20"/>
      <w:szCs w:val="20"/>
      <w:lang w:val="x-none" w:eastAsia="x-none"/>
    </w:rPr>
  </w:style>
  <w:style w:type="character" w:styleId="Style11" w:customStyle="1">
    <w:name w:val="Выделенная цитата Знак"/>
    <w:basedOn w:val="DefaultParagraphFont"/>
    <w:link w:val="IntenseQuote"/>
    <w:uiPriority w:val="30"/>
    <w:qFormat/>
    <w:rsid w:val="00150122"/>
    <w:rPr>
      <w:rFonts w:ascii="Calibri" w:hAnsi="Calibri" w:eastAsia="Calibri" w:cs="Times New Roman"/>
      <w:b/>
      <w:bCs/>
      <w:i/>
      <w:iCs/>
      <w:color w:val="4F81BD"/>
      <w:sz w:val="20"/>
      <w:szCs w:val="20"/>
      <w:lang w:val="x-none" w:eastAsia="x-none"/>
    </w:rPr>
  </w:style>
  <w:style w:type="character" w:styleId="SubtleEmphasis">
    <w:name w:val="Subtle Emphasis"/>
    <w:uiPriority w:val="19"/>
    <w:qFormat/>
    <w:rsid w:val="00150122"/>
    <w:rPr>
      <w:i/>
      <w:iCs/>
      <w:color w:val="808080"/>
    </w:rPr>
  </w:style>
  <w:style w:type="character" w:styleId="IntenseEmphasis">
    <w:name w:val="Intense Emphasis"/>
    <w:uiPriority w:val="21"/>
    <w:qFormat/>
    <w:rsid w:val="00150122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150122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150122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150122"/>
    <w:rPr>
      <w:b/>
      <w:bCs/>
      <w:smallCaps/>
      <w:spacing w:val="5"/>
    </w:rPr>
  </w:style>
  <w:style w:type="character" w:styleId="Style12" w:customStyle="1">
    <w:name w:val="Электронная подпись Знак"/>
    <w:basedOn w:val="DefaultParagraphFont"/>
    <w:link w:val="E-mailSignature"/>
    <w:uiPriority w:val="99"/>
    <w:qFormat/>
    <w:rsid w:val="00150122"/>
    <w:rPr>
      <w:rFonts w:ascii="Times New Roman" w:hAnsi="Times New Roman" w:eastAsia="Calibri" w:cs="Times New Roman"/>
      <w:sz w:val="24"/>
      <w:szCs w:val="24"/>
      <w:lang w:val="x-none" w:eastAsia="x-none"/>
    </w:rPr>
  </w:style>
  <w:style w:type="character" w:styleId="11" w:customStyle="1">
    <w:name w:val="Подпункт Знак1"/>
    <w:link w:val="Style26"/>
    <w:qFormat/>
    <w:locked/>
    <w:rsid w:val="00150122"/>
    <w:rPr>
      <w:rFonts w:ascii="Times New Roman" w:hAnsi="Times New Roman" w:eastAsia="Times New Roman" w:cs="Times New Roman"/>
      <w:sz w:val="28"/>
      <w:szCs w:val="20"/>
      <w:lang w:val="x-none" w:eastAsia="x-none"/>
    </w:rPr>
  </w:style>
  <w:style w:type="character" w:styleId="Blk" w:customStyle="1">
    <w:name w:val="blk"/>
    <w:qFormat/>
    <w:rsid w:val="00150122"/>
    <w:rPr/>
  </w:style>
  <w:style w:type="character" w:styleId="Style13" w:customStyle="1">
    <w:name w:val="Абзац списка Знак"/>
    <w:link w:val="ListParagraph"/>
    <w:uiPriority w:val="34"/>
    <w:qFormat/>
    <w:locked/>
    <w:rsid w:val="00150122"/>
    <w:rPr>
      <w:rFonts w:ascii="Times New Roman" w:hAnsi="Times New Roman" w:eastAsia="Calibri" w:cs="Times New Roman"/>
      <w:sz w:val="24"/>
      <w:szCs w:val="24"/>
      <w:lang w:eastAsia="ru-RU"/>
    </w:rPr>
  </w:style>
  <w:style w:type="character" w:styleId="Style14" w:customStyle="1">
    <w:name w:val="комментарий"/>
    <w:qFormat/>
    <w:rsid w:val="00150122"/>
    <w:rPr>
      <w:b/>
      <w:i/>
      <w:shd w:fill="FFFF99" w:val="clear"/>
    </w:rPr>
  </w:style>
  <w:style w:type="character" w:styleId="Style15" w:customStyle="1">
    <w:name w:val="Подподпункт Знак"/>
    <w:link w:val="Style34"/>
    <w:qFormat/>
    <w:locked/>
    <w:rsid w:val="00150122"/>
    <w:rPr>
      <w:rFonts w:ascii="Times New Roman" w:hAnsi="Times New Roman" w:eastAsia="Times New Roman" w:cs="Times New Roman"/>
      <w:sz w:val="26"/>
      <w:szCs w:val="26"/>
      <w:lang w:eastAsia="ru-RU"/>
    </w:rPr>
  </w:style>
  <w:style w:type="character" w:styleId="33" w:customStyle="1">
    <w:name w:val="УРОВЕНЬ_Абзац_тип3 Знак"/>
    <w:link w:val="37"/>
    <w:qFormat/>
    <w:rsid w:val="00150122"/>
    <w:rPr>
      <w:rFonts w:ascii="Times New Roman" w:hAnsi="Times New Roman" w:eastAsia="Calibri" w:cs="Times New Roman"/>
      <w:sz w:val="26"/>
      <w:szCs w:val="28"/>
    </w:rPr>
  </w:style>
  <w:style w:type="character" w:styleId="Style16" w:customStyle="1">
    <w:name w:val="Текст концевой сноски Знак"/>
    <w:basedOn w:val="DefaultParagraphFont"/>
    <w:qFormat/>
    <w:rsid w:val="00150122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7">
    <w:name w:val="Символ концевой сноски"/>
    <w:qFormat/>
    <w:rsid w:val="00150122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4" w:customStyle="1">
    <w:name w:val="Пункт2 Знак"/>
    <w:link w:val="26"/>
    <w:qFormat/>
    <w:rsid w:val="00150122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12" w:customStyle="1">
    <w:name w:val="УРОВЕНЬ_1. Знак"/>
    <w:link w:val="19"/>
    <w:qFormat/>
    <w:rsid w:val="00150122"/>
    <w:rPr>
      <w:rFonts w:ascii="Times New Roman" w:hAnsi="Times New Roman" w:eastAsia="Calibri" w:cs="Times New Roman"/>
      <w:caps/>
      <w:sz w:val="28"/>
      <w:szCs w:val="28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150122"/>
    <w:rPr>
      <w:color w:val="605E5C"/>
      <w:shd w:fill="E1DFDD" w:val="clear"/>
    </w:rPr>
  </w:style>
  <w:style w:type="character" w:styleId="A11yhidden" w:customStyle="1">
    <w:name w:val="a11yhidden"/>
    <w:basedOn w:val="DefaultParagraphFont"/>
    <w:qFormat/>
    <w:rsid w:val="00150122"/>
    <w:rPr/>
  </w:style>
  <w:style w:type="character" w:styleId="Organictitlecontentspan" w:customStyle="1">
    <w:name w:val="organictitlecontentspan"/>
    <w:basedOn w:val="DefaultParagraphFont"/>
    <w:qFormat/>
    <w:rsid w:val="00150122"/>
    <w:rPr/>
  </w:style>
  <w:style w:type="character" w:styleId="Style18">
    <w:name w:val="Ссылка указателя"/>
    <w:qFormat/>
    <w:rPr/>
  </w:style>
  <w:style w:type="character" w:styleId="LineNumber">
    <w:name w:val="Line Number"/>
    <w:rPr/>
  </w:style>
  <w:style w:type="character" w:styleId="Style19">
    <w:name w:val="Символ нумерации"/>
    <w:qFormat/>
    <w:rPr/>
  </w:style>
  <w:style w:type="character" w:styleId="Strong">
    <w:name w:val="Strong"/>
    <w:qFormat/>
    <w:rPr>
      <w:b/>
      <w:bCs/>
    </w:rPr>
  </w:style>
  <w:style w:type="paragraph" w:styleId="Style2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5"/>
    <w:rsid w:val="00150122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/>
  </w:style>
  <w:style w:type="paragraph" w:styleId="Style22" w:customStyle="1">
    <w:name w:val="Название раздела инструкции"/>
    <w:basedOn w:val="Normal"/>
    <w:autoRedefine/>
    <w:qFormat/>
    <w:rsid w:val="00150122"/>
    <w:pPr>
      <w:jc w:val="center"/>
    </w:pPr>
    <w:rPr>
      <w:b/>
    </w:rPr>
  </w:style>
  <w:style w:type="paragraph" w:styleId="Style23" w:customStyle="1">
    <w:name w:val="Раздел положения"/>
    <w:basedOn w:val="Normal"/>
    <w:autoRedefine/>
    <w:qFormat/>
    <w:rsid w:val="00150122"/>
    <w:pPr>
      <w:numPr>
        <w:ilvl w:val="0"/>
        <w:numId w:val="2"/>
      </w:numPr>
      <w:spacing w:before="80" w:after="80"/>
      <w:jc w:val="center"/>
    </w:pPr>
    <w:rPr>
      <w:b/>
      <w:sz w:val="32"/>
      <w:szCs w:val="32"/>
    </w:rPr>
  </w:style>
  <w:style w:type="paragraph" w:styleId="Style24" w:customStyle="1">
    <w:name w:val="Подраздел раздела положения"/>
    <w:basedOn w:val="Normal"/>
    <w:autoRedefine/>
    <w:qFormat/>
    <w:rsid w:val="00150122"/>
    <w:pPr>
      <w:numPr>
        <w:ilvl w:val="1"/>
        <w:numId w:val="2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"/>
    <w:uiPriority w:val="99"/>
    <w:rsid w:val="00150122"/>
    <w:pPr/>
    <w:rPr>
      <w:sz w:val="20"/>
      <w:szCs w:val="20"/>
    </w:rPr>
  </w:style>
  <w:style w:type="paragraph" w:styleId="14" w:customStyle="1">
    <w:name w:val="Шапка 1"/>
    <w:basedOn w:val="Normal"/>
    <w:qFormat/>
    <w:rsid w:val="00150122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5" w:customStyle="1">
    <w:name w:val="Шапка 2"/>
    <w:basedOn w:val="Normal"/>
    <w:qFormat/>
    <w:rsid w:val="00150122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4" w:customStyle="1">
    <w:name w:val="Шапка 3"/>
    <w:basedOn w:val="Normal"/>
    <w:qFormat/>
    <w:rsid w:val="00150122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9"/>
    <w:uiPriority w:val="10"/>
    <w:qFormat/>
    <w:rsid w:val="00150122"/>
    <w:pPr>
      <w:jc w:val="center"/>
    </w:pPr>
    <w:rPr>
      <w:szCs w:val="20"/>
      <w:lang w:val="x-none" w:eastAsia="x-none"/>
    </w:rPr>
  </w:style>
  <w:style w:type="paragraph" w:styleId="Style25">
    <w:name w:val="Колонтитул"/>
    <w:basedOn w:val="Normal"/>
    <w:qFormat/>
    <w:pPr/>
    <w:rPr/>
  </w:style>
  <w:style w:type="paragraph" w:styleId="Header">
    <w:name w:val="Header"/>
    <w:basedOn w:val="Normal"/>
    <w:link w:val="Style2"/>
    <w:uiPriority w:val="99"/>
    <w:rsid w:val="00150122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link w:val="Style3"/>
    <w:rsid w:val="00150122"/>
    <w:pPr>
      <w:ind w:left="360" w:hanging="0"/>
    </w:pPr>
    <w:rPr>
      <w:sz w:val="24"/>
      <w:szCs w:val="24"/>
    </w:rPr>
  </w:style>
  <w:style w:type="paragraph" w:styleId="Footer">
    <w:name w:val="Footer"/>
    <w:basedOn w:val="Normal"/>
    <w:link w:val="Style4"/>
    <w:rsid w:val="00150122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link w:val="21"/>
    <w:qFormat/>
    <w:rsid w:val="00150122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link w:val="31"/>
    <w:qFormat/>
    <w:rsid w:val="00150122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150122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link w:val="22"/>
    <w:qFormat/>
    <w:rsid w:val="00150122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150122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6" w:customStyle="1">
    <w:name w:val="Подпункт"/>
    <w:basedOn w:val="Normal"/>
    <w:link w:val="11"/>
    <w:qFormat/>
    <w:rsid w:val="00150122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6" w:customStyle="1">
    <w:name w:val="Пункт2"/>
    <w:basedOn w:val="Normal"/>
    <w:link w:val="24"/>
    <w:qFormat/>
    <w:rsid w:val="00150122"/>
    <w:pPr>
      <w:keepNext w:val="true"/>
      <w:tabs>
        <w:tab w:val="clear" w:pos="708"/>
        <w:tab w:val="left" w:pos="1134" w:leader="none"/>
      </w:tabs>
      <w:suppressAutoHyphens w:val="true"/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150122"/>
    <w:pPr>
      <w:tabs>
        <w:tab w:val="clear" w:pos="708"/>
        <w:tab w:val="left" w:pos="567" w:leader="none"/>
        <w:tab w:val="right" w:pos="9911" w:leader="dot"/>
      </w:tabs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150122"/>
    <w:pPr>
      <w:tabs>
        <w:tab w:val="clear" w:pos="708"/>
        <w:tab w:val="left" w:pos="1120" w:leader="none"/>
        <w:tab w:val="right" w:pos="9911" w:leader="dot"/>
      </w:tabs>
      <w:ind w:left="567" w:hanging="0"/>
    </w:pPr>
    <w:rPr>
      <w:rFonts w:cs="Calibri" w:cstheme="minorHAnsi"/>
      <w:sz w:val="20"/>
      <w:szCs w:val="20"/>
    </w:rPr>
  </w:style>
  <w:style w:type="paragraph" w:styleId="Style27" w:customStyle="1">
    <w:name w:val="Раздел регламента"/>
    <w:basedOn w:val="Normal"/>
    <w:qFormat/>
    <w:rsid w:val="00150122"/>
    <w:pPr/>
    <w:rPr/>
  </w:style>
  <w:style w:type="paragraph" w:styleId="Style28" w:customStyle="1">
    <w:name w:val="Приложение к регламенту"/>
    <w:basedOn w:val="Normal"/>
    <w:qFormat/>
    <w:rsid w:val="00150122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150122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link w:val="Style6"/>
    <w:semiHidden/>
    <w:qFormat/>
    <w:rsid w:val="00150122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7"/>
    <w:semiHidden/>
    <w:qFormat/>
    <w:rsid w:val="00150122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8"/>
    <w:semiHidden/>
    <w:qFormat/>
    <w:rsid w:val="00150122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150122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150122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150122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150122"/>
    <w:pPr>
      <w:ind w:left="560" w:hanging="0"/>
    </w:pPr>
    <w:rPr>
      <w:rFonts w:cs="Calibri" w:cstheme="minorHAnsi"/>
      <w:sz w:val="20"/>
      <w:szCs w:val="20"/>
    </w:rPr>
  </w:style>
  <w:style w:type="paragraph" w:styleId="27" w:customStyle="1">
    <w:name w:val="Раздел положения 2"/>
    <w:basedOn w:val="Normal"/>
    <w:qFormat/>
    <w:rsid w:val="00150122"/>
    <w:pPr>
      <w:pageBreakBefore/>
      <w:jc w:val="both"/>
      <w:outlineLvl w:val="0"/>
    </w:pPr>
    <w:rPr>
      <w:b/>
    </w:rPr>
  </w:style>
  <w:style w:type="paragraph" w:styleId="Style29" w:customStyle="1">
    <w:name w:val="Знак Знак Знак Знак Знак Знак Знак Знак Знак"/>
    <w:basedOn w:val="Normal"/>
    <w:qFormat/>
    <w:rsid w:val="00150122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150122"/>
    <w:pPr>
      <w:spacing w:lineRule="auto" w:line="360"/>
    </w:pPr>
    <w:rPr>
      <w:rFonts w:eastAsia="Calibri"/>
      <w:sz w:val="24"/>
      <w:szCs w:val="24"/>
    </w:rPr>
  </w:style>
  <w:style w:type="paragraph" w:styleId="Caption1">
    <w:name w:val="caption1"/>
    <w:basedOn w:val="Normal"/>
    <w:next w:val="Normal"/>
    <w:uiPriority w:val="35"/>
    <w:qFormat/>
    <w:rsid w:val="00150122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10"/>
    <w:uiPriority w:val="11"/>
    <w:qFormat/>
    <w:rsid w:val="00150122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13"/>
    <w:uiPriority w:val="34"/>
    <w:qFormat/>
    <w:rsid w:val="00150122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3"/>
    <w:uiPriority w:val="29"/>
    <w:qFormat/>
    <w:rsid w:val="00150122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11"/>
    <w:uiPriority w:val="30"/>
    <w:qFormat/>
    <w:rsid w:val="00150122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20"/>
    <w:pPr/>
    <w:rPr/>
  </w:style>
  <w:style w:type="paragraph" w:styleId="TOCHeading">
    <w:name w:val="TOC Heading"/>
    <w:basedOn w:val="Heading1"/>
    <w:next w:val="Normal"/>
    <w:uiPriority w:val="39"/>
    <w:qFormat/>
    <w:rsid w:val="00150122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12"/>
    <w:uiPriority w:val="99"/>
    <w:unhideWhenUsed/>
    <w:qFormat/>
    <w:rsid w:val="00150122"/>
    <w:pPr/>
    <w:rPr>
      <w:rFonts w:eastAsia="Calibri"/>
      <w:sz w:val="24"/>
      <w:szCs w:val="24"/>
      <w:lang w:val="x-none" w:eastAsia="x-none"/>
    </w:rPr>
  </w:style>
  <w:style w:type="paragraph" w:styleId="Style30" w:customStyle="1">
    <w:name w:val="Знак"/>
    <w:basedOn w:val="Normal"/>
    <w:qFormat/>
    <w:rsid w:val="00150122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5" w:customStyle="1">
    <w:name w:val="Нумерованный список ур3"/>
    <w:basedOn w:val="Normal"/>
    <w:qFormat/>
    <w:rsid w:val="00150122"/>
    <w:pPr>
      <w:numPr>
        <w:ilvl w:val="2"/>
        <w:numId w:val="3"/>
      </w:numPr>
      <w:jc w:val="both"/>
    </w:pPr>
    <w:rPr>
      <w:rFonts w:ascii="Garamond" w:hAnsi="Garamond"/>
      <w:sz w:val="24"/>
      <w:szCs w:val="20"/>
    </w:rPr>
  </w:style>
  <w:style w:type="paragraph" w:styleId="ListBullet4" w:customStyle="1">
    <w:name w:val="List Bullet 4"/>
    <w:basedOn w:val="Normal"/>
    <w:qFormat/>
    <w:rsid w:val="00150122"/>
    <w:pPr>
      <w:numPr>
        <w:ilvl w:val="0"/>
        <w:numId w:val="3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8" w:customStyle="1">
    <w:name w:val="Нумерованный список ур2"/>
    <w:basedOn w:val="Normal"/>
    <w:qFormat/>
    <w:rsid w:val="00150122"/>
    <w:pPr>
      <w:numPr>
        <w:ilvl w:val="1"/>
        <w:numId w:val="3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15012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Calibri" w:cs="Times New Roman" w:eastAsiaTheme="minorHAnsi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150122"/>
    <w:pPr>
      <w:widowControl w:val="false"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6" w:customStyle="1">
    <w:name w:val="Знак Знак3 Знак Знак"/>
    <w:basedOn w:val="Normal"/>
    <w:qFormat/>
    <w:rsid w:val="00150122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31" w:customStyle="1">
    <w:name w:val="Пункт"/>
    <w:basedOn w:val="Normal"/>
    <w:qFormat/>
    <w:rsid w:val="00150122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150122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32" w:customStyle="1">
    <w:name w:val="Таблица"/>
    <w:basedOn w:val="Normal"/>
    <w:qFormat/>
    <w:rsid w:val="00150122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33" w:customStyle="1">
    <w:name w:val="Таблица шапка"/>
    <w:basedOn w:val="Normal"/>
    <w:qFormat/>
    <w:rsid w:val="00150122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4" w:customStyle="1">
    <w:name w:val="Подподпункт"/>
    <w:basedOn w:val="Style26"/>
    <w:link w:val="Style15"/>
    <w:qFormat/>
    <w:rsid w:val="00150122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5" w:customStyle="1">
    <w:name w:val="УРОВЕНЬ_(а)"/>
    <w:basedOn w:val="ListParagraph"/>
    <w:qFormat/>
    <w:rsid w:val="00150122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150122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9" w:customStyle="1">
    <w:name w:val="УРОВЕНЬ_Абзац_тип2"/>
    <w:basedOn w:val="ListParagraph"/>
    <w:qFormat/>
    <w:rsid w:val="00150122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7" w:customStyle="1">
    <w:name w:val="УРОВЕНЬ_Абзац_тип3"/>
    <w:basedOn w:val="ListParagraph"/>
    <w:link w:val="33"/>
    <w:qFormat/>
    <w:rsid w:val="00150122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6" w:customStyle="1">
    <w:name w:val="УРОВЕНЬ_Подпись"/>
    <w:basedOn w:val="ListParagraph"/>
    <w:qFormat/>
    <w:rsid w:val="00150122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150122"/>
    <w:pPr>
      <w:keepLines/>
      <w:numPr>
        <w:ilvl w:val="0"/>
        <w:numId w:val="0"/>
      </w:numPr>
      <w:tabs>
        <w:tab w:val="clear" w:pos="708"/>
        <w:tab w:val="left" w:pos="567" w:leader="none"/>
      </w:tabs>
      <w:suppressAutoHyphens w:val="true"/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6"/>
    <w:rsid w:val="00150122"/>
    <w:pPr/>
    <w:rPr>
      <w:sz w:val="20"/>
      <w:szCs w:val="20"/>
    </w:rPr>
  </w:style>
  <w:style w:type="paragraph" w:styleId="210" w:customStyle="1">
    <w:name w:val="Заголовок 2 КВВ"/>
    <w:basedOn w:val="Normal"/>
    <w:qFormat/>
    <w:rsid w:val="00150122"/>
    <w:pPr>
      <w:keepNext w:val="true"/>
      <w:numPr>
        <w:ilvl w:val="0"/>
        <w:numId w:val="5"/>
      </w:numPr>
      <w:suppressAutoHyphens w:val="true"/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7" w:customStyle="1">
    <w:name w:val="Таблица текст"/>
    <w:basedOn w:val="Normal"/>
    <w:qFormat/>
    <w:rsid w:val="00150122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150122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150122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150122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150122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150122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Headertext" w:customStyle="1">
    <w:name w:val="headertext"/>
    <w:basedOn w:val="Normal"/>
    <w:qFormat/>
    <w:rsid w:val="00150122"/>
    <w:pPr>
      <w:spacing w:beforeAutospacing="1" w:afterAutospacing="1"/>
    </w:pPr>
    <w:rPr>
      <w:sz w:val="24"/>
      <w:szCs w:val="24"/>
    </w:rPr>
  </w:style>
  <w:style w:type="paragraph" w:styleId="110" w:customStyle="1">
    <w:name w:val="Верхний колонтитул1"/>
    <w:basedOn w:val="Normal"/>
    <w:qFormat/>
    <w:rsid w:val="00150122"/>
    <w:pPr>
      <w:spacing w:beforeAutospacing="1" w:afterAutospacing="1"/>
    </w:pPr>
    <w:rPr>
      <w:sz w:val="24"/>
      <w:szCs w:val="24"/>
    </w:rPr>
  </w:style>
  <w:style w:type="paragraph" w:styleId="Style38">
    <w:name w:val="Содержимое врезки"/>
    <w:basedOn w:val="Normal"/>
    <w:qFormat/>
    <w:pPr/>
    <w:rPr/>
  </w:style>
  <w:style w:type="paragraph" w:styleId="Style39">
    <w:name w:val="Содержимое таблицы"/>
    <w:basedOn w:val="Normal"/>
    <w:qFormat/>
    <w:pPr>
      <w:widowControl w:val="false"/>
      <w:suppressLineNumbers/>
    </w:pPr>
    <w:rPr/>
  </w:style>
  <w:style w:type="paragraph" w:styleId="Style40">
    <w:name w:val="Заголовок таблицы"/>
    <w:basedOn w:val="Style39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1" w:customStyle="1">
    <w:name w:val="Стиль1"/>
    <w:uiPriority w:val="99"/>
    <w:qFormat/>
    <w:rsid w:val="00150122"/>
  </w:style>
  <w:style w:type="numbering" w:styleId="211" w:customStyle="1">
    <w:name w:val="Стиль2"/>
    <w:uiPriority w:val="99"/>
    <w:qFormat/>
    <w:rsid w:val="00150122"/>
  </w:style>
  <w:style w:type="numbering" w:styleId="123">
    <w:name w:val="Нумерованный 123"/>
    <w:qFormat/>
  </w:style>
  <w:style w:type="numbering" w:styleId="Style41">
    <w:name w:val="Маркер •"/>
    <w:qFormat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0">
    <w:name w:val="Table Grid"/>
    <w:basedOn w:val="a5"/>
    <w:uiPriority w:val="39"/>
    <w:rsid w:val="00150122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150122"/>
    <w:pPr>
      <w:spacing w:after="0" w:line="240" w:lineRule="auto"/>
    </w:pPr>
    <w:rPr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header" Target="header8.xml"/><Relationship Id="rId10" Type="http://schemas.openxmlformats.org/officeDocument/2006/relationships/header" Target="header9.xml"/><Relationship Id="rId11" Type="http://schemas.openxmlformats.org/officeDocument/2006/relationships/footnotes" Target="footnotes.xml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6708</TotalTime>
  <Application>AlterOffice/3.4.0.9$Linux_X86_64 LibreOffice_project/b8daf9e823b1a5463a2f48435ddc2e8696e7d4fc</Application>
  <AppVersion>15.0000</AppVersion>
  <Pages>26</Pages>
  <Words>3381</Words>
  <Characters>22471</Characters>
  <CharactersWithSpaces>25195</CharactersWithSpaces>
  <Paragraphs>726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2024-01-31T13:42:00Z</dcterms:created>
  <dc:creator>Веприцкий Александр Сергеевич</dc:creator>
  <dc:description/>
  <dc:language>ru-RU</dc:language>
  <cp:lastModifiedBy>pugandv@corp.gidroogk.com</cp:lastModifiedBy>
  <dcterms:modified xsi:type="dcterms:W3CDTF">2026-08-11T15:55:14Z</dcterms:modified>
  <cp:revision>70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