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4"/>
          <w:szCs w:val="24"/>
        </w:rPr>
      </w:pPr>
      <w:r>
        <w:rPr>
          <w:b/>
          <w:sz w:val="24"/>
          <w:szCs w:val="24"/>
        </w:rPr>
        <w:t xml:space="preserve">ПОРЯДОК ОЦЕНКИ И СОПОСТАВЛЕНИЯ ЗАЯВОК УЧАСТНИКОВ: </w:t>
      </w:r>
    </w:p>
    <w:p>
      <w:pPr>
        <w:pStyle w:val="Normal"/>
        <w:keepNext w:val="true"/>
        <w:keepLines/>
        <w:jc w:val="center"/>
        <w:rPr>
          <w:highlight w:val="none"/>
          <w:shd w:fill="auto" w:val="clear"/>
        </w:rPr>
      </w:pPr>
      <w:r>
        <w:rPr>
          <w:rFonts w:eastAsia="Calibri"/>
          <w:b/>
          <w:i/>
          <w:sz w:val="26"/>
          <w:szCs w:val="26"/>
          <w:shd w:fill="auto" w:val="clear"/>
        </w:rPr>
        <w:t xml:space="preserve">ОКПД2  27.33.13.163 Поставка кабельно-проводниковой продукции </w:t>
      </w:r>
    </w:p>
    <w:p>
      <w:pPr>
        <w:pStyle w:val="Normal"/>
        <w:jc w:val="center"/>
        <w:rPr>
          <w:highlight w:val="none"/>
          <w:shd w:fill="auto" w:val="clear"/>
        </w:rPr>
      </w:pPr>
      <w:r>
        <w:rPr>
          <w:rFonts w:eastAsia="Calibri"/>
          <w:b/>
          <w:i/>
          <w:sz w:val="26"/>
          <w:szCs w:val="26"/>
          <w:shd w:fill="auto" w:val="clear"/>
        </w:rPr>
        <w:t xml:space="preserve">для пополнения аварийного запаса </w:t>
      </w:r>
    </w:p>
    <w:p>
      <w:pPr>
        <w:pStyle w:val="Normal"/>
        <w:jc w:val="center"/>
        <w:rPr>
          <w:highlight w:val="none"/>
          <w:shd w:fill="auto" w:val="clear"/>
        </w:rPr>
      </w:pPr>
      <w:r>
        <w:rPr>
          <w:rFonts w:eastAsia="Calibri"/>
          <w:b/>
          <w:i/>
          <w:sz w:val="26"/>
          <w:szCs w:val="26"/>
          <w:shd w:fill="auto" w:val="clear"/>
        </w:rPr>
        <w:t>для нужд филиала ПАО «РусГидро» - «Загорская ГАЭС»</w:t>
      </w:r>
    </w:p>
    <w:tbl>
      <w:tblPr>
        <w:tblW w:w="15240"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1275"/>
        <w:gridCol w:w="1379"/>
        <w:gridCol w:w="1756"/>
        <w:gridCol w:w="1574"/>
        <w:gridCol w:w="1486"/>
        <w:gridCol w:w="1815"/>
        <w:gridCol w:w="5954"/>
      </w:tblGrid>
      <w:tr>
        <w:trPr>
          <w:cantSplit w:val="true"/>
        </w:trPr>
        <w:tc>
          <w:tcPr>
            <w:tcW w:w="1275"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Номер критерия оценки в структуре</w:t>
            </w:r>
          </w:p>
        </w:tc>
        <w:tc>
          <w:tcPr>
            <w:tcW w:w="1379"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bCs/>
                <w:sz w:val="20"/>
                <w:szCs w:val="20"/>
              </w:rPr>
              <w:t>Направление оценки заявок</w:t>
            </w:r>
          </w:p>
        </w:tc>
        <w:tc>
          <w:tcPr>
            <w:tcW w:w="3330" w:type="dxa"/>
            <w:gridSpan w:val="2"/>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Наименование критерия оценки</w:t>
            </w:r>
          </w:p>
        </w:tc>
        <w:tc>
          <w:tcPr>
            <w:tcW w:w="1486"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Значимость критерия оценки</w:t>
            </w:r>
          </w:p>
        </w:tc>
        <w:tc>
          <w:tcPr>
            <w:tcW w:w="1815"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Содержание частного критерия оценки</w:t>
            </w:r>
          </w:p>
        </w:tc>
        <w:tc>
          <w:tcPr>
            <w:tcW w:w="5954"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Расчет оценки предпочтительности заявки</w:t>
            </w:r>
          </w:p>
        </w:tc>
      </w:tr>
      <w:tr>
        <w:trPr>
          <w:cantSplit w:val="true"/>
        </w:trPr>
        <w:tc>
          <w:tcPr>
            <w:tcW w:w="1275"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r>
          </w:p>
        </w:tc>
        <w:tc>
          <w:tcPr>
            <w:tcW w:w="1379"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критерий оценки первого уровня</w:t>
            </w:r>
          </w:p>
        </w:tc>
        <w:tc>
          <w:tcPr>
            <w:tcW w:w="1574" w:type="dxa"/>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критерий оценки второго уровня</w:t>
            </w:r>
          </w:p>
        </w:tc>
        <w:tc>
          <w:tcPr>
            <w:tcW w:w="1486"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r>
          </w:p>
        </w:tc>
        <w:tc>
          <w:tcPr>
            <w:tcW w:w="1815"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r>
          </w:p>
        </w:tc>
        <w:tc>
          <w:tcPr>
            <w:tcW w:w="5954"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r>
          </w:p>
        </w:tc>
      </w:tr>
      <w:tr>
        <w:trPr>
          <w:trHeight w:val="5438" w:hRule="atLeast"/>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rPr>
              <w:t>1.</w:t>
            </w:r>
          </w:p>
        </w:tc>
        <w:tc>
          <w:tcPr>
            <w:tcW w:w="13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i/>
                <w:sz w:val="18"/>
                <w:szCs w:val="18"/>
                <w:shd w:fill="FFFFFF" w:val="clear"/>
              </w:rPr>
              <w:t>ЦЕНА</w:t>
            </w:r>
          </w:p>
        </w:tc>
        <w:tc>
          <w:tcPr>
            <w:tcW w:w="17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40" w:after="40"/>
              <w:jc w:val="center"/>
              <w:rPr>
                <w:sz w:val="18"/>
                <w:szCs w:val="18"/>
              </w:rPr>
            </w:pPr>
            <w:r>
              <w:rPr>
                <w:sz w:val="18"/>
                <w:szCs w:val="18"/>
                <w:shd w:fill="FFFFFF" w:val="clear"/>
              </w:rPr>
              <w:t>Цена договора</w:t>
            </w:r>
          </w:p>
          <w:p>
            <w:pPr>
              <w:pStyle w:val="Normal"/>
              <w:widowControl w:val="false"/>
              <w:shd w:val="clear" w:color="auto" w:fill="FFFFFF"/>
              <w:spacing w:before="40" w:after="40"/>
              <w:jc w:val="both"/>
              <w:rPr>
                <w:sz w:val="18"/>
                <w:szCs w:val="18"/>
              </w:rPr>
            </w:pPr>
            <w:r>
              <w:rPr>
                <w:sz w:val="18"/>
                <w:szCs w:val="18"/>
              </w:rPr>
            </w:r>
          </w:p>
        </w:tc>
        <w:tc>
          <w:tcPr>
            <w:tcW w:w="15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i/>
                <w:i/>
                <w:sz w:val="18"/>
                <w:szCs w:val="18"/>
              </w:rPr>
            </w:pPr>
            <w:r>
              <w:rPr>
                <w:sz w:val="18"/>
                <w:szCs w:val="18"/>
              </w:rPr>
              <w:t>отсутствует</w:t>
            </w:r>
          </w:p>
        </w:tc>
        <w:tc>
          <w:tcPr>
            <w:tcW w:w="14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lang w:val="en-US"/>
              </w:rPr>
              <w:t>70</w:t>
            </w:r>
            <w:r>
              <w:rPr>
                <w:sz w:val="18"/>
                <w:szCs w:val="18"/>
              </w:rPr>
              <w:t>%</w:t>
              <w:br/>
              <w:t>(В</w:t>
            </w:r>
            <w:r>
              <w:rPr>
                <w:sz w:val="18"/>
                <w:szCs w:val="18"/>
                <w:vertAlign w:val="subscript"/>
              </w:rPr>
              <w:t>1</w:t>
            </w:r>
            <w:r>
              <w:rPr>
                <w:sz w:val="18"/>
                <w:szCs w:val="18"/>
              </w:rPr>
              <w:t xml:space="preserve"> = 0,</w:t>
            </w:r>
            <w:r>
              <w:rPr>
                <w:sz w:val="18"/>
                <w:szCs w:val="18"/>
                <w:lang w:val="en-US"/>
              </w:rPr>
              <w:t>70</w:t>
            </w:r>
            <w:r>
              <w:rPr>
                <w:sz w:val="18"/>
                <w:szCs w:val="18"/>
              </w:rPr>
              <w:t>)</w:t>
            </w:r>
          </w:p>
          <w:p>
            <w:pPr>
              <w:pStyle w:val="Normal"/>
              <w:widowControl w:val="false"/>
              <w:spacing w:before="40" w:after="40"/>
              <w:jc w:val="both"/>
              <w:rPr>
                <w:sz w:val="18"/>
                <w:szCs w:val="18"/>
              </w:rPr>
            </w:pPr>
            <w:r>
              <w:rPr>
                <w:sz w:val="18"/>
                <w:szCs w:val="18"/>
              </w:rPr>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both"/>
              <w:rPr>
                <w:sz w:val="18"/>
                <w:szCs w:val="18"/>
              </w:rPr>
            </w:pPr>
            <w:r>
              <w:rPr>
                <w:sz w:val="18"/>
                <w:szCs w:val="18"/>
              </w:rPr>
              <w:t>Чем меньше цена договора, тем выше предпочтительность</w:t>
            </w:r>
          </w:p>
        </w:tc>
        <w:tc>
          <w:tcPr>
            <w:tcW w:w="59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pacing w:before="96" w:after="96"/>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ЦЕНАmin</m:t>
                    </m:r>
                  </m:num>
                  <m:den>
                    <m:r>
                      <w:rPr>
                        <w:rFonts w:ascii="Cambria Math" w:hAnsi="Cambria Math"/>
                      </w:rPr>
                      <m:t xml:space="preserve">ЦЕНАi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widowControl w:val="false"/>
              <w:spacing w:before="96" w:after="96"/>
              <w:rPr>
                <w:sz w:val="18"/>
                <w:szCs w:val="18"/>
              </w:rPr>
            </w:pPr>
            <w:r>
              <w:rPr>
                <w:sz w:val="18"/>
                <w:szCs w:val="18"/>
              </w:rPr>
              <w:t>где:</w:t>
            </w:r>
          </w:p>
          <w:p>
            <w:pPr>
              <w:pStyle w:val="Normal"/>
              <w:widowControl w:val="false"/>
              <w:spacing w:before="96" w:after="96"/>
              <w:rPr>
                <w:sz w:val="18"/>
                <w:szCs w:val="18"/>
              </w:rPr>
            </w:pPr>
            <w:r>
              <w:rPr>
                <w:sz w:val="18"/>
                <w:szCs w:val="18"/>
              </w:rPr>
              <w:t>Б</w:t>
            </w:r>
            <w:r>
              <w:rPr>
                <w:sz w:val="18"/>
                <w:szCs w:val="18"/>
                <w:vertAlign w:val="subscript"/>
              </w:rPr>
              <w:t>1</w:t>
            </w:r>
            <w:r>
              <w:rPr>
                <w:sz w:val="18"/>
                <w:szCs w:val="18"/>
              </w:rPr>
              <w:t xml:space="preserve"> – рассчитанная оценка предпочтительности по частному критерию оценки в баллах;</w:t>
            </w:r>
          </w:p>
          <w:p>
            <w:pPr>
              <w:pStyle w:val="Normal"/>
              <w:widowControl w:val="false"/>
              <w:spacing w:before="96" w:after="96"/>
              <w:rPr>
                <w:sz w:val="18"/>
                <w:szCs w:val="18"/>
              </w:rPr>
            </w:pPr>
            <w:r>
              <w:rPr>
                <w:sz w:val="18"/>
                <w:szCs w:val="18"/>
              </w:rPr>
              <w:t>ЦЕНА</w:t>
            </w:r>
            <w:r>
              <w:rPr>
                <w:i/>
                <w:iCs/>
                <w:sz w:val="18"/>
                <w:szCs w:val="18"/>
                <w:vertAlign w:val="subscript"/>
                <w:lang w:val="en-US"/>
              </w:rPr>
              <w:t>i</w:t>
            </w:r>
            <w:r>
              <w:rPr>
                <w:sz w:val="18"/>
                <w:szCs w:val="18"/>
              </w:rPr>
              <w:t> – цена договора, указанная в заявке допущенного участника, руб. без НДС;</w:t>
            </w:r>
          </w:p>
          <w:p>
            <w:pPr>
              <w:pStyle w:val="Normal"/>
              <w:widowControl w:val="false"/>
              <w:spacing w:before="96" w:after="96"/>
              <w:rPr>
                <w:sz w:val="18"/>
                <w:szCs w:val="18"/>
              </w:rPr>
            </w:pPr>
            <w:r>
              <w:rPr>
                <w:sz w:val="18"/>
                <w:szCs w:val="18"/>
              </w:rPr>
              <w:t>ЦЕНА</w:t>
            </w:r>
            <w:r>
              <w:rPr>
                <w:sz w:val="18"/>
                <w:szCs w:val="18"/>
                <w:vertAlign w:val="subscript"/>
                <w:lang w:val="en-US"/>
              </w:rPr>
              <w:t>min</w:t>
            </w:r>
            <w:r>
              <w:rPr>
                <w:sz w:val="18"/>
                <w:szCs w:val="18"/>
                <w:vertAlign w:val="subscript"/>
              </w:rPr>
              <w:t xml:space="preserve"> </w:t>
            </w:r>
            <w:r>
              <w:rPr>
                <w:sz w:val="18"/>
                <w:szCs w:val="18"/>
              </w:rPr>
              <w:t>– минимальная цена договора среди всех допущенных заявок участников, руб. без НДС;</w:t>
            </w:r>
          </w:p>
          <w:p>
            <w:pPr>
              <w:pStyle w:val="Normal"/>
              <w:widowControl w:val="false"/>
              <w:spacing w:before="96" w:after="96"/>
              <w:rPr>
                <w:sz w:val="18"/>
                <w:szCs w:val="18"/>
              </w:rPr>
            </w:pPr>
            <w:r>
              <w:rPr>
                <w:sz w:val="18"/>
                <w:szCs w:val="18"/>
              </w:rPr>
              <w:t>Ш – 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spacing w:before="96" w:after="96"/>
              <w:rPr>
                <w:sz w:val="18"/>
                <w:szCs w:val="18"/>
              </w:rPr>
            </w:pPr>
            <w:r>
              <w:rPr>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 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pPr>
              <w:pStyle w:val="Normal"/>
              <w:widowControl w:val="false"/>
              <w:spacing w:before="96" w:after="96"/>
              <w:rPr>
                <w:sz w:val="18"/>
                <w:szCs w:val="18"/>
              </w:rPr>
            </w:pPr>
            <w:r>
              <w:rPr>
                <w:sz w:val="18"/>
                <w:szCs w:val="18"/>
              </w:rPr>
              <w:t>Шкала оценок от 0 до 5 баллов.</w:t>
            </w:r>
          </w:p>
        </w:tc>
      </w:tr>
      <w:tr>
        <w:trPr>
          <w:trHeight w:val="5438" w:hRule="atLeast"/>
        </w:trPr>
        <w:tc>
          <w:tcPr>
            <w:tcW w:w="1275"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sz w:val="18"/>
                <w:szCs w:val="18"/>
              </w:rPr>
            </w:pPr>
            <w:r>
              <w:rPr>
                <w:rFonts w:eastAsia="Calibri"/>
                <w:sz w:val="18"/>
                <w:szCs w:val="18"/>
              </w:rPr>
              <w:t>2</w:t>
            </w:r>
          </w:p>
        </w:tc>
        <w:tc>
          <w:tcPr>
            <w:tcW w:w="1379"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eastAsiaTheme="minorHAnsi"/>
                <w:sz w:val="18"/>
                <w:szCs w:val="18"/>
              </w:rPr>
            </w:pPr>
            <w:r>
              <w:rPr>
                <w:sz w:val="18"/>
                <w:szCs w:val="18"/>
              </w:rPr>
              <w:t>Тех</w:t>
            </w:r>
          </w:p>
        </w:tc>
        <w:tc>
          <w:tcPr>
            <w:tcW w:w="1756"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sz w:val="18"/>
                <w:szCs w:val="18"/>
              </w:rPr>
            </w:pPr>
            <w:r>
              <w:rPr>
                <w:rFonts w:eastAsia="Calibri"/>
                <w:bCs/>
                <w:iCs/>
                <w:sz w:val="18"/>
                <w:szCs w:val="18"/>
              </w:rPr>
              <w:t xml:space="preserve">Квалификация </w:t>
            </w:r>
          </w:p>
        </w:tc>
        <w:tc>
          <w:tcPr>
            <w:tcW w:w="1574" w:type="dxa"/>
            <w:tcBorders>
              <w:left w:val="single" w:sz="4" w:space="0" w:color="000000"/>
              <w:bottom w:val="single" w:sz="4" w:space="0" w:color="000000"/>
              <w:right w:val="single" w:sz="4" w:space="0" w:color="000000"/>
            </w:tcBorders>
            <w:shd w:color="auto" w:fill="auto" w:val="clear"/>
          </w:tcPr>
          <w:p>
            <w:pPr>
              <w:pStyle w:val="Normal"/>
              <w:widowControl w:val="false"/>
              <w:ind w:left="-112" w:hanging="0"/>
              <w:jc w:val="center"/>
              <w:rPr>
                <w:rFonts w:eastAsia="Calibri"/>
                <w:sz w:val="18"/>
                <w:szCs w:val="18"/>
              </w:rPr>
            </w:pPr>
            <w:r>
              <w:rPr>
                <w:rFonts w:eastAsia="Calibri"/>
                <w:sz w:val="18"/>
                <w:szCs w:val="18"/>
              </w:rPr>
              <w:t>Отсутствует</w:t>
            </w:r>
          </w:p>
        </w:tc>
        <w:tc>
          <w:tcPr>
            <w:tcW w:w="1486" w:type="dxa"/>
            <w:tcBorders>
              <w:left w:val="single" w:sz="4" w:space="0" w:color="000000"/>
              <w:bottom w:val="single" w:sz="4" w:space="0" w:color="000000"/>
              <w:right w:val="single" w:sz="4" w:space="0" w:color="000000"/>
            </w:tcBorders>
            <w:shd w:color="auto" w:fill="auto" w:val="clear"/>
          </w:tcPr>
          <w:p>
            <w:pPr>
              <w:pStyle w:val="Normal"/>
              <w:widowControl w:val="false"/>
              <w:ind w:left="-110" w:hanging="0"/>
              <w:jc w:val="center"/>
              <w:rPr>
                <w:rFonts w:eastAsia="Calibri"/>
                <w:sz w:val="18"/>
                <w:szCs w:val="18"/>
              </w:rPr>
            </w:pPr>
            <w:r>
              <w:rPr>
                <w:rFonts w:eastAsia="Calibri"/>
                <w:sz w:val="18"/>
                <w:szCs w:val="18"/>
              </w:rPr>
              <w:t>20%</w:t>
              <w:br/>
              <w:t>(В</w:t>
            </w:r>
            <w:r>
              <w:rPr>
                <w:rFonts w:eastAsia="Calibri"/>
                <w:sz w:val="18"/>
                <w:szCs w:val="18"/>
                <w:vertAlign w:val="subscript"/>
              </w:rPr>
              <w:t>2</w:t>
            </w:r>
            <w:r>
              <w:rPr>
                <w:rFonts w:eastAsia="Calibri"/>
                <w:sz w:val="18"/>
                <w:szCs w:val="18"/>
              </w:rPr>
              <w:t xml:space="preserve"> = 0,2)</w:t>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ind w:left="-112" w:hanging="0"/>
              <w:jc w:val="center"/>
              <w:rPr>
                <w:sz w:val="18"/>
                <w:szCs w:val="18"/>
                <w:lang w:eastAsia="en-US"/>
              </w:rPr>
            </w:pPr>
            <w:r>
              <w:rPr>
                <w:sz w:val="18"/>
                <w:szCs w:val="18"/>
                <w:lang w:eastAsia="en-US"/>
              </w:rPr>
              <w:t>Отношение Участника закупки к изготовителю предлагаемой продукции</w:t>
            </w:r>
          </w:p>
          <w:p>
            <w:pPr>
              <w:pStyle w:val="Normal"/>
              <w:widowControl w:val="false"/>
              <w:ind w:left="-112" w:hanging="0"/>
              <w:jc w:val="center"/>
              <w:rPr>
                <w:rFonts w:eastAsia="Calibri" w:eastAsiaTheme="minorHAnsi"/>
                <w:sz w:val="18"/>
                <w:szCs w:val="18"/>
              </w:rPr>
            </w:pPr>
            <w:r>
              <w:rPr>
                <w:rFonts w:eastAsia="Calibri" w:eastAsiaTheme="minorHAnsi"/>
                <w:sz w:val="18"/>
                <w:szCs w:val="18"/>
              </w:rPr>
            </w:r>
          </w:p>
        </w:tc>
        <w:tc>
          <w:tcPr>
            <w:tcW w:w="5954" w:type="dxa"/>
            <w:tcBorders>
              <w:left w:val="single" w:sz="4" w:space="0" w:color="000000"/>
              <w:bottom w:val="single" w:sz="4" w:space="0" w:color="000000"/>
              <w:right w:val="single" w:sz="4" w:space="0" w:color="000000"/>
            </w:tcBorders>
            <w:shd w:color="auto" w:fill="auto" w:val="clear"/>
          </w:tcPr>
          <w:tbl>
            <w:tblPr>
              <w:tblW w:w="5797"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5797"/>
            </w:tblGrid>
            <w:tr>
              <w:trPr>
                <w:trHeight w:val="316" w:hRule="atLeast"/>
              </w:trPr>
              <w:tc>
                <w:tcPr>
                  <w:tcW w:w="5797" w:type="dxa"/>
                  <w:vMerge w:val="restart"/>
                  <w:tcBorders>
                    <w:top w:val="single" w:sz="4" w:space="0" w:color="000000"/>
                    <w:left w:val="single" w:sz="4" w:space="0" w:color="000000"/>
                    <w:bottom w:val="single" w:sz="4" w:space="0" w:color="000000"/>
                    <w:right w:val="single" w:sz="4" w:space="0" w:color="000000"/>
                  </w:tcBorders>
                  <w:shd w:color="auto" w:fill="D5D9DD" w:val="clear"/>
                </w:tcPr>
                <w:p>
                  <w:pPr>
                    <w:pStyle w:val="31"/>
                    <w:keepNext w:val="true"/>
                    <w:widowControl w:val="false"/>
                    <w:numPr>
                      <w:ilvl w:val="0"/>
                      <w:numId w:val="0"/>
                    </w:numPr>
                    <w:tabs>
                      <w:tab w:val="clear" w:pos="708"/>
                    </w:tabs>
                    <w:spacing w:lineRule="auto" w:line="240" w:before="40" w:after="40"/>
                    <w:ind w:left="0" w:hanging="0"/>
                    <w:jc w:val="left"/>
                    <w:rPr/>
                  </w:pPr>
                  <w:r>
                    <w:rPr>
                      <w:sz w:val="18"/>
                      <w:szCs w:val="18"/>
                      <w:lang w:eastAsia="ru-RU"/>
                    </w:rPr>
                    <w:t>Расчет оценки предпочтительности заявки (метод определения предпочтительности)</w:t>
                  </w:r>
                </w:p>
              </w:tc>
            </w:tr>
            <w:tr>
              <w:trPr>
                <w:trHeight w:val="514" w:hRule="atLeast"/>
              </w:trPr>
              <w:tc>
                <w:tcPr>
                  <w:tcW w:w="5797" w:type="dxa"/>
                  <w:vMerge w:val="continue"/>
                  <w:tcBorders>
                    <w:top w:val="single" w:sz="4" w:space="0" w:color="000000"/>
                    <w:left w:val="single" w:sz="4" w:space="0" w:color="000000"/>
                    <w:bottom w:val="single" w:sz="4" w:space="0" w:color="000000"/>
                    <w:right w:val="single" w:sz="4" w:space="0" w:color="000000"/>
                  </w:tcBorders>
                  <w:shd w:color="auto" w:fill="D5D9DD" w:val="clear"/>
                  <w:vAlign w:val="center"/>
                </w:tcPr>
                <w:p>
                  <w:pPr>
                    <w:pStyle w:val="Normal"/>
                    <w:widowControl w:val="false"/>
                    <w:spacing w:before="96" w:after="96"/>
                    <w:rPr>
                      <w:rFonts w:eastAsia="Calibri"/>
                      <w:sz w:val="18"/>
                      <w:szCs w:val="18"/>
                    </w:rPr>
                  </w:pPr>
                  <w:r>
                    <w:rPr>
                      <w:rFonts w:eastAsia="Calibri"/>
                      <w:sz w:val="18"/>
                      <w:szCs w:val="18"/>
                    </w:rPr>
                  </w:r>
                </w:p>
              </w:tc>
            </w:tr>
            <w:tr>
              <w:trPr>
                <w:trHeight w:val="3533" w:hRule="atLeast"/>
              </w:trPr>
              <w:tc>
                <w:tcPr>
                  <w:tcW w:w="5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ind w:left="134" w:firstLine="201"/>
                    <w:jc w:val="both"/>
                    <w:rPr>
                      <w:rFonts w:eastAsia="Calibri"/>
                      <w:sz w:val="18"/>
                      <w:szCs w:val="18"/>
                    </w:rPr>
                  </w:pPr>
                  <w:r>
                    <w:rPr>
                      <w:rFonts w:eastAsia="Calibri"/>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pacing w:before="40" w:after="40"/>
                    <w:ind w:left="134" w:firstLine="201"/>
                    <w:jc w:val="both"/>
                    <w:rPr>
                      <w:sz w:val="18"/>
                      <w:szCs w:val="18"/>
                    </w:rPr>
                  </w:pPr>
                  <w:r>
                    <w:rPr>
                      <w:sz w:val="18"/>
                      <w:szCs w:val="18"/>
                    </w:rPr>
                    <w:t xml:space="preserve">Порядок осуществления оценки (значение оцениваемого параметра) - в зависимости от предоставленных в </w:t>
                  </w:r>
                  <w:r>
                    <w:rPr>
                      <w:i/>
                      <w:sz w:val="18"/>
                      <w:szCs w:val="18"/>
                    </w:rPr>
                    <w:t>i</w:t>
                  </w:r>
                  <w:r>
                    <w:rPr>
                      <w:sz w:val="18"/>
                      <w:szCs w:val="18"/>
                    </w:rPr>
                    <w:t>-ой заявке копий документов, подтверждающих статус Участника</w:t>
                  </w:r>
                  <w:r>
                    <w:rPr>
                      <w:rStyle w:val="FootnoteReference"/>
                      <w:sz w:val="18"/>
                      <w:szCs w:val="18"/>
                    </w:rPr>
                    <w:footnoteReference w:id="2"/>
                  </w:r>
                  <w:r>
                    <w:rPr>
                      <w:sz w:val="18"/>
                      <w:szCs w:val="18"/>
                    </w:rPr>
                    <w:t>*:</w:t>
                  </w:r>
                </w:p>
                <w:p>
                  <w:pPr>
                    <w:pStyle w:val="Normal"/>
                    <w:widowControl w:val="false"/>
                    <w:spacing w:before="40" w:after="40"/>
                    <w:ind w:left="134" w:firstLine="201"/>
                    <w:jc w:val="both"/>
                    <w:rPr>
                      <w:sz w:val="18"/>
                      <w:szCs w:val="18"/>
                    </w:rPr>
                  </w:pPr>
                  <w:r>
                    <w:rPr>
                      <w:sz w:val="18"/>
                      <w:szCs w:val="18"/>
                    </w:rPr>
                    <w:t>При оценке участника критерий оценки «Отношение Участника закупки к изготовителю (производителю) предлагаемой продукции (в том числе её части)» применяется с учетом объема (по стоимости) предлагаемой Участником в данном статусе продукции (товара), при этом:</w:t>
                  </w:r>
                </w:p>
                <w:p>
                  <w:pPr>
                    <w:pStyle w:val="Normal"/>
                    <w:widowControl w:val="false"/>
                    <w:spacing w:before="40" w:after="40"/>
                    <w:ind w:firstLine="201"/>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r</m:t>
                          </m:r>
                        </m:sub>
                      </m:sSub>
                      <m:r>
                        <w:rPr>
                          <w:rFonts w:ascii="Cambria Math" w:hAnsi="Cambria Math"/>
                        </w:rPr>
                        <m:t xml:space="preserve">=</m:t>
                      </m:r>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k</m:t>
                              </m:r>
                            </m:e>
                            <m:sub>
                              <m:r>
                                <w:rPr>
                                  <w:rFonts w:ascii="Cambria Math" w:hAnsi="Cambria Math"/>
                                </w:rPr>
                                <m:t xml:space="preserve">i</m:t>
                              </m:r>
                            </m:sub>
                          </m:sSub>
                          <m:r>
                            <w:rPr>
                              <w:rFonts w:ascii="Cambria Math" w:hAnsi="Cambria Math"/>
                            </w:rPr>
                            <m:t xml:space="preserve">∗</m:t>
                          </m:r>
                          <m:sSub>
                            <m:e>
                              <m:r>
                                <w:rPr>
                                  <w:rFonts w:ascii="Cambria Math" w:hAnsi="Cambria Math"/>
                                </w:rPr>
                                <m:t xml:space="preserve">Б</m:t>
                              </m:r>
                            </m:e>
                            <m:sub>
                              <m:r>
                                <w:rPr>
                                  <w:rFonts w:ascii="Cambria Math" w:hAnsi="Cambria Math"/>
                                </w:rPr>
                                <m:t xml:space="preserve">i</m:t>
                              </m:r>
                            </m:sub>
                          </m:sSub>
                        </m:e>
                      </m:nary>
                    </m:oMath>
                  </m:oMathPara>
                </w:p>
                <w:tbl>
                  <w:tblPr>
                    <w:tblW w:w="572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130"/>
                    <w:gridCol w:w="4448"/>
                    <w:gridCol w:w="142"/>
                  </w:tblGrid>
                  <w:tr>
                    <w:trPr>
                      <w:trHeight w:val="309" w:hRule="atLeast"/>
                      <w:cantSplit w:val="true"/>
                    </w:trPr>
                    <w:tc>
                      <w:tcPr>
                        <w:tcW w:w="1130" w:type="dxa"/>
                        <w:tcBorders>
                          <w:top w:val="single" w:sz="4" w:space="0" w:color="000000"/>
                          <w:bottom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Fonts w:eastAsia="Calibri"/>
                            <w:sz w:val="14"/>
                            <w:szCs w:val="14"/>
                          </w:rPr>
                          <w:t>Б</w:t>
                        </w:r>
                        <w:r>
                          <w:rPr>
                            <w:rFonts w:eastAsia="Calibri"/>
                            <w:i/>
                            <w:sz w:val="14"/>
                            <w:szCs w:val="14"/>
                            <w:vertAlign w:val="subscript"/>
                          </w:rPr>
                          <w:t>i</w:t>
                        </w:r>
                        <w:r>
                          <w:rPr>
                            <w:rFonts w:eastAsia="Calibri"/>
                            <w:sz w:val="14"/>
                            <w:szCs w:val="14"/>
                          </w:rPr>
                          <w:t>= 0</w:t>
                        </w:r>
                      </w:p>
                    </w:tc>
                    <w:tc>
                      <w:tcPr>
                        <w:tcW w:w="4590" w:type="dxa"/>
                        <w:gridSpan w:val="2"/>
                        <w:tcBorders>
                          <w:top w:val="single" w:sz="4" w:space="0" w:color="000000"/>
                          <w:left w:val="single" w:sz="4" w:space="0" w:color="000000"/>
                          <w:bottom w:val="single" w:sz="4" w:space="0" w:color="000000"/>
                        </w:tcBorders>
                        <w:shd w:color="auto" w:fill="FFFFFF" w:val="clear"/>
                      </w:tcPr>
                      <w:p>
                        <w:pPr>
                          <w:pStyle w:val="Normal"/>
                          <w:widowControl w:val="false"/>
                          <w:numPr>
                            <w:ilvl w:val="0"/>
                            <w:numId w:val="0"/>
                          </w:numPr>
                          <w:snapToGrid w:val="false"/>
                          <w:spacing w:before="40" w:after="40"/>
                          <w:ind w:left="0" w:hanging="0"/>
                          <w:outlineLvl w:val="4"/>
                          <w:rPr>
                            <w:rFonts w:eastAsia="Calibri"/>
                            <w:sz w:val="14"/>
                            <w:szCs w:val="14"/>
                          </w:rPr>
                        </w:pPr>
                        <w:r>
                          <w:rPr>
                            <w:rFonts w:eastAsia="Calibri"/>
                            <w:b/>
                            <w:sz w:val="14"/>
                            <w:szCs w:val="14"/>
                          </w:rPr>
                          <w:t>1. Участник не является изготовителем (производителем) и/или аффилированным изготовителю (производителю) по одному из пунктов, указанных в Таблице - Признаки аффилированности и документы, подтверждающие данные признаки (форма №__ Документации о закупке) не представлены, и/или представителем изготовителя (производителя)</w:t>
                        </w:r>
                        <w:r>
                          <w:rPr>
                            <w:rFonts w:eastAsia="Calibri"/>
                            <w:sz w:val="14"/>
                            <w:szCs w:val="14"/>
                          </w:rPr>
                          <w:t>.</w:t>
                        </w:r>
                      </w:p>
                      <w:p>
                        <w:pPr>
                          <w:pStyle w:val="Normal"/>
                          <w:widowControl w:val="false"/>
                          <w:numPr>
                            <w:ilvl w:val="0"/>
                            <w:numId w:val="0"/>
                          </w:numPr>
                          <w:snapToGrid w:val="false"/>
                          <w:spacing w:before="40" w:after="40"/>
                          <w:ind w:left="0" w:hanging="0"/>
                          <w:outlineLvl w:val="4"/>
                          <w:rPr>
                            <w:rFonts w:eastAsia="Calibri"/>
                            <w:sz w:val="14"/>
                            <w:szCs w:val="14"/>
                          </w:rPr>
                        </w:pPr>
                        <w:r>
                          <w:rPr>
                            <w:rFonts w:eastAsia="Calibri"/>
                            <w:sz w:val="14"/>
                            <w:szCs w:val="14"/>
                          </w:rPr>
                        </w:r>
                      </w:p>
                      <w:p>
                        <w:pPr>
                          <w:pStyle w:val="Normal"/>
                          <w:widowControl w:val="false"/>
                          <w:numPr>
                            <w:ilvl w:val="0"/>
                            <w:numId w:val="0"/>
                          </w:numPr>
                          <w:snapToGrid w:val="false"/>
                          <w:spacing w:before="40" w:after="40"/>
                          <w:ind w:left="0" w:hanging="0"/>
                          <w:outlineLvl w:val="4"/>
                          <w:rPr>
                            <w:rFonts w:eastAsia="Calibri"/>
                            <w:b/>
                            <w:sz w:val="14"/>
                            <w:szCs w:val="14"/>
                          </w:rPr>
                        </w:pPr>
                        <w:r>
                          <w:rPr>
                            <w:rFonts w:eastAsia="Calibri"/>
                            <w:b/>
                            <w:sz w:val="14"/>
                            <w:szCs w:val="14"/>
                          </w:rPr>
                          <w:t>2. В случае непредставления документов, подтверждающих статус Участника.</w:t>
                        </w:r>
                      </w:p>
                    </w:tc>
                  </w:tr>
                  <w:tr>
                    <w:trPr>
                      <w:trHeight w:val="309" w:hRule="atLeast"/>
                      <w:cantSplit w:val="true"/>
                    </w:trPr>
                    <w:tc>
                      <w:tcPr>
                        <w:tcW w:w="1130" w:type="dxa"/>
                        <w:tcBorders>
                          <w:top w:val="single" w:sz="4" w:space="0" w:color="000000"/>
                          <w:bottom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Fonts w:eastAsia="Calibri"/>
                            <w:sz w:val="14"/>
                            <w:szCs w:val="14"/>
                          </w:rPr>
                          <w:t>Б</w:t>
                        </w:r>
                        <w:r>
                          <w:rPr>
                            <w:rFonts w:eastAsia="Calibri"/>
                            <w:i/>
                            <w:sz w:val="14"/>
                            <w:szCs w:val="14"/>
                            <w:vertAlign w:val="subscript"/>
                          </w:rPr>
                          <w:t>i</w:t>
                        </w:r>
                        <w:r>
                          <w:rPr>
                            <w:rFonts w:eastAsia="Calibri"/>
                            <w:sz w:val="14"/>
                            <w:szCs w:val="14"/>
                          </w:rPr>
                          <w:t>= 1</w:t>
                        </w:r>
                      </w:p>
                    </w:tc>
                    <w:tc>
                      <w:tcPr>
                        <w:tcW w:w="4448" w:type="dxa"/>
                        <w:tcBorders>
                          <w:top w:val="single" w:sz="4" w:space="0" w:color="000000"/>
                          <w:left w:val="single" w:sz="4" w:space="0" w:color="000000"/>
                          <w:bottom w:val="single" w:sz="4" w:space="0" w:color="000000"/>
                        </w:tcBorders>
                        <w:shd w:color="auto" w:fill="FFFFFF" w:val="clear"/>
                      </w:tcPr>
                      <w:p>
                        <w:pPr>
                          <w:pStyle w:val="Normal"/>
                          <w:widowControl w:val="false"/>
                          <w:numPr>
                            <w:ilvl w:val="0"/>
                            <w:numId w:val="0"/>
                          </w:numPr>
                          <w:snapToGrid w:val="false"/>
                          <w:spacing w:before="40" w:after="40"/>
                          <w:ind w:left="0" w:hanging="0"/>
                          <w:jc w:val="both"/>
                          <w:outlineLvl w:val="4"/>
                          <w:rPr>
                            <w:rFonts w:eastAsia="Calibri"/>
                            <w:b/>
                            <w:sz w:val="14"/>
                            <w:szCs w:val="14"/>
                          </w:rPr>
                        </w:pPr>
                        <w:r>
                          <w:rPr>
                            <w:rFonts w:eastAsia="Calibri"/>
                            <w:b/>
                            <w:bCs/>
                            <w:sz w:val="14"/>
                            <w:szCs w:val="14"/>
                          </w:rPr>
                          <w:t>Участником получено согласие от производителя на поставку продукции, в случае признания Участника Победителем</w:t>
                        </w:r>
                      </w:p>
                      <w:p>
                        <w:pPr>
                          <w:pStyle w:val="Normal"/>
                          <w:widowControl w:val="false"/>
                          <w:numPr>
                            <w:ilvl w:val="0"/>
                            <w:numId w:val="0"/>
                          </w:numPr>
                          <w:snapToGrid w:val="false"/>
                          <w:spacing w:before="40" w:after="40"/>
                          <w:ind w:left="0" w:hanging="0"/>
                          <w:jc w:val="both"/>
                          <w:outlineLvl w:val="4"/>
                          <w:rPr>
                            <w:rFonts w:eastAsia="Calibri"/>
                            <w:sz w:val="14"/>
                            <w:szCs w:val="14"/>
                          </w:rPr>
                        </w:pPr>
                        <w:r>
                          <w:rPr>
                            <w:rFonts w:eastAsia="Calibri"/>
                            <w:sz w:val="14"/>
                            <w:szCs w:val="14"/>
                          </w:rPr>
                          <w:t>(статус участника подтверждается официальным письмом, подписанным уполномоченным представителем изготовителя (производителя) предлагаемой к поставке продукции,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p>
                    </w:tc>
                    <w:tc>
                      <w:tcPr>
                        <w:tcW w:w="142" w:type="dxa"/>
                        <w:tcBorders/>
                      </w:tcPr>
                      <w:p>
                        <w:pPr>
                          <w:pStyle w:val="Normal"/>
                          <w:widowControl w:val="false"/>
                          <w:rPr/>
                        </w:pPr>
                        <w:r>
                          <w:rPr/>
                        </w:r>
                      </w:p>
                    </w:tc>
                  </w:tr>
                  <w:tr>
                    <w:trPr>
                      <w:trHeight w:val="309" w:hRule="atLeast"/>
                      <w:cantSplit w:val="true"/>
                    </w:trPr>
                    <w:tc>
                      <w:tcPr>
                        <w:tcW w:w="1130" w:type="dxa"/>
                        <w:tcBorders>
                          <w:top w:val="single" w:sz="4" w:space="0" w:color="000000"/>
                          <w:bottom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Fonts w:eastAsia="Calibri"/>
                            <w:sz w:val="14"/>
                            <w:szCs w:val="14"/>
                          </w:rPr>
                          <w:t>Б</w:t>
                        </w:r>
                        <w:r>
                          <w:rPr>
                            <w:rFonts w:eastAsia="Calibri"/>
                            <w:i/>
                            <w:sz w:val="14"/>
                            <w:szCs w:val="14"/>
                            <w:vertAlign w:val="subscript"/>
                          </w:rPr>
                          <w:t>i</w:t>
                        </w:r>
                        <w:r>
                          <w:rPr>
                            <w:rFonts w:eastAsia="Calibri"/>
                            <w:sz w:val="14"/>
                            <w:szCs w:val="14"/>
                          </w:rPr>
                          <w:t>= 2</w:t>
                        </w:r>
                      </w:p>
                    </w:tc>
                    <w:tc>
                      <w:tcPr>
                        <w:tcW w:w="4448" w:type="dxa"/>
                        <w:tcBorders>
                          <w:top w:val="single" w:sz="4" w:space="0" w:color="000000"/>
                          <w:left w:val="single" w:sz="4" w:space="0" w:color="000000"/>
                          <w:bottom w:val="single" w:sz="4" w:space="0" w:color="000000"/>
                        </w:tcBorders>
                        <w:shd w:color="auto" w:fill="FFFFFF" w:val="clear"/>
                      </w:tcPr>
                      <w:p>
                        <w:pPr>
                          <w:pStyle w:val="Docdata"/>
                          <w:widowControl w:val="false"/>
                          <w:spacing w:beforeAutospacing="0" w:before="40" w:afterAutospacing="0" w:after="40"/>
                          <w:jc w:val="both"/>
                          <w:rPr>
                            <w:sz w:val="14"/>
                            <w:szCs w:val="14"/>
                          </w:rPr>
                        </w:pPr>
                        <w:r>
                          <w:rPr>
                            <w:b/>
                            <w:bCs/>
                            <w:color w:val="000000"/>
                            <w:sz w:val="14"/>
                            <w:szCs w:val="14"/>
                          </w:rPr>
                          <w:t>Участник является официальным представителем изготовителя (производителя)</w:t>
                        </w:r>
                      </w:p>
                      <w:p>
                        <w:pPr>
                          <w:pStyle w:val="NormalWeb"/>
                          <w:widowControl w:val="false"/>
                          <w:spacing w:before="40" w:after="40"/>
                          <w:jc w:val="both"/>
                          <w:rPr>
                            <w:sz w:val="14"/>
                            <w:szCs w:val="14"/>
                          </w:rPr>
                        </w:pPr>
                        <w:r>
                          <w:rPr>
                            <w:color w:val="000000"/>
                            <w:sz w:val="14"/>
                            <w:szCs w:val="14"/>
                          </w:rPr>
                          <w:t>(статус подтверждается действующими на момент подачи заявки документами изготовителя (производителя), в которых указан статус Участника в качестве представителя/дилера, сроком действия не менее одного года или копией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p>
                    </w:tc>
                    <w:tc>
                      <w:tcPr>
                        <w:tcW w:w="142" w:type="dxa"/>
                        <w:tcBorders/>
                      </w:tcPr>
                      <w:p>
                        <w:pPr>
                          <w:pStyle w:val="Normal"/>
                          <w:widowControl w:val="false"/>
                          <w:rPr/>
                        </w:pPr>
                        <w:r>
                          <w:rPr/>
                        </w:r>
                      </w:p>
                    </w:tc>
                  </w:tr>
                  <w:tr>
                    <w:trPr>
                      <w:trHeight w:val="309" w:hRule="atLeast"/>
                      <w:cantSplit w:val="true"/>
                    </w:trPr>
                    <w:tc>
                      <w:tcPr>
                        <w:tcW w:w="1130" w:type="dxa"/>
                        <w:tcBorders>
                          <w:top w:val="single" w:sz="4" w:space="0" w:color="000000"/>
                          <w:bottom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Fonts w:eastAsia="Calibri"/>
                            <w:sz w:val="14"/>
                            <w:szCs w:val="14"/>
                          </w:rPr>
                          <w:t>Б</w:t>
                        </w:r>
                        <w:r>
                          <w:rPr>
                            <w:rFonts w:eastAsia="Calibri"/>
                            <w:i/>
                            <w:sz w:val="14"/>
                            <w:szCs w:val="14"/>
                            <w:vertAlign w:val="subscript"/>
                          </w:rPr>
                          <w:t>i</w:t>
                        </w:r>
                        <w:r>
                          <w:rPr>
                            <w:rFonts w:eastAsia="Calibri"/>
                            <w:sz w:val="14"/>
                            <w:szCs w:val="14"/>
                          </w:rPr>
                          <w:t>= 3</w:t>
                        </w:r>
                      </w:p>
                    </w:tc>
                    <w:tc>
                      <w:tcPr>
                        <w:tcW w:w="4448" w:type="dxa"/>
                        <w:tcBorders>
                          <w:top w:val="single" w:sz="4" w:space="0" w:color="000000"/>
                          <w:left w:val="single" w:sz="4" w:space="0" w:color="000000"/>
                          <w:bottom w:val="single" w:sz="4" w:space="0" w:color="000000"/>
                        </w:tcBorders>
                        <w:shd w:color="auto" w:fill="FFFFFF" w:val="clear"/>
                      </w:tcPr>
                      <w:p>
                        <w:pPr>
                          <w:pStyle w:val="Normal"/>
                          <w:widowControl w:val="false"/>
                          <w:numPr>
                            <w:ilvl w:val="0"/>
                            <w:numId w:val="0"/>
                          </w:numPr>
                          <w:snapToGrid w:val="false"/>
                          <w:spacing w:before="40" w:after="40"/>
                          <w:ind w:left="0" w:hanging="0"/>
                          <w:jc w:val="both"/>
                          <w:outlineLvl w:val="4"/>
                          <w:rPr>
                            <w:rFonts w:eastAsia="Calibri"/>
                            <w:b/>
                            <w:sz w:val="14"/>
                            <w:szCs w:val="14"/>
                          </w:rPr>
                        </w:pPr>
                        <w:r>
                          <w:rPr>
                            <w:rFonts w:eastAsia="Calibri"/>
                            <w:b/>
                            <w:sz w:val="14"/>
                            <w:szCs w:val="14"/>
                          </w:rPr>
                          <w:t xml:space="preserve">Участник является аффилированным изготовителю (производителю) по одному из следующих пунктов 7, 9, указанных в Таблице - Признаки аффилированности и представлены документы, подтверждающие данные признаки (форма №__ Документации о закупке). </w:t>
                        </w:r>
                        <w:r>
                          <w:rPr>
                            <w:rFonts w:eastAsia="Calibri"/>
                            <w:sz w:val="14"/>
                            <w:szCs w:val="14"/>
                          </w:rPr>
                          <w:t>(статус аффилированности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c>
                      <w:tcPr>
                        <w:tcW w:w="142" w:type="dxa"/>
                        <w:tcBorders/>
                      </w:tcPr>
                      <w:p>
                        <w:pPr>
                          <w:pStyle w:val="Normal"/>
                          <w:widowControl w:val="false"/>
                          <w:rPr/>
                        </w:pPr>
                        <w:r>
                          <w:rPr/>
                        </w:r>
                      </w:p>
                    </w:tc>
                  </w:tr>
                  <w:tr>
                    <w:trPr>
                      <w:trHeight w:val="309" w:hRule="atLeast"/>
                      <w:cantSplit w:val="true"/>
                    </w:trPr>
                    <w:tc>
                      <w:tcPr>
                        <w:tcW w:w="1130" w:type="dxa"/>
                        <w:tcBorders>
                          <w:top w:val="single" w:sz="4" w:space="0" w:color="000000"/>
                          <w:bottom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Fonts w:eastAsia="Calibri"/>
                            <w:sz w:val="14"/>
                            <w:szCs w:val="14"/>
                          </w:rPr>
                          <w:t>Б</w:t>
                        </w:r>
                        <w:r>
                          <w:rPr>
                            <w:rFonts w:eastAsia="Calibri"/>
                            <w:i/>
                            <w:sz w:val="14"/>
                            <w:szCs w:val="14"/>
                            <w:vertAlign w:val="subscript"/>
                          </w:rPr>
                          <w:t>i</w:t>
                        </w:r>
                        <w:r>
                          <w:rPr>
                            <w:rFonts w:eastAsia="Calibri"/>
                            <w:sz w:val="14"/>
                            <w:szCs w:val="14"/>
                          </w:rPr>
                          <w:t>= 4</w:t>
                        </w:r>
                      </w:p>
                    </w:tc>
                    <w:tc>
                      <w:tcPr>
                        <w:tcW w:w="4448" w:type="dxa"/>
                        <w:tcBorders>
                          <w:top w:val="single" w:sz="4" w:space="0" w:color="000000"/>
                          <w:left w:val="single" w:sz="4" w:space="0" w:color="000000"/>
                          <w:bottom w:val="single" w:sz="4" w:space="0" w:color="000000"/>
                        </w:tcBorders>
                        <w:shd w:color="auto" w:fill="FFFFFF" w:val="clear"/>
                      </w:tcPr>
                      <w:p>
                        <w:pPr>
                          <w:pStyle w:val="Normal"/>
                          <w:widowControl w:val="false"/>
                          <w:numPr>
                            <w:ilvl w:val="0"/>
                            <w:numId w:val="0"/>
                          </w:numPr>
                          <w:snapToGrid w:val="false"/>
                          <w:spacing w:before="40" w:after="40"/>
                          <w:ind w:left="0" w:hanging="0"/>
                          <w:jc w:val="both"/>
                          <w:outlineLvl w:val="4"/>
                          <w:rPr>
                            <w:rFonts w:eastAsia="Calibri"/>
                            <w:b/>
                            <w:sz w:val="14"/>
                            <w:szCs w:val="14"/>
                          </w:rPr>
                        </w:pPr>
                        <w:r>
                          <w:rPr>
                            <w:rFonts w:eastAsia="Calibri"/>
                            <w:b/>
                            <w:sz w:val="14"/>
                            <w:szCs w:val="14"/>
                          </w:rPr>
                          <w:t>Участник является аффилированным изготовителю (производителю) по одному из следующих пунктов 4, 5, 8, 10, указанных в Таблице - Признаки аффилированности и представлены документы, подтверждающие данные признаки (форма №__ Документации о закупке).</w:t>
                        </w:r>
                      </w:p>
                      <w:p>
                        <w:pPr>
                          <w:pStyle w:val="Normal"/>
                          <w:widowControl w:val="false"/>
                          <w:numPr>
                            <w:ilvl w:val="0"/>
                            <w:numId w:val="0"/>
                          </w:numPr>
                          <w:snapToGrid w:val="false"/>
                          <w:spacing w:before="40" w:after="40"/>
                          <w:ind w:left="0" w:hanging="0"/>
                          <w:jc w:val="both"/>
                          <w:outlineLvl w:val="4"/>
                          <w:rPr>
                            <w:rFonts w:eastAsia="Calibri"/>
                            <w:b/>
                            <w:sz w:val="14"/>
                            <w:szCs w:val="14"/>
                          </w:rPr>
                        </w:pPr>
                        <w:r>
                          <w:rPr>
                            <w:rFonts w:eastAsia="Calibri"/>
                            <w:sz w:val="14"/>
                            <w:szCs w:val="14"/>
                          </w:rPr>
                          <w:t>(статус аффилированности</w:t>
                        </w:r>
                        <w:bookmarkStart w:id="0" w:name="_GoBack_Копия_1"/>
                        <w:bookmarkEnd w:id="0"/>
                        <w:r>
                          <w:rPr>
                            <w:rFonts w:eastAsia="Calibri"/>
                            <w:sz w:val="14"/>
                            <w:szCs w:val="14"/>
                          </w:rPr>
                          <w:t xml:space="preserve">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c>
                      <w:tcPr>
                        <w:tcW w:w="142" w:type="dxa"/>
                        <w:tcBorders/>
                      </w:tcPr>
                      <w:p>
                        <w:pPr>
                          <w:pStyle w:val="Normal"/>
                          <w:widowControl w:val="false"/>
                          <w:rPr/>
                        </w:pPr>
                        <w:r>
                          <w:rPr/>
                        </w:r>
                      </w:p>
                    </w:tc>
                  </w:tr>
                  <w:tr>
                    <w:trPr>
                      <w:trHeight w:val="309" w:hRule="atLeast"/>
                      <w:cantSplit w:val="true"/>
                    </w:trPr>
                    <w:tc>
                      <w:tcPr>
                        <w:tcW w:w="1130" w:type="dxa"/>
                        <w:tcBorders>
                          <w:top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Fonts w:eastAsia="Calibri"/>
                            <w:sz w:val="14"/>
                            <w:szCs w:val="14"/>
                          </w:rPr>
                          <w:t>Б</w:t>
                        </w:r>
                        <w:r>
                          <w:rPr>
                            <w:rFonts w:eastAsia="Calibri"/>
                            <w:i/>
                            <w:sz w:val="14"/>
                            <w:szCs w:val="14"/>
                            <w:vertAlign w:val="subscript"/>
                          </w:rPr>
                          <w:t>i</w:t>
                        </w:r>
                        <w:r>
                          <w:rPr>
                            <w:rFonts w:eastAsia="Calibri"/>
                            <w:sz w:val="14"/>
                            <w:szCs w:val="14"/>
                          </w:rPr>
                          <w:t>= 5</w:t>
                        </w:r>
                      </w:p>
                    </w:tc>
                    <w:tc>
                      <w:tcPr>
                        <w:tcW w:w="4448" w:type="dxa"/>
                        <w:tcBorders>
                          <w:top w:val="single" w:sz="4" w:space="0" w:color="000000"/>
                          <w:left w:val="single" w:sz="4" w:space="0" w:color="000000"/>
                        </w:tcBorders>
                        <w:shd w:color="auto" w:fill="FFFFFF" w:val="clear"/>
                      </w:tcPr>
                      <w:p>
                        <w:pPr>
                          <w:pStyle w:val="Normal"/>
                          <w:widowControl w:val="false"/>
                          <w:numPr>
                            <w:ilvl w:val="0"/>
                            <w:numId w:val="0"/>
                          </w:numPr>
                          <w:snapToGrid w:val="false"/>
                          <w:spacing w:before="40" w:after="40"/>
                          <w:ind w:left="0" w:hanging="0"/>
                          <w:jc w:val="both"/>
                          <w:outlineLvl w:val="4"/>
                          <w:rPr>
                            <w:rFonts w:eastAsia="Calibri"/>
                            <w:b/>
                            <w:sz w:val="14"/>
                            <w:szCs w:val="14"/>
                          </w:rPr>
                        </w:pPr>
                        <w:r>
                          <w:rPr>
                            <w:rFonts w:eastAsia="Calibri"/>
                            <w:b/>
                            <w:sz w:val="14"/>
                            <w:szCs w:val="14"/>
                          </w:rPr>
                          <w:t>1. Участник является изготовителем (производителем)</w:t>
                        </w:r>
                      </w:p>
                      <w:p>
                        <w:pPr>
                          <w:pStyle w:val="Normal"/>
                          <w:widowControl w:val="false"/>
                          <w:numPr>
                            <w:ilvl w:val="0"/>
                            <w:numId w:val="0"/>
                          </w:numPr>
                          <w:snapToGrid w:val="false"/>
                          <w:spacing w:before="40" w:after="40"/>
                          <w:ind w:left="0" w:hanging="0"/>
                          <w:jc w:val="both"/>
                          <w:outlineLvl w:val="4"/>
                          <w:rPr>
                            <w:rFonts w:eastAsia="Calibri"/>
                            <w:sz w:val="14"/>
                            <w:szCs w:val="14"/>
                          </w:rPr>
                        </w:pPr>
                        <w:r>
                          <w:rPr>
                            <w:rFonts w:eastAsia="Calibri"/>
                            <w:sz w:val="14"/>
                            <w:szCs w:val="14"/>
                          </w:rPr>
                          <w:t>(подтверждается документами на предлагаемую продукцию (товар), в которых указан изготовитель (производитель))</w:t>
                        </w:r>
                        <w:r>
                          <w:rPr>
                            <w:rFonts w:eastAsia="Calibri"/>
                            <w:b/>
                            <w:sz w:val="14"/>
                            <w:szCs w:val="14"/>
                          </w:rPr>
                          <w:t xml:space="preserve"> **</w:t>
                        </w:r>
                        <w:r>
                          <w:rPr>
                            <w:rFonts w:eastAsia="Calibri"/>
                            <w:sz w:val="14"/>
                            <w:szCs w:val="14"/>
                          </w:rPr>
                          <w:t>.</w:t>
                        </w:r>
                        <w:r>
                          <w:rPr>
                            <w:sz w:val="14"/>
                            <w:szCs w:val="14"/>
                          </w:rPr>
                          <w:t xml:space="preserve"> </w:t>
                        </w:r>
                        <w:r>
                          <w:rPr>
                            <w:rFonts w:eastAsia="Calibri"/>
                            <w:sz w:val="14"/>
                            <w:szCs w:val="14"/>
                          </w:rPr>
                          <w:t>При этом в документах на предлагаемую продукцию (товар) и в Техническом / Коммерческом предложении должен быть указан один и тот же изготовитель (производитель).</w:t>
                        </w:r>
                      </w:p>
                      <w:p>
                        <w:pPr>
                          <w:pStyle w:val="Normal"/>
                          <w:widowControl w:val="false"/>
                          <w:numPr>
                            <w:ilvl w:val="0"/>
                            <w:numId w:val="0"/>
                          </w:numPr>
                          <w:snapToGrid w:val="false"/>
                          <w:spacing w:before="40" w:after="40"/>
                          <w:ind w:left="0" w:hanging="0"/>
                          <w:jc w:val="both"/>
                          <w:outlineLvl w:val="4"/>
                          <w:rPr>
                            <w:rFonts w:eastAsia="Calibri"/>
                            <w:sz w:val="14"/>
                            <w:szCs w:val="14"/>
                          </w:rPr>
                        </w:pPr>
                        <w:r>
                          <w:rPr>
                            <w:rFonts w:eastAsia="Calibri"/>
                            <w:sz w:val="14"/>
                            <w:szCs w:val="14"/>
                          </w:rPr>
                        </w:r>
                      </w:p>
                      <w:p>
                        <w:pPr>
                          <w:pStyle w:val="Normal"/>
                          <w:widowControl w:val="false"/>
                          <w:numPr>
                            <w:ilvl w:val="0"/>
                            <w:numId w:val="0"/>
                          </w:numPr>
                          <w:snapToGrid w:val="false"/>
                          <w:spacing w:before="40" w:after="40"/>
                          <w:ind w:left="0" w:hanging="0"/>
                          <w:jc w:val="both"/>
                          <w:outlineLvl w:val="4"/>
                          <w:rPr>
                            <w:rFonts w:eastAsia="Calibri"/>
                            <w:b/>
                            <w:sz w:val="14"/>
                            <w:szCs w:val="14"/>
                          </w:rPr>
                        </w:pPr>
                        <w:r>
                          <w:rPr>
                            <w:rFonts w:eastAsia="Calibri"/>
                            <w:b/>
                            <w:sz w:val="14"/>
                            <w:szCs w:val="14"/>
                          </w:rPr>
                          <w:t>2. Участник является аффилированным изготовителю (производителю) по одному из следующих пунктов 1, 2, 3, 6, 11, указанных в Таблице - Признаки аффилированности и представлены документы, подтверждающие данные признаки (форма №__ Документации о закупке).</w:t>
                        </w:r>
                      </w:p>
                      <w:p>
                        <w:pPr>
                          <w:pStyle w:val="Normal"/>
                          <w:widowControl w:val="false"/>
                          <w:numPr>
                            <w:ilvl w:val="0"/>
                            <w:numId w:val="0"/>
                          </w:numPr>
                          <w:snapToGrid w:val="false"/>
                          <w:spacing w:before="40" w:after="40"/>
                          <w:ind w:left="0" w:hanging="0"/>
                          <w:jc w:val="both"/>
                          <w:outlineLvl w:val="4"/>
                          <w:rPr>
                            <w:rFonts w:eastAsia="Calibri"/>
                            <w:sz w:val="14"/>
                            <w:szCs w:val="14"/>
                          </w:rPr>
                        </w:pPr>
                        <w:r>
                          <w:rPr>
                            <w:rFonts w:eastAsia="Calibri"/>
                            <w:sz w:val="14"/>
                            <w:szCs w:val="14"/>
                          </w:rPr>
                          <w:t>(статус аффилированности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c>
                      <w:tcPr>
                        <w:tcW w:w="142" w:type="dxa"/>
                        <w:tcBorders/>
                      </w:tcPr>
                      <w:p>
                        <w:pPr>
                          <w:pStyle w:val="Normal"/>
                          <w:widowControl w:val="false"/>
                          <w:rPr/>
                        </w:pPr>
                        <w:r>
                          <w:rPr/>
                        </w:r>
                      </w:p>
                    </w:tc>
                  </w:tr>
                </w:tbl>
                <w:p>
                  <w:pPr>
                    <w:pStyle w:val="Normal"/>
                    <w:keepNext w:val="true"/>
                    <w:widowControl w:val="false"/>
                    <w:spacing w:before="96" w:after="0"/>
                    <w:ind w:left="134" w:hanging="0"/>
                    <w:rPr>
                      <w:rFonts w:eastAsia="Calibri"/>
                      <w:sz w:val="18"/>
                      <w:szCs w:val="18"/>
                    </w:rPr>
                  </w:pPr>
                  <w:r>
                    <w:rPr>
                      <w:rFonts w:eastAsia="Calibri"/>
                      <w:sz w:val="18"/>
                      <w:szCs w:val="18"/>
                    </w:rPr>
                    <w:t>, где:</w:t>
                  </w:r>
                </w:p>
                <w:p>
                  <w:pPr>
                    <w:pStyle w:val="Normal"/>
                    <w:widowControl w:val="false"/>
                    <w:tabs>
                      <w:tab w:val="clear" w:pos="708"/>
                      <w:tab w:val="left" w:pos="742" w:leader="none"/>
                      <w:tab w:val="left" w:pos="1167" w:leader="none"/>
                    </w:tabs>
                    <w:ind w:left="134" w:hanging="0"/>
                    <w:rPr>
                      <w:rFonts w:eastAsia="Calibri"/>
                      <w:sz w:val="18"/>
                      <w:szCs w:val="18"/>
                    </w:rPr>
                  </w:pPr>
                  <w:r>
                    <w:rPr>
                      <w:rFonts w:eastAsia="Calibri"/>
                      <w:sz w:val="18"/>
                      <w:szCs w:val="18"/>
                    </w:rPr>
                    <w:t>Б</w:t>
                  </w:r>
                  <w:r>
                    <w:rPr>
                      <w:rFonts w:eastAsia="Calibri"/>
                      <w:i/>
                      <w:sz w:val="18"/>
                      <w:szCs w:val="18"/>
                      <w:vertAlign w:val="subscript"/>
                      <w:lang w:val="en-US"/>
                    </w:rPr>
                    <w:t>r</w:t>
                  </w:r>
                  <w:r>
                    <w:rPr>
                      <w:rFonts w:eastAsia="Calibri"/>
                      <w:sz w:val="18"/>
                      <w:szCs w:val="18"/>
                    </w:rPr>
                    <w:t xml:space="preserve"> – рассчитанная оценка по данному частному критерию оценки в баллах.</w:t>
                  </w:r>
                </w:p>
                <w:p>
                  <w:pPr>
                    <w:pStyle w:val="Normal"/>
                    <w:widowControl w:val="false"/>
                    <w:tabs>
                      <w:tab w:val="clear" w:pos="708"/>
                      <w:tab w:val="left" w:pos="742" w:leader="none"/>
                      <w:tab w:val="left" w:pos="1167" w:leader="none"/>
                    </w:tabs>
                    <w:ind w:left="134" w:hanging="0"/>
                    <w:jc w:val="both"/>
                    <w:rPr>
                      <w:rFonts w:eastAsia="Calibri"/>
                      <w:sz w:val="18"/>
                      <w:szCs w:val="18"/>
                    </w:rPr>
                  </w:pPr>
                  <w:r>
                    <w:rPr>
                      <w:rFonts w:eastAsia="Calibri"/>
                      <w:sz w:val="18"/>
                      <w:szCs w:val="18"/>
                    </w:rPr>
                    <w:t>Б</w:t>
                  </w:r>
                  <w:r>
                    <w:rPr>
                      <w:rFonts w:eastAsia="Calibri"/>
                      <w:i/>
                      <w:sz w:val="18"/>
                      <w:szCs w:val="18"/>
                      <w:vertAlign w:val="subscript"/>
                    </w:rPr>
                    <w:t>i</w:t>
                  </w:r>
                  <w:r>
                    <w:rPr>
                      <w:rFonts w:eastAsia="Calibri"/>
                      <w:sz w:val="18"/>
                      <w:szCs w:val="18"/>
                    </w:rPr>
                    <w:t xml:space="preserve"> – балл, соответствующий отношению Участника к изготовителю (производителю) предлагаемой продукции (товара).</w:t>
                  </w:r>
                </w:p>
                <w:p>
                  <w:pPr>
                    <w:pStyle w:val="Normal"/>
                    <w:widowControl w:val="false"/>
                    <w:spacing w:before="40" w:after="40"/>
                    <w:ind w:left="134" w:hanging="0"/>
                    <w:jc w:val="both"/>
                    <w:rPr>
                      <w:rFonts w:eastAsia="Calibri"/>
                      <w:sz w:val="18"/>
                      <w:szCs w:val="18"/>
                    </w:rPr>
                  </w:pPr>
                  <w:r>
                    <w:rPr>
                      <w:rFonts w:eastAsia="Calibri"/>
                      <w:sz w:val="18"/>
                      <w:szCs w:val="18"/>
                      <w:lang w:val="en-US"/>
                    </w:rPr>
                    <w:t>k</w:t>
                  </w:r>
                  <w:r>
                    <w:rPr>
                      <w:rFonts w:eastAsia="Calibri"/>
                      <w:i/>
                      <w:sz w:val="18"/>
                      <w:szCs w:val="18"/>
                      <w:vertAlign w:val="subscript"/>
                      <w:lang w:val="en-US"/>
                    </w:rPr>
                    <w:t>i</w:t>
                  </w:r>
                  <w:r>
                    <w:rPr>
                      <w:rFonts w:eastAsia="Calibri"/>
                      <w:sz w:val="18"/>
                      <w:szCs w:val="18"/>
                    </w:rPr>
                    <w:t xml:space="preserve"> – коэффициент, пропорциональный </w:t>
                  </w:r>
                  <w:r>
                    <w:rPr>
                      <w:sz w:val="18"/>
                      <w:szCs w:val="18"/>
                    </w:rPr>
                    <w:t>объему (по стоимости) предлагаемой Участником в данном статусе продукции (товара).</w:t>
                  </w:r>
                </w:p>
                <w:p>
                  <w:pPr>
                    <w:pStyle w:val="Normal"/>
                    <w:widowControl w:val="false"/>
                    <w:spacing w:before="40" w:after="40"/>
                    <w:ind w:left="134" w:hanging="0"/>
                    <w:jc w:val="both"/>
                    <w:rPr>
                      <w:rFonts w:eastAsia="Calibri"/>
                      <w:b/>
                      <w:sz w:val="18"/>
                      <w:szCs w:val="18"/>
                    </w:rPr>
                  </w:pPr>
                  <w:r>
                    <w:rPr>
                      <w:rFonts w:eastAsia="Calibri"/>
                      <w:b/>
                      <w:sz w:val="18"/>
                      <w:szCs w:val="18"/>
                    </w:rPr>
                    <w:t>* В случае если Участник является Коллективным Участником, то осуществляется оценка каждого члена Коллективного Участника (включая лидера Коллективного Участника) с учетом объема (по стоимости) поставки в соответствии с Коммерческим / Техническим предложением и/или с Планом распределения объемов поставки продукции внутри Коллективного Участника, представленными в составе заявки Участника. Оценки каждого члена Коллективного Участника (включая лидера Коллективного Участника) суммируются. При этом итоговая (общая) оценка (итоговый балл) Коллективного Участника по данному критерию присваивается с учетом статуса Лидера Коллективного Участника:</w:t>
                  </w:r>
                </w:p>
                <w:p>
                  <w:pPr>
                    <w:pStyle w:val="Normal"/>
                    <w:widowControl w:val="false"/>
                    <w:spacing w:before="40" w:after="40"/>
                    <w:ind w:left="134" w:hanging="0"/>
                    <w:jc w:val="both"/>
                    <w:rPr>
                      <w:rFonts w:eastAsia="Calibri"/>
                      <w:b/>
                      <w:sz w:val="18"/>
                      <w:szCs w:val="18"/>
                    </w:rPr>
                  </w:pPr>
                  <w:r>
                    <w:rPr>
                      <w:rFonts w:eastAsia="Calibri"/>
                      <w:b/>
                      <w:sz w:val="18"/>
                      <w:szCs w:val="18"/>
                    </w:rPr>
                    <w:t>- Лидер Коллективного Участника не является изготовителем (производителем) предлагаемой продукции — итоговый балл не может превышать 2 балла;</w:t>
                  </w:r>
                </w:p>
                <w:p>
                  <w:pPr>
                    <w:pStyle w:val="Normal"/>
                    <w:widowControl w:val="false"/>
                    <w:spacing w:before="40" w:after="40"/>
                    <w:ind w:left="134" w:hanging="0"/>
                    <w:jc w:val="both"/>
                    <w:rPr>
                      <w:rFonts w:eastAsia="Calibri"/>
                      <w:b/>
                      <w:sz w:val="18"/>
                      <w:szCs w:val="18"/>
                    </w:rPr>
                  </w:pPr>
                  <w:r>
                    <w:rPr>
                      <w:rFonts w:eastAsia="Calibri"/>
                      <w:b/>
                      <w:sz w:val="18"/>
                      <w:szCs w:val="18"/>
                    </w:rPr>
                    <w:t>- Лидер Коллективного Участника является изготовителем (производителем) предлагаемой продукции — ограничений по итоговому баллу нет.</w:t>
                  </w:r>
                </w:p>
                <w:p>
                  <w:pPr>
                    <w:pStyle w:val="Normal"/>
                    <w:widowControl w:val="false"/>
                    <w:snapToGrid w:val="false"/>
                    <w:spacing w:before="96" w:after="96"/>
                    <w:ind w:left="134" w:hanging="0"/>
                    <w:rPr>
                      <w:rFonts w:eastAsia="Calibri"/>
                      <w:sz w:val="18"/>
                      <w:szCs w:val="18"/>
                    </w:rPr>
                  </w:pPr>
                  <w:r>
                    <w:rPr>
                      <w:rFonts w:eastAsia="Calibri"/>
                      <w:sz w:val="18"/>
                      <w:szCs w:val="18"/>
                    </w:rPr>
                    <w:t>Шкала оценок от 0 до 5 баллов.</w:t>
                  </w:r>
                </w:p>
                <w:p>
                  <w:pPr>
                    <w:pStyle w:val="Normal"/>
                    <w:widowControl w:val="false"/>
                    <w:snapToGrid w:val="false"/>
                    <w:spacing w:before="96" w:after="96"/>
                    <w:ind w:left="134" w:hanging="0"/>
                    <w:rPr>
                      <w:rFonts w:eastAsia="Calibri"/>
                      <w:sz w:val="18"/>
                      <w:szCs w:val="18"/>
                    </w:rPr>
                  </w:pPr>
                  <w:r>
                    <w:rPr>
                      <w:rFonts w:eastAsia="Calibri"/>
                      <w:sz w:val="18"/>
                      <w:szCs w:val="18"/>
                    </w:rPr>
                  </w:r>
                </w:p>
                <w:p>
                  <w:pPr>
                    <w:pStyle w:val="Normal"/>
                    <w:widowControl w:val="false"/>
                    <w:snapToGrid w:val="false"/>
                    <w:spacing w:before="96" w:after="96"/>
                    <w:ind w:left="134" w:hanging="0"/>
                    <w:rPr>
                      <w:sz w:val="18"/>
                      <w:szCs w:val="18"/>
                    </w:rPr>
                  </w:pPr>
                  <w:r>
                    <w:rPr>
                      <w:sz w:val="18"/>
                      <w:szCs w:val="18"/>
                    </w:rPr>
                    <w:t>** Такими документами на предлагаемую продукцию могут являться:</w:t>
                  </w:r>
                </w:p>
                <w:p>
                  <w:pPr>
                    <w:pStyle w:val="Normal"/>
                    <w:widowControl w:val="false"/>
                    <w:snapToGrid w:val="false"/>
                    <w:spacing w:before="96" w:after="96"/>
                    <w:ind w:left="134" w:hanging="0"/>
                    <w:rPr>
                      <w:sz w:val="18"/>
                      <w:szCs w:val="18"/>
                    </w:rPr>
                  </w:pPr>
                  <w:r>
                    <w:rPr>
                      <w:sz w:val="18"/>
                      <w:szCs w:val="18"/>
                    </w:rPr>
                    <w:t>а) Сертификат/декларация соответствия и/или;</w:t>
                  </w:r>
                </w:p>
                <w:p>
                  <w:pPr>
                    <w:pStyle w:val="Normal"/>
                    <w:widowControl w:val="false"/>
                    <w:snapToGrid w:val="false"/>
                    <w:spacing w:before="96" w:after="96"/>
                    <w:ind w:left="134" w:hanging="0"/>
                    <w:rPr>
                      <w:sz w:val="18"/>
                      <w:szCs w:val="18"/>
                    </w:rPr>
                  </w:pPr>
                  <w:r>
                    <w:rPr>
                      <w:sz w:val="18"/>
                      <w:szCs w:val="18"/>
                    </w:rPr>
                    <w:t>- Протокол испытаний и/или;</w:t>
                  </w:r>
                </w:p>
                <w:p>
                  <w:pPr>
                    <w:pStyle w:val="Normal"/>
                    <w:widowControl w:val="false"/>
                    <w:snapToGrid w:val="false"/>
                    <w:spacing w:before="96" w:after="96"/>
                    <w:ind w:left="134" w:hanging="0"/>
                    <w:rPr>
                      <w:sz w:val="18"/>
                      <w:szCs w:val="18"/>
                    </w:rPr>
                  </w:pPr>
                  <w:r>
                    <w:rPr>
                      <w:sz w:val="18"/>
                      <w:szCs w:val="18"/>
                    </w:rPr>
                    <w:t>- Сертификат качества и/или;</w:t>
                  </w:r>
                </w:p>
                <w:p>
                  <w:pPr>
                    <w:pStyle w:val="Normal"/>
                    <w:widowControl w:val="false"/>
                    <w:snapToGrid w:val="false"/>
                    <w:spacing w:before="96" w:after="96"/>
                    <w:ind w:left="134" w:hanging="0"/>
                    <w:rPr>
                      <w:sz w:val="18"/>
                      <w:szCs w:val="18"/>
                    </w:rPr>
                  </w:pPr>
                  <w:r>
                    <w:rPr>
                      <w:sz w:val="18"/>
                      <w:szCs w:val="18"/>
                    </w:rPr>
                    <w:t>- Паспорт и/или;</w:t>
                  </w:r>
                </w:p>
                <w:p>
                  <w:pPr>
                    <w:pStyle w:val="Normal"/>
                    <w:widowControl w:val="false"/>
                    <w:snapToGrid w:val="false"/>
                    <w:spacing w:before="96" w:after="96"/>
                    <w:ind w:left="134" w:hanging="0"/>
                    <w:rPr>
                      <w:sz w:val="18"/>
                      <w:szCs w:val="18"/>
                    </w:rPr>
                  </w:pPr>
                  <w:r>
                    <w:rPr>
                      <w:sz w:val="18"/>
                      <w:szCs w:val="18"/>
                    </w:rPr>
                    <w:t>- Технические условия и/или;</w:t>
                  </w:r>
                </w:p>
                <w:p>
                  <w:pPr>
                    <w:pStyle w:val="Normal"/>
                    <w:widowControl w:val="false"/>
                    <w:snapToGrid w:val="false"/>
                    <w:spacing w:before="96" w:after="96"/>
                    <w:ind w:left="134" w:hanging="0"/>
                    <w:rPr>
                      <w:sz w:val="18"/>
                      <w:szCs w:val="18"/>
                    </w:rPr>
                  </w:pPr>
                  <w:r>
                    <w:rPr>
                      <w:sz w:val="18"/>
                      <w:szCs w:val="18"/>
                    </w:rPr>
                    <w:t>- Руководство по эксплуатации и/или;</w:t>
                  </w:r>
                </w:p>
                <w:p>
                  <w:pPr>
                    <w:pStyle w:val="Normal"/>
                    <w:widowControl w:val="false"/>
                    <w:snapToGrid w:val="false"/>
                    <w:spacing w:before="96" w:after="96"/>
                    <w:ind w:left="134" w:hanging="0"/>
                    <w:rPr>
                      <w:sz w:val="18"/>
                      <w:szCs w:val="18"/>
                    </w:rPr>
                  </w:pPr>
                  <w:r>
                    <w:rPr>
                      <w:sz w:val="18"/>
                      <w:szCs w:val="18"/>
                    </w:rPr>
                    <w:t>- Техническое описание и/или;</w:t>
                  </w:r>
                </w:p>
                <w:p>
                  <w:pPr>
                    <w:pStyle w:val="Normal"/>
                    <w:widowControl w:val="false"/>
                    <w:snapToGrid w:val="false"/>
                    <w:spacing w:before="96" w:after="96"/>
                    <w:ind w:left="134" w:hanging="0"/>
                    <w:rPr>
                      <w:sz w:val="18"/>
                      <w:szCs w:val="18"/>
                    </w:rPr>
                  </w:pPr>
                  <w:r>
                    <w:rPr>
                      <w:sz w:val="18"/>
                      <w:szCs w:val="18"/>
                    </w:rPr>
                    <w:t>- Инспекционный (аналитический) отчёт (сертификат) и/или;</w:t>
                  </w:r>
                </w:p>
                <w:p>
                  <w:pPr>
                    <w:pStyle w:val="Normal"/>
                    <w:widowControl w:val="false"/>
                    <w:snapToGrid w:val="false"/>
                    <w:spacing w:before="96" w:after="96"/>
                    <w:ind w:left="134" w:hanging="0"/>
                    <w:rPr>
                      <w:sz w:val="18"/>
                      <w:szCs w:val="18"/>
                    </w:rPr>
                  </w:pPr>
                  <w:r>
                    <w:rPr>
                      <w:sz w:val="18"/>
                      <w:szCs w:val="18"/>
                    </w:rPr>
                    <w:t>- Сертификат отбора проб и анализа (испытаний) и/или;</w:t>
                  </w:r>
                </w:p>
                <w:p>
                  <w:pPr>
                    <w:pStyle w:val="Normal"/>
                    <w:widowControl w:val="false"/>
                    <w:snapToGrid w:val="false"/>
                    <w:spacing w:before="96" w:after="96"/>
                    <w:ind w:left="134" w:hanging="0"/>
                    <w:rPr>
                      <w:sz w:val="18"/>
                      <w:szCs w:val="18"/>
                    </w:rPr>
                  </w:pPr>
                  <w:r>
                    <w:rPr>
                      <w:sz w:val="18"/>
                      <w:szCs w:val="18"/>
                    </w:rPr>
                    <w:t>- Номер реестровой записи из Единого реестра российской радиоэлектронной продукции (ПП РФ 878) и/или;</w:t>
                  </w:r>
                </w:p>
                <w:p>
                  <w:pPr>
                    <w:pStyle w:val="Normal"/>
                    <w:widowControl w:val="false"/>
                    <w:snapToGrid w:val="false"/>
                    <w:spacing w:before="96" w:after="96"/>
                    <w:ind w:left="134" w:hanging="0"/>
                    <w:rPr>
                      <w:sz w:val="18"/>
                      <w:szCs w:val="18"/>
                    </w:rPr>
                  </w:pPr>
                  <w:r>
                    <w:rPr>
                      <w:sz w:val="18"/>
                      <w:szCs w:val="18"/>
                    </w:rPr>
                    <w:t>- Номер реестровой записи из Реестра российской промышленной продукции (ПП РФ 719 от 17.07.2015).</w:t>
                  </w:r>
                </w:p>
                <w:p>
                  <w:pPr>
                    <w:pStyle w:val="Normal"/>
                    <w:widowControl w:val="false"/>
                    <w:snapToGrid w:val="false"/>
                    <w:spacing w:before="96" w:after="96"/>
                    <w:ind w:left="134" w:hanging="0"/>
                    <w:rPr>
                      <w:sz w:val="18"/>
                      <w:szCs w:val="18"/>
                    </w:rPr>
                  </w:pPr>
                  <w:r>
                    <w:rPr>
                      <w:sz w:val="18"/>
                      <w:szCs w:val="18"/>
                    </w:rPr>
                    <w:t>Либо:</w:t>
                  </w:r>
                </w:p>
                <w:p>
                  <w:pPr>
                    <w:pStyle w:val="Normal"/>
                    <w:widowControl w:val="false"/>
                    <w:snapToGrid w:val="false"/>
                    <w:spacing w:before="96" w:after="96"/>
                    <w:ind w:left="134" w:hanging="0"/>
                    <w:rPr>
                      <w:sz w:val="18"/>
                      <w:szCs w:val="18"/>
                    </w:rPr>
                  </w:pPr>
                  <w:r>
                    <w:rPr>
                      <w:sz w:val="18"/>
                      <w:szCs w:val="18"/>
                    </w:rPr>
                    <w:t xml:space="preserve">   </w:t>
                  </w:r>
                  <w:r>
                    <w:rPr>
                      <w:sz w:val="18"/>
                      <w:szCs w:val="18"/>
                    </w:rPr>
                    <w:t>б) Иной документ на предлагаемую продукцию, предусмотренный условиями Технических требований Документации о закупке (применяется в исключительных случаях при невозможности применить пункт а));</w:t>
                  </w:r>
                </w:p>
              </w:tc>
            </w:tr>
          </w:tbl>
          <w:p>
            <w:pPr>
              <w:pStyle w:val="Normal"/>
              <w:widowControl w:val="false"/>
              <w:spacing w:before="96" w:after="96"/>
              <w:rPr>
                <w:rFonts w:eastAsia="Calibri"/>
                <w:b/>
                <w:sz w:val="18"/>
                <w:szCs w:val="18"/>
              </w:rPr>
            </w:pPr>
            <w:r>
              <w:rPr>
                <w:rFonts w:eastAsia="Calibri"/>
                <w:b/>
                <w:sz w:val="18"/>
                <w:szCs w:val="18"/>
              </w:rPr>
            </w:r>
          </w:p>
        </w:tc>
      </w:tr>
      <w:tr>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rPr>
              <w:t>3.</w:t>
            </w:r>
          </w:p>
          <w:p>
            <w:pPr>
              <w:pStyle w:val="Normal"/>
              <w:widowControl w:val="false"/>
              <w:spacing w:before="40" w:after="40"/>
              <w:jc w:val="both"/>
              <w:rPr>
                <w:sz w:val="18"/>
                <w:szCs w:val="18"/>
              </w:rPr>
            </w:pPr>
            <w:r>
              <w:rPr>
                <w:sz w:val="18"/>
                <w:szCs w:val="18"/>
              </w:rPr>
            </w:r>
          </w:p>
        </w:tc>
        <w:tc>
          <w:tcPr>
            <w:tcW w:w="13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rPr>
              <w:t>ТЕХ</w:t>
            </w:r>
          </w:p>
        </w:tc>
        <w:tc>
          <w:tcPr>
            <w:tcW w:w="17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rPr>
              <w:t>Квалификация (предпочтительность) участника</w:t>
            </w:r>
          </w:p>
        </w:tc>
        <w:tc>
          <w:tcPr>
            <w:tcW w:w="15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i/>
                <w:i/>
                <w:sz w:val="18"/>
                <w:szCs w:val="18"/>
              </w:rPr>
            </w:pPr>
            <w:r>
              <w:rPr>
                <w:i/>
                <w:sz w:val="18"/>
                <w:szCs w:val="18"/>
              </w:rPr>
              <w:t>отсутствует</w:t>
            </w:r>
          </w:p>
        </w:tc>
        <w:tc>
          <w:tcPr>
            <w:tcW w:w="14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lang w:val="en-US"/>
              </w:rPr>
              <w:t>5</w:t>
            </w:r>
            <w:r>
              <w:rPr>
                <w:sz w:val="18"/>
                <w:szCs w:val="18"/>
              </w:rPr>
              <w:t>%</w:t>
              <w:br/>
              <w:t>(В</w:t>
            </w:r>
            <w:r>
              <w:rPr>
                <w:sz w:val="18"/>
                <w:szCs w:val="18"/>
                <w:vertAlign w:val="subscript"/>
                <w:lang w:val="en-US"/>
              </w:rPr>
              <w:t>3</w:t>
            </w:r>
            <w:r>
              <w:rPr>
                <w:sz w:val="18"/>
                <w:szCs w:val="18"/>
              </w:rPr>
              <w:t xml:space="preserve"> = 0,</w:t>
            </w:r>
            <w:r>
              <w:rPr>
                <w:sz w:val="18"/>
                <w:szCs w:val="18"/>
                <w:lang w:val="en-US"/>
              </w:rPr>
              <w:t>05</w:t>
            </w:r>
            <w:r>
              <w:rPr>
                <w:sz w:val="18"/>
                <w:szCs w:val="18"/>
              </w:rPr>
              <w:t>)</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both"/>
              <w:rPr>
                <w:highlight w:val="none"/>
                <w:shd w:fill="auto" w:val="clear"/>
              </w:rPr>
            </w:pPr>
            <w:r>
              <w:rPr>
                <w:sz w:val="18"/>
                <w:szCs w:val="18"/>
                <w:shd w:fill="auto" w:val="clear"/>
              </w:rPr>
              <w:t>Чем больше опыт поставки кабельно-проводниковой, тем выше предпочтительность</w:t>
            </w:r>
          </w:p>
        </w:tc>
        <w:tc>
          <w:tcPr>
            <w:tcW w:w="59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 Порядок осуществления оценки (значение оцениваемого параметра), в зависимости от информации, предоставленной в i-ой заявке в «Справка об опыте Участника» (Справка), подтверждающей наличие опыта поставки кабельной продукции и концевых муфт</w:t>
            </w:r>
            <w:r>
              <w:rPr>
                <w:bCs/>
                <w:sz w:val="18"/>
                <w:szCs w:val="18"/>
              </w:rPr>
              <w:t>, при этом за последние 5 (пять) лет, предшествующие дате подачи заявок на участие в закупке, Участником должны быть выполнены п</w:t>
            </w:r>
            <w:r>
              <w:rPr>
                <w:bCs/>
                <w:sz w:val="18"/>
                <w:szCs w:val="18"/>
                <w:shd w:fill="auto" w:val="clear"/>
              </w:rPr>
              <w:t>оставки кабельно-проводниковой в общем/совокупном объёме не менее 30% от начальной (максимальной) цены лота, указанной в Документации о закупке, с учётом правопреемства.</w:t>
            </w:r>
            <w:r>
              <w:rPr>
                <w:sz w:val="18"/>
                <w:szCs w:val="18"/>
                <w:shd w:fill="auto" w:val="clear"/>
              </w:rPr>
              <w:t xml:space="preserve"> </w:t>
            </w:r>
          </w:p>
          <w:p>
            <w:pPr>
              <w:pStyle w:val="Normal"/>
              <w:widowControl w:val="false"/>
              <w:spacing w:before="96" w:after="96"/>
              <w:rPr>
                <w:sz w:val="18"/>
                <w:szCs w:val="18"/>
              </w:rPr>
            </w:pPr>
            <w:r>
              <w:rPr>
                <w:sz w:val="18"/>
                <w:szCs w:val="18"/>
              </w:rPr>
              <w:t>Соответствие установленному требованию подтверждается представлением Участником в составе заявки сведений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br/>
              <w:t>∙ копии договоров, подписанных с обеих сторон;</w:t>
            </w:r>
          </w:p>
          <w:p>
            <w:pPr>
              <w:pStyle w:val="Normal"/>
              <w:widowControl w:val="false"/>
              <w:spacing w:before="96" w:after="96"/>
              <w:rPr>
                <w:sz w:val="18"/>
                <w:szCs w:val="18"/>
              </w:rPr>
            </w:pPr>
            <w:r>
              <w:rPr>
                <w:sz w:val="18"/>
                <w:szCs w:val="18"/>
              </w:rPr>
              <w:t xml:space="preserve">∙ </w:t>
            </w:r>
            <w:r>
              <w:rPr>
                <w:sz w:val="18"/>
                <w:szCs w:val="18"/>
              </w:rPr>
              <w:t>копии Актов ТОРГ-12, УПД к договору, подписанных с обеих сторон.</w:t>
            </w:r>
          </w:p>
          <w:p>
            <w:pPr>
              <w:pStyle w:val="Normal"/>
              <w:widowControl w:val="false"/>
              <w:spacing w:before="96" w:after="96"/>
              <w:rPr>
                <w:sz w:val="18"/>
                <w:szCs w:val="18"/>
              </w:rPr>
            </w:pPr>
            <w:r>
              <w:rPr>
                <w:sz w:val="18"/>
                <w:szCs w:val="18"/>
              </w:rPr>
              <w:t>К рассмотрению не принимаются подтверждающие документы, не указанные в «Справке об опыте Участника». Сведения, не позволяющие явно/однозначно определить наличие требуемого опыта у Участника, не оцениваются.</w:t>
            </w:r>
          </w:p>
          <w:p>
            <w:pPr>
              <w:pStyle w:val="Normal"/>
              <w:widowControl w:val="false"/>
              <w:spacing w:before="96" w:after="96"/>
              <w:rPr>
                <w:sz w:val="18"/>
                <w:szCs w:val="18"/>
              </w:rPr>
            </w:pPr>
            <w:r>
              <w:rPr>
                <w:sz w:val="18"/>
                <w:szCs w:val="18"/>
              </w:rPr>
              <w:t xml:space="preserve">Наличие опыта будет оцениваться, по подтверждённым сведениям, о выполнении Участником работ.  </w:t>
            </w:r>
          </w:p>
          <w:p>
            <w:pPr>
              <w:pStyle w:val="Normal"/>
              <w:widowControl w:val="false"/>
              <w:spacing w:before="96" w:after="96"/>
              <w:rPr>
                <w:sz w:val="18"/>
                <w:szCs w:val="18"/>
              </w:rPr>
            </w:pPr>
            <w:r>
              <w:rPr>
                <w:sz w:val="18"/>
                <w:szCs w:val="18"/>
              </w:rPr>
            </w:r>
          </w:p>
          <w:tbl>
            <w:tblPr>
              <w:tblW w:w="5000" w:type="pct"/>
              <w:jc w:val="left"/>
              <w:tblInd w:w="0" w:type="dxa"/>
              <w:tblLayout w:type="fixed"/>
              <w:tblCellMar>
                <w:top w:w="0" w:type="dxa"/>
                <w:left w:w="108" w:type="dxa"/>
                <w:bottom w:w="0" w:type="dxa"/>
                <w:right w:w="108" w:type="dxa"/>
              </w:tblCellMar>
              <w:tblLook w:val="04a0" w:noVBand="1" w:noHBand="0" w:lastColumn="0" w:firstColumn="1" w:lastRow="0" w:firstRow="1"/>
            </w:tblPr>
            <w:tblGrid>
              <w:gridCol w:w="739"/>
              <w:gridCol w:w="3948"/>
              <w:gridCol w:w="1052"/>
            </w:tblGrid>
            <w:tr>
              <w:trPr>
                <w:trHeight w:val="302" w:hRule="atLeast"/>
                <w:cantSplit w:val="true"/>
              </w:trPr>
              <w:tc>
                <w:tcPr>
                  <w:tcW w:w="73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0</w:t>
                  </w:r>
                </w:p>
              </w:tc>
              <w:tc>
                <w:tcPr>
                  <w:tcW w:w="3948" w:type="dxa"/>
                  <w:tcBorders>
                    <w:bottom w:val="single" w:sz="8" w:space="0" w:color="000000"/>
                  </w:tcBorders>
                </w:tcPr>
                <w:p>
                  <w:pPr>
                    <w:pStyle w:val="Normal"/>
                    <w:widowControl w:val="false"/>
                    <w:spacing w:before="96" w:after="96"/>
                    <w:rPr>
                      <w:sz w:val="18"/>
                      <w:szCs w:val="18"/>
                    </w:rPr>
                  </w:pPr>
                  <w:r>
                    <w:rPr>
                      <w:sz w:val="18"/>
                      <w:szCs w:val="18"/>
                    </w:rPr>
                    <w:t>0%- 30 % НМЦ «без учета НДС» включительно; .</w:t>
                  </w:r>
                </w:p>
              </w:tc>
              <w:tc>
                <w:tcPr>
                  <w:tcW w:w="1052" w:type="dxa"/>
                  <w:tcBorders/>
                  <w:tcMar>
                    <w:left w:w="0" w:type="dxa"/>
                    <w:right w:w="10" w:type="dxa"/>
                  </w:tcMar>
                </w:tcPr>
                <w:p>
                  <w:pPr>
                    <w:pStyle w:val="Normal"/>
                    <w:widowControl w:val="false"/>
                    <w:rPr/>
                  </w:pPr>
                  <w:r>
                    <w:rPr/>
                  </w:r>
                </w:p>
              </w:tc>
            </w:tr>
            <w:tr>
              <w:trPr>
                <w:cantSplit w:val="true"/>
              </w:trPr>
              <w:tc>
                <w:tcPr>
                  <w:tcW w:w="73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1</w:t>
                  </w:r>
                </w:p>
              </w:tc>
              <w:tc>
                <w:tcPr>
                  <w:tcW w:w="5000" w:type="dxa"/>
                  <w:gridSpan w:val="2"/>
                  <w:tcBorders>
                    <w:bottom w:val="single" w:sz="8" w:space="0" w:color="000000"/>
                  </w:tcBorders>
                </w:tcPr>
                <w:p>
                  <w:pPr>
                    <w:pStyle w:val="Normal"/>
                    <w:widowControl w:val="false"/>
                    <w:spacing w:before="96" w:after="96"/>
                    <w:rPr>
                      <w:sz w:val="18"/>
                      <w:szCs w:val="18"/>
                    </w:rPr>
                  </w:pPr>
                  <w:r>
                    <w:rPr>
                      <w:sz w:val="18"/>
                      <w:szCs w:val="18"/>
                    </w:rPr>
                    <w:t>Более 30 до 40  % (включительно) НМЦ «без учета НДС»,;</w:t>
                  </w:r>
                </w:p>
              </w:tc>
            </w:tr>
            <w:tr>
              <w:trPr>
                <w:cantSplit w:val="true"/>
              </w:trPr>
              <w:tc>
                <w:tcPr>
                  <w:tcW w:w="73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2</w:t>
                  </w:r>
                </w:p>
              </w:tc>
              <w:tc>
                <w:tcPr>
                  <w:tcW w:w="5000" w:type="dxa"/>
                  <w:gridSpan w:val="2"/>
                  <w:tcBorders>
                    <w:bottom w:val="single" w:sz="8" w:space="0" w:color="000000"/>
                  </w:tcBorders>
                </w:tcPr>
                <w:p>
                  <w:pPr>
                    <w:pStyle w:val="Normal"/>
                    <w:widowControl w:val="false"/>
                    <w:spacing w:before="96" w:after="96"/>
                    <w:rPr>
                      <w:sz w:val="18"/>
                      <w:szCs w:val="18"/>
                    </w:rPr>
                  </w:pPr>
                  <w:r>
                    <w:rPr>
                      <w:sz w:val="18"/>
                      <w:szCs w:val="18"/>
                    </w:rPr>
                    <w:t>Более 40 до 50 % (включительно) НМЦ «без учета НДС».;</w:t>
                  </w:r>
                </w:p>
              </w:tc>
            </w:tr>
            <w:tr>
              <w:trPr>
                <w:cantSplit w:val="true"/>
              </w:trPr>
              <w:tc>
                <w:tcPr>
                  <w:tcW w:w="73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3</w:t>
                  </w:r>
                </w:p>
              </w:tc>
              <w:tc>
                <w:tcPr>
                  <w:tcW w:w="5000" w:type="dxa"/>
                  <w:gridSpan w:val="2"/>
                  <w:tcBorders>
                    <w:bottom w:val="single" w:sz="8" w:space="0" w:color="000000"/>
                  </w:tcBorders>
                </w:tcPr>
                <w:p>
                  <w:pPr>
                    <w:pStyle w:val="Normal"/>
                    <w:widowControl w:val="false"/>
                    <w:spacing w:before="96" w:after="96"/>
                    <w:rPr>
                      <w:sz w:val="18"/>
                      <w:szCs w:val="18"/>
                    </w:rPr>
                  </w:pPr>
                  <w:r>
                    <w:rPr>
                      <w:sz w:val="18"/>
                      <w:szCs w:val="18"/>
                    </w:rPr>
                    <w:t>Более 50 до 60 % (включительно) НМЦ «без учета НДС».;</w:t>
                  </w:r>
                </w:p>
              </w:tc>
            </w:tr>
            <w:tr>
              <w:trPr>
                <w:cantSplit w:val="true"/>
              </w:trPr>
              <w:tc>
                <w:tcPr>
                  <w:tcW w:w="73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4</w:t>
                  </w:r>
                </w:p>
              </w:tc>
              <w:tc>
                <w:tcPr>
                  <w:tcW w:w="5000" w:type="dxa"/>
                  <w:gridSpan w:val="2"/>
                  <w:tcBorders>
                    <w:bottom w:val="single" w:sz="8" w:space="0" w:color="000000"/>
                  </w:tcBorders>
                </w:tcPr>
                <w:p>
                  <w:pPr>
                    <w:pStyle w:val="Normal"/>
                    <w:widowControl w:val="false"/>
                    <w:spacing w:before="96" w:after="96"/>
                    <w:rPr>
                      <w:sz w:val="18"/>
                      <w:szCs w:val="18"/>
                    </w:rPr>
                  </w:pPr>
                  <w:r>
                    <w:rPr>
                      <w:sz w:val="18"/>
                      <w:szCs w:val="18"/>
                    </w:rPr>
                    <w:t>Более 60 до 70 % (включительно) НМЦ «без учета НДС»,</w:t>
                  </w:r>
                </w:p>
              </w:tc>
            </w:tr>
            <w:tr>
              <w:trPr>
                <w:cantSplit w:val="true"/>
              </w:trPr>
              <w:tc>
                <w:tcPr>
                  <w:tcW w:w="739" w:type="dxa"/>
                  <w:tcBorders>
                    <w:top w:val="single" w:sz="8" w:space="0" w:color="000000"/>
                    <w:bottom w:val="single" w:sz="4"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5</w:t>
                  </w:r>
                </w:p>
              </w:tc>
              <w:tc>
                <w:tcPr>
                  <w:tcW w:w="5000" w:type="dxa"/>
                  <w:gridSpan w:val="2"/>
                  <w:tcBorders>
                    <w:top w:val="single" w:sz="8" w:space="0" w:color="000000"/>
                    <w:bottom w:val="single" w:sz="4" w:space="0" w:color="000000"/>
                  </w:tcBorders>
                </w:tcPr>
                <w:p>
                  <w:pPr>
                    <w:pStyle w:val="Normal"/>
                    <w:widowControl w:val="false"/>
                    <w:spacing w:before="96" w:after="96"/>
                    <w:rPr>
                      <w:sz w:val="18"/>
                      <w:szCs w:val="18"/>
                    </w:rPr>
                  </w:pPr>
                  <w:r>
                    <w:rPr>
                      <w:sz w:val="18"/>
                      <w:szCs w:val="18"/>
                    </w:rPr>
                    <w:t>выше 70 % НМЦ «без учета НДС».</w:t>
                  </w:r>
                </w:p>
              </w:tc>
            </w:tr>
            <w:tr>
              <w:trPr>
                <w:cantSplit w:val="true"/>
              </w:trPr>
              <w:tc>
                <w:tcPr>
                  <w:tcW w:w="5739" w:type="dxa"/>
                  <w:gridSpan w:val="3"/>
                  <w:tcBorders>
                    <w:top w:val="single" w:sz="4" w:space="0" w:color="000000"/>
                  </w:tcBorders>
                </w:tcPr>
                <w:p>
                  <w:pPr>
                    <w:pStyle w:val="Normal"/>
                    <w:widowControl w:val="false"/>
                    <w:spacing w:before="96" w:after="96"/>
                    <w:rPr>
                      <w:sz w:val="18"/>
                      <w:szCs w:val="18"/>
                    </w:rPr>
                  </w:pPr>
                  <w:r>
                    <w:rPr>
                      <w:sz w:val="18"/>
                      <w:szCs w:val="18"/>
                    </w:rPr>
                    <w:t>Б</w:t>
                  </w:r>
                  <w:r>
                    <w:rPr>
                      <w:sz w:val="18"/>
                      <w:szCs w:val="18"/>
                      <w:vertAlign w:val="subscript"/>
                    </w:rPr>
                    <w:t>3</w:t>
                  </w:r>
                  <w:r>
                    <w:rPr>
                      <w:sz w:val="18"/>
                      <w:szCs w:val="18"/>
                    </w:rPr>
                    <w:t>             –        рассчитанная оценка предпочтительности по данному частному критерию оценки в баллах.</w:t>
                  </w:r>
                </w:p>
                <w:p>
                  <w:pPr>
                    <w:pStyle w:val="Normal"/>
                    <w:widowControl w:val="false"/>
                    <w:spacing w:before="96" w:after="96"/>
                    <w:rPr>
                      <w:sz w:val="18"/>
                      <w:szCs w:val="18"/>
                    </w:rPr>
                  </w:pPr>
                  <w:r>
                    <w:rPr>
                      <w:b/>
                      <w:sz w:val="18"/>
                      <w:szCs w:val="18"/>
                    </w:rPr>
                    <w:t>Шкала оценок от 0 до 5 баллов.</w:t>
                  </w:r>
                </w:p>
              </w:tc>
            </w:tr>
          </w:tbl>
          <w:p>
            <w:pPr>
              <w:pStyle w:val="Normal"/>
              <w:widowControl w:val="false"/>
              <w:tabs>
                <w:tab w:val="clear" w:pos="708"/>
                <w:tab w:val="left" w:pos="742" w:leader="none"/>
                <w:tab w:val="left" w:pos="1167" w:leader="none"/>
              </w:tabs>
              <w:spacing w:before="120" w:after="0"/>
              <w:rPr>
                <w:sz w:val="18"/>
                <w:szCs w:val="18"/>
              </w:rPr>
            </w:pPr>
            <w:r>
              <w:rPr>
                <w:sz w:val="18"/>
                <w:szCs w:val="18"/>
              </w:rPr>
            </w:r>
          </w:p>
        </w:tc>
      </w:tr>
      <w:tr>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lang w:val="en-US"/>
              </w:rPr>
              <w:t>4.</w:t>
            </w:r>
          </w:p>
        </w:tc>
        <w:tc>
          <w:tcPr>
            <w:tcW w:w="13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sz w:val="18"/>
                <w:szCs w:val="18"/>
              </w:rPr>
            </w:pPr>
            <w:r>
              <w:rPr>
                <w:sz w:val="18"/>
                <w:szCs w:val="18"/>
                <w:lang w:val="en-US"/>
              </w:rPr>
              <w:t>ОРГ</w:t>
            </w:r>
          </w:p>
        </w:tc>
        <w:tc>
          <w:tcPr>
            <w:tcW w:w="17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sz w:val="18"/>
                <w:szCs w:val="18"/>
              </w:rPr>
            </w:pPr>
            <w:bookmarkStart w:id="1" w:name="Финсостояние"/>
            <w:r>
              <w:rPr>
                <w:sz w:val="18"/>
                <w:szCs w:val="18"/>
              </w:rPr>
              <w:t>Финансовое состояние (устойчивость) Участника</w:t>
            </w:r>
            <w:bookmarkEnd w:id="1"/>
          </w:p>
        </w:tc>
        <w:tc>
          <w:tcPr>
            <w:tcW w:w="15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i/>
                <w:i/>
                <w:sz w:val="18"/>
                <w:szCs w:val="18"/>
              </w:rPr>
            </w:pPr>
            <w:r>
              <w:rPr>
                <w:i/>
                <w:sz w:val="18"/>
                <w:szCs w:val="18"/>
              </w:rPr>
              <w:t>отсутствует</w:t>
            </w:r>
          </w:p>
        </w:tc>
        <w:tc>
          <w:tcPr>
            <w:tcW w:w="14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sz w:val="18"/>
                <w:szCs w:val="18"/>
              </w:rPr>
            </w:pPr>
            <w:r>
              <w:rPr>
                <w:sz w:val="18"/>
                <w:szCs w:val="18"/>
              </w:rPr>
              <w:t>5%</w:t>
              <w:br/>
              <w:t>(В</w:t>
            </w:r>
            <w:r>
              <w:rPr>
                <w:sz w:val="18"/>
                <w:szCs w:val="18"/>
                <w:vertAlign w:val="subscript"/>
                <w:lang w:val="en-US"/>
              </w:rPr>
              <w:t>4</w:t>
            </w:r>
            <w:r>
              <w:rPr>
                <w:sz w:val="18"/>
                <w:szCs w:val="18"/>
              </w:rPr>
              <w:t xml:space="preserve"> = 0,05)</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both"/>
              <w:rPr>
                <w:sz w:val="18"/>
                <w:szCs w:val="18"/>
              </w:rPr>
            </w:pPr>
            <w:r>
              <w:rPr>
                <w:sz w:val="18"/>
                <w:szCs w:val="18"/>
              </w:rPr>
              <w:t>Чем выше результат оценки финансового состояния (устойчивости) Участника, тем выше предпочтительность</w:t>
            </w:r>
          </w:p>
        </w:tc>
        <w:tc>
          <w:tcPr>
            <w:tcW w:w="59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18"/>
                <w:szCs w:val="18"/>
              </w:rPr>
            </w:pPr>
            <w:r>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pacing w:before="120" w:after="0"/>
              <w:rPr>
                <w:sz w:val="18"/>
                <w:szCs w:val="18"/>
              </w:rPr>
            </w:pPr>
            <w:r>
              <w:rPr>
                <w:sz w:val="18"/>
                <w:szCs w:val="18"/>
              </w:rPr>
              <w:t xml:space="preserve">Порядок осуществления оценки (значение оцениваемого параметра), в зависимости от полученного Участником (с </w:t>
            </w:r>
            <w:r>
              <w:rPr>
                <w:i/>
                <w:sz w:val="18"/>
                <w:szCs w:val="18"/>
                <w:lang w:val="en-US"/>
              </w:rPr>
              <w:t>i</w:t>
            </w:r>
            <w:r>
              <w:rPr>
                <w:sz w:val="18"/>
                <w:szCs w:val="18"/>
              </w:rPr>
              <w:t xml:space="preserve">-ой заявкой) значения расчетного балла </w:t>
            </w:r>
            <w:bookmarkStart w:id="2" w:name="_Hlk140493522"/>
            <w:r>
              <w:rPr>
                <w:sz w:val="18"/>
                <w:szCs w:val="18"/>
              </w:rPr>
              <w:t>(интегрального показателя финансового состояния)</w:t>
            </w:r>
            <w:bookmarkEnd w:id="2"/>
            <w:r>
              <w:rPr>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Normal"/>
              <w:widowControl w:val="false"/>
              <w:numPr>
                <w:ilvl w:val="0"/>
                <w:numId w:val="2"/>
              </w:numPr>
              <w:spacing w:before="120" w:after="0"/>
              <w:ind w:left="346" w:hanging="284"/>
              <w:rPr>
                <w:sz w:val="18"/>
                <w:szCs w:val="18"/>
              </w:rPr>
            </w:pPr>
            <w:r>
              <w:rPr>
                <w:sz w:val="18"/>
                <w:szCs w:val="18"/>
              </w:rPr>
              <w:t>порядок проведения оценки финансового состояния (устойчивости) Участника</w:t>
            </w:r>
            <w:r>
              <w:rPr>
                <w:rStyle w:val="FootnoteReference"/>
                <w:sz w:val="18"/>
                <w:szCs w:val="18"/>
              </w:rPr>
              <w:footnoteReference w:id="3"/>
            </w:r>
            <w:r>
              <w:rPr>
                <w:sz w:val="18"/>
                <w:szCs w:val="18"/>
              </w:rPr>
              <w:t xml:space="preserve"> установлен Приложением 5 к Положению об аккредитации;</w:t>
            </w:r>
          </w:p>
          <w:p>
            <w:pPr>
              <w:pStyle w:val="Normal"/>
              <w:widowControl w:val="false"/>
              <w:numPr>
                <w:ilvl w:val="0"/>
                <w:numId w:val="2"/>
              </w:numPr>
              <w:spacing w:before="120" w:after="0"/>
              <w:ind w:left="346" w:hanging="284"/>
              <w:rPr>
                <w:sz w:val="18"/>
                <w:szCs w:val="18"/>
              </w:rPr>
            </w:pPr>
            <w:r>
              <w:rPr>
                <w:sz w:val="18"/>
                <w:szCs w:val="18"/>
              </w:rPr>
              <w:t>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
              <w:r>
                <w:rPr>
                  <w:color w:val="0563C1" w:themeColor="hyperlink"/>
                  <w:sz w:val="18"/>
                  <w:szCs w:val="18"/>
                  <w:u w:val="single"/>
                </w:rPr>
                <w:t>https://bo.nalog.ru</w:t>
              </w:r>
            </w:hyperlink>
            <w:r>
              <w:rPr>
                <w:sz w:val="18"/>
                <w:szCs w:val="18"/>
              </w:rPr>
              <w:t xml:space="preserve">) за предыдущий отчетный период (год). </w:t>
            </w:r>
          </w:p>
          <w:p>
            <w:pPr>
              <w:pStyle w:val="Normal"/>
              <w:widowControl w:val="false"/>
              <w:spacing w:before="120" w:after="0"/>
              <w:ind w:left="346" w:hanging="0"/>
              <w:rPr>
                <w:sz w:val="18"/>
                <w:szCs w:val="18"/>
              </w:rPr>
            </w:pPr>
            <w:r>
              <w:rPr>
                <w:sz w:val="18"/>
                <w:szCs w:val="18"/>
              </w:rPr>
              <w:t>Если Участник в соответствии с законодательством РФ не размещает сведения о своей бухгалтерской (финансовой) отчетности в упомянутом государственном информационном ресурсе –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numPr>
                <w:ilvl w:val="0"/>
                <w:numId w:val="2"/>
              </w:numPr>
              <w:spacing w:before="120" w:after="120"/>
              <w:ind w:left="346" w:hanging="284"/>
              <w:rPr>
                <w:sz w:val="18"/>
                <w:szCs w:val="18"/>
              </w:rPr>
            </w:pPr>
            <w:r>
              <w:rPr>
                <w:sz w:val="18"/>
                <w:szCs w:val="18"/>
              </w:rPr>
              <w:t>оценки предпочтительности по частному критерию осуществляется в соответствии со шкалой:</w:t>
            </w:r>
          </w:p>
          <w:tbl>
            <w:tblPr>
              <w:tblW w:w="5000" w:type="pct"/>
              <w:jc w:val="left"/>
              <w:tblInd w:w="0" w:type="dxa"/>
              <w:tblLayout w:type="fixed"/>
              <w:tblCellMar>
                <w:top w:w="0" w:type="dxa"/>
                <w:left w:w="108" w:type="dxa"/>
                <w:bottom w:w="0" w:type="dxa"/>
                <w:right w:w="108" w:type="dxa"/>
              </w:tblCellMar>
              <w:tblLook w:val="04a0" w:noVBand="1" w:noHBand="0" w:lastColumn="0" w:firstColumn="1" w:lastRow="0" w:firstRow="1"/>
            </w:tblPr>
            <w:tblGrid>
              <w:gridCol w:w="1266"/>
              <w:gridCol w:w="4472"/>
            </w:tblGrid>
            <w:tr>
              <w:trPr>
                <w:cantSplit w:val="true"/>
              </w:trPr>
              <w:tc>
                <w:tcPr>
                  <w:tcW w:w="1266" w:type="dxa"/>
                  <w:tcBorders>
                    <w:bottom w:val="single" w:sz="4" w:space="0" w:color="000000"/>
                    <w:right w:val="single" w:sz="4" w:space="0" w:color="000000"/>
                  </w:tcBorders>
                </w:tcPr>
                <w:p>
                  <w:pPr>
                    <w:pStyle w:val="Normal"/>
                    <w:widowControl w:val="false"/>
                    <w:numPr>
                      <w:ilvl w:val="7"/>
                      <w:numId w:val="12"/>
                    </w:numPr>
                    <w:spacing w:before="40" w:after="40"/>
                    <w:jc w:val="center"/>
                    <w:rPr>
                      <w:rFonts w:ascii="Calibri" w:hAnsi="Calibri"/>
                      <w:sz w:val="18"/>
                      <w:szCs w:val="18"/>
                    </w:rPr>
                  </w:pPr>
                  <w:r>
                    <w:rPr>
                      <w:sz w:val="18"/>
                      <w:szCs w:val="18"/>
                    </w:rPr>
                    <w:t>Б</w:t>
                  </w:r>
                  <w:r>
                    <w:rPr>
                      <w:sz w:val="18"/>
                      <w:szCs w:val="18"/>
                      <w:vertAlign w:val="subscript"/>
                      <w:lang w:val="en-US"/>
                    </w:rPr>
                    <w:t>4</w:t>
                  </w:r>
                  <w:r>
                    <w:rPr>
                      <w:sz w:val="18"/>
                      <w:szCs w:val="18"/>
                    </w:rPr>
                    <w:t xml:space="preserve"> = 0</w:t>
                  </w:r>
                </w:p>
              </w:tc>
              <w:tc>
                <w:tcPr>
                  <w:tcW w:w="4472" w:type="dxa"/>
                  <w:tcBorders>
                    <w:left w:val="single" w:sz="4" w:space="0" w:color="000000"/>
                    <w:bottom w:val="single" w:sz="4" w:space="0" w:color="000000"/>
                  </w:tcBorders>
                </w:tcPr>
                <w:p>
                  <w:pPr>
                    <w:pStyle w:val="Normal"/>
                    <w:widowControl w:val="false"/>
                    <w:rPr>
                      <w:sz w:val="18"/>
                      <w:szCs w:val="18"/>
                    </w:rPr>
                  </w:pPr>
                  <w:r>
                    <w:rPr>
                      <w:sz w:val="18"/>
                      <w:szCs w:val="18"/>
                    </w:rPr>
                    <w:t>Результат оценки финансового состояния (устойчивости): менее 0,45 балла – Кризисное финансовое состояние;</w:t>
                  </w:r>
                </w:p>
                <w:p>
                  <w:pPr>
                    <w:pStyle w:val="Normal"/>
                    <w:widowControl w:val="false"/>
                    <w:rPr>
                      <w:i/>
                      <w:i/>
                      <w:iCs/>
                      <w:sz w:val="18"/>
                      <w:szCs w:val="18"/>
                    </w:rPr>
                  </w:pPr>
                  <w:r>
                    <w:rPr>
                      <w:i/>
                      <w:iCs/>
                      <w:sz w:val="18"/>
                      <w:szCs w:val="18"/>
                    </w:rPr>
                    <w:t>или</w:t>
                  </w:r>
                </w:p>
                <w:p>
                  <w:pPr>
                    <w:pStyle w:val="Normal"/>
                    <w:widowControl w:val="false"/>
                    <w:rPr>
                      <w:sz w:val="18"/>
                      <w:szCs w:val="18"/>
                    </w:rPr>
                  </w:pPr>
                  <w:r>
                    <w:rPr>
                      <w:sz w:val="18"/>
                      <w:szCs w:val="18"/>
                    </w:rPr>
                    <w:t xml:space="preserve">в случае отсутствия исходных данных для оценки финансового состояния Участника, в том числе если он является: </w:t>
                  </w:r>
                </w:p>
                <w:p>
                  <w:pPr>
                    <w:pStyle w:val="Normal"/>
                    <w:widowControl w:val="false"/>
                    <w:numPr>
                      <w:ilvl w:val="4"/>
                      <w:numId w:val="13"/>
                    </w:numPr>
                    <w:tabs>
                      <w:tab w:val="left" w:pos="708" w:leader="none"/>
                    </w:tabs>
                    <w:spacing w:before="40" w:after="40"/>
                    <w:ind w:left="209" w:hanging="209"/>
                    <w:outlineLvl w:val="4"/>
                    <w:rPr>
                      <w:sz w:val="18"/>
                      <w:szCs w:val="18"/>
                    </w:rPr>
                  </w:pPr>
                  <w:r>
                    <w:rPr>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Normal"/>
                    <w:widowControl w:val="false"/>
                    <w:numPr>
                      <w:ilvl w:val="4"/>
                      <w:numId w:val="14"/>
                    </w:numPr>
                    <w:tabs>
                      <w:tab w:val="left" w:pos="708" w:leader="none"/>
                    </w:tabs>
                    <w:spacing w:before="40" w:after="40"/>
                    <w:ind w:left="209" w:hanging="209"/>
                    <w:outlineLvl w:val="4"/>
                    <w:rPr>
                      <w:sz w:val="18"/>
                      <w:szCs w:val="18"/>
                    </w:rPr>
                  </w:pPr>
                  <w:r>
                    <w:rPr>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cantSplit w:val="true"/>
              </w:trPr>
              <w:tc>
                <w:tcPr>
                  <w:tcW w:w="1266" w:type="dxa"/>
                  <w:tcBorders>
                    <w:top w:val="single" w:sz="4" w:space="0" w:color="000000"/>
                    <w:bottom w:val="single" w:sz="4" w:space="0" w:color="000000"/>
                    <w:right w:val="single" w:sz="4" w:space="0" w:color="000000"/>
                  </w:tcBorders>
                </w:tcPr>
                <w:p>
                  <w:pPr>
                    <w:pStyle w:val="Normal"/>
                    <w:widowControl w:val="false"/>
                    <w:numPr>
                      <w:ilvl w:val="7"/>
                      <w:numId w:val="15"/>
                    </w:numPr>
                    <w:spacing w:before="40" w:after="40"/>
                    <w:jc w:val="center"/>
                    <w:rPr>
                      <w:sz w:val="18"/>
                      <w:szCs w:val="18"/>
                    </w:rPr>
                  </w:pPr>
                  <w:r>
                    <w:rPr>
                      <w:sz w:val="18"/>
                      <w:szCs w:val="18"/>
                    </w:rPr>
                    <w:t>Б</w:t>
                  </w:r>
                  <w:r>
                    <w:rPr>
                      <w:sz w:val="18"/>
                      <w:szCs w:val="18"/>
                      <w:vertAlign w:val="subscript"/>
                      <w:lang w:val="en-US"/>
                    </w:rPr>
                    <w:t>4</w:t>
                  </w:r>
                  <w:r>
                    <w:rPr>
                      <w:sz w:val="18"/>
                      <w:szCs w:val="18"/>
                    </w:rPr>
                    <w:t xml:space="preserve"> = 3</w:t>
                  </w:r>
                </w:p>
              </w:tc>
              <w:tc>
                <w:tcPr>
                  <w:tcW w:w="4472" w:type="dxa"/>
                  <w:tcBorders>
                    <w:top w:val="single" w:sz="4" w:space="0" w:color="000000"/>
                    <w:left w:val="single" w:sz="4" w:space="0" w:color="000000"/>
                    <w:bottom w:val="single" w:sz="4" w:space="0" w:color="000000"/>
                  </w:tcBorders>
                </w:tcPr>
                <w:p>
                  <w:pPr>
                    <w:pStyle w:val="Normal"/>
                    <w:widowControl w:val="false"/>
                    <w:numPr>
                      <w:ilvl w:val="0"/>
                      <w:numId w:val="0"/>
                    </w:numPr>
                    <w:tabs>
                      <w:tab w:val="left" w:pos="360" w:leader="none"/>
                      <w:tab w:val="left" w:pos="708" w:leader="none"/>
                    </w:tabs>
                    <w:spacing w:before="40" w:after="40"/>
                    <w:ind w:left="0" w:hanging="0"/>
                    <w:outlineLvl w:val="4"/>
                    <w:rPr>
                      <w:sz w:val="18"/>
                      <w:szCs w:val="18"/>
                    </w:rPr>
                  </w:pPr>
                  <w:r>
                    <w:rPr>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cantSplit w:val="true"/>
              </w:trPr>
              <w:tc>
                <w:tcPr>
                  <w:tcW w:w="1266" w:type="dxa"/>
                  <w:tcBorders>
                    <w:top w:val="single" w:sz="4" w:space="0" w:color="000000"/>
                    <w:bottom w:val="single" w:sz="4" w:space="0" w:color="000000"/>
                    <w:right w:val="single" w:sz="4" w:space="0" w:color="000000"/>
                  </w:tcBorders>
                </w:tcPr>
                <w:p>
                  <w:pPr>
                    <w:pStyle w:val="Normal"/>
                    <w:widowControl w:val="false"/>
                    <w:numPr>
                      <w:ilvl w:val="7"/>
                      <w:numId w:val="16"/>
                    </w:numPr>
                    <w:spacing w:before="40" w:after="40"/>
                    <w:jc w:val="center"/>
                    <w:rPr>
                      <w:sz w:val="18"/>
                      <w:szCs w:val="18"/>
                    </w:rPr>
                  </w:pPr>
                  <w:r>
                    <w:rPr>
                      <w:sz w:val="18"/>
                      <w:szCs w:val="18"/>
                    </w:rPr>
                    <w:t>Б</w:t>
                  </w:r>
                  <w:r>
                    <w:rPr>
                      <w:sz w:val="18"/>
                      <w:szCs w:val="18"/>
                      <w:vertAlign w:val="subscript"/>
                      <w:lang w:val="en-US"/>
                    </w:rPr>
                    <w:t>4</w:t>
                  </w:r>
                  <w:r>
                    <w:rPr>
                      <w:sz w:val="18"/>
                      <w:szCs w:val="18"/>
                    </w:rPr>
                    <w:t xml:space="preserve"> = 5</w:t>
                  </w:r>
                </w:p>
              </w:tc>
              <w:tc>
                <w:tcPr>
                  <w:tcW w:w="4472" w:type="dxa"/>
                  <w:tcBorders>
                    <w:top w:val="single" w:sz="4" w:space="0" w:color="000000"/>
                    <w:left w:val="single" w:sz="4" w:space="0" w:color="000000"/>
                    <w:bottom w:val="single" w:sz="4" w:space="0" w:color="000000"/>
                  </w:tcBorders>
                </w:tcPr>
                <w:p>
                  <w:pPr>
                    <w:pStyle w:val="Normal"/>
                    <w:widowControl w:val="false"/>
                    <w:numPr>
                      <w:ilvl w:val="0"/>
                      <w:numId w:val="0"/>
                    </w:numPr>
                    <w:tabs>
                      <w:tab w:val="left" w:pos="360" w:leader="none"/>
                      <w:tab w:val="left" w:pos="708" w:leader="none"/>
                    </w:tabs>
                    <w:spacing w:before="40" w:after="40"/>
                    <w:ind w:left="0" w:hanging="0"/>
                    <w:outlineLvl w:val="4"/>
                    <w:rPr>
                      <w:sz w:val="18"/>
                      <w:szCs w:val="18"/>
                    </w:rPr>
                  </w:pPr>
                  <w:r>
                    <w:rPr>
                      <w:sz w:val="18"/>
                      <w:szCs w:val="18"/>
                    </w:rPr>
                    <w:t>Результат оценки финансового состояния (устойчивости): более 0,90 балла – Удовлетворительное финансовое состояние.</w:t>
                  </w:r>
                </w:p>
              </w:tc>
            </w:tr>
          </w:tbl>
          <w:p>
            <w:pPr>
              <w:pStyle w:val="Normal"/>
              <w:widowControl w:val="false"/>
              <w:numPr>
                <w:ilvl w:val="6"/>
                <w:numId w:val="17"/>
              </w:numPr>
              <w:spacing w:before="96" w:after="0"/>
              <w:rPr>
                <w:sz w:val="18"/>
                <w:szCs w:val="18"/>
              </w:rPr>
            </w:pPr>
            <w:r>
              <w:rPr>
                <w:sz w:val="18"/>
                <w:szCs w:val="18"/>
              </w:rPr>
              <w:t>где:</w:t>
            </w:r>
          </w:p>
          <w:p>
            <w:pPr>
              <w:pStyle w:val="Normal"/>
              <w:widowControl w:val="false"/>
              <w:numPr>
                <w:ilvl w:val="6"/>
                <w:numId w:val="18"/>
              </w:numPr>
              <w:tabs>
                <w:tab w:val="clear" w:pos="708"/>
                <w:tab w:val="left" w:pos="742" w:leader="none"/>
                <w:tab w:val="left" w:pos="1167" w:leader="none"/>
              </w:tabs>
              <w:ind w:left="349" w:hanging="349"/>
              <w:rPr>
                <w:sz w:val="18"/>
                <w:szCs w:val="18"/>
              </w:rPr>
            </w:pPr>
            <w:r>
              <w:rPr>
                <w:sz w:val="18"/>
                <w:szCs w:val="18"/>
              </w:rPr>
              <w:t>Б</w:t>
            </w:r>
            <w:r>
              <w:rPr>
                <w:sz w:val="18"/>
                <w:szCs w:val="18"/>
                <w:vertAlign w:val="subscript"/>
              </w:rPr>
              <w:t>4</w:t>
            </w:r>
            <w:r>
              <w:rPr>
                <w:sz w:val="18"/>
                <w:szCs w:val="18"/>
              </w:rPr>
              <w:tab/>
              <w:t>–</w:t>
              <w:tab/>
              <w:t>рассчитанная оценка предпочтительности по данному частному критерию оценки в баллах.</w:t>
            </w:r>
          </w:p>
          <w:p>
            <w:pPr>
              <w:pStyle w:val="Normal"/>
              <w:widowControl w:val="false"/>
              <w:numPr>
                <w:ilvl w:val="0"/>
                <w:numId w:val="0"/>
              </w:numPr>
              <w:tabs>
                <w:tab w:val="left" w:pos="360" w:leader="none"/>
                <w:tab w:val="left" w:pos="708" w:leader="none"/>
              </w:tabs>
              <w:spacing w:before="120" w:after="160"/>
              <w:ind w:left="0" w:hanging="0"/>
              <w:jc w:val="both"/>
              <w:outlineLvl w:val="2"/>
              <w:rPr>
                <w:color w:val="000000" w:themeColor="text1"/>
                <w:sz w:val="18"/>
                <w:szCs w:val="18"/>
              </w:rPr>
            </w:pPr>
            <w:bookmarkStart w:id="3" w:name="_Toc151555394"/>
            <w:r>
              <w:rPr>
                <w:color w:val="000000" w:themeColor="text1"/>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
          </w:p>
          <w:p>
            <w:pPr>
              <w:pStyle w:val="Normal"/>
              <w:widowControl w:val="false"/>
              <w:numPr>
                <w:ilvl w:val="7"/>
                <w:numId w:val="19"/>
              </w:numPr>
              <w:spacing w:before="40" w:after="40"/>
              <w:rPr>
                <w:sz w:val="18"/>
                <w:szCs w:val="18"/>
              </w:rPr>
            </w:pPr>
            <w:r>
              <w:rPr>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объемов поставки продукции (форма № 11).</w:t>
            </w:r>
          </w:p>
          <w:p>
            <w:pPr>
              <w:pStyle w:val="Normal"/>
              <w:widowControl w:val="false"/>
              <w:spacing w:before="96" w:after="96"/>
              <w:rPr>
                <w:sz w:val="18"/>
                <w:szCs w:val="18"/>
              </w:rPr>
            </w:pPr>
            <w:r>
              <w:rPr>
                <w:sz w:val="18"/>
                <w:szCs w:val="18"/>
              </w:rPr>
              <w:t>Шкала оценок от 0 до 5 баллов.</w:t>
            </w:r>
          </w:p>
        </w:tc>
      </w:tr>
      <w:tr>
        <w:trPr/>
        <w:tc>
          <w:tcPr>
            <w:tcW w:w="5984"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right"/>
              <w:rPr>
                <w:sz w:val="18"/>
                <w:szCs w:val="18"/>
              </w:rPr>
            </w:pPr>
            <w:r>
              <w:rPr>
                <w:sz w:val="18"/>
                <w:szCs w:val="18"/>
              </w:rPr>
              <w:t>Итоговая оценка предпочтительности заявки:</w:t>
            </w:r>
          </w:p>
        </w:tc>
        <w:tc>
          <w:tcPr>
            <w:tcW w:w="925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rPr>
                <w:sz w:val="18"/>
                <w:szCs w:val="18"/>
              </w:rPr>
            </w:pPr>
            <w:r>
              <w:rPr>
                <w:sz w:val="18"/>
                <w:szCs w:val="18"/>
              </w:rPr>
              <w:t xml:space="preserve">Расчет итоговой оценки предпочтительности </w:t>
            </w:r>
            <w:r>
              <w:rPr>
                <w:i/>
                <w:sz w:val="18"/>
                <w:szCs w:val="18"/>
                <w:lang w:val="en-US"/>
              </w:rPr>
              <w:t>i</w:t>
            </w:r>
            <w:r>
              <w:rPr>
                <w:sz w:val="18"/>
                <w:szCs w:val="18"/>
              </w:rPr>
              <w:t>-ой заявки:</w:t>
            </w:r>
          </w:p>
          <w:p>
            <w:pPr>
              <w:pStyle w:val="Normal"/>
              <w:keepNext w:val="true"/>
              <w:widowControl w:val="false"/>
              <w:spacing w:before="120" w:after="0"/>
              <w:jc w:val="center"/>
              <w:rPr>
                <w:sz w:val="18"/>
                <w:szCs w:val="18"/>
              </w:rPr>
            </w:pPr>
            <w:r>
              <w:rPr>
                <w:sz w:val="18"/>
                <w:szCs w:val="18"/>
              </w:rPr>
            </w:r>
          </w:p>
          <w:p>
            <w:pPr>
              <w:pStyle w:val="Normal"/>
              <w:keepNext w:val="true"/>
              <w:widowControl w:val="false"/>
              <w:spacing w:before="96" w:after="0"/>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e>
                    </m:d>
                  </m:e>
                </m:nary>
                <m:r>
                  <w:rPr>
                    <w:rFonts w:ascii="Cambria Math" w:hAnsi="Cambria Math"/>
                  </w:rPr>
                  <m:t xml:space="preserve">,</m:t>
                </m:r>
              </m:oMath>
            </m:oMathPara>
          </w:p>
          <w:p>
            <w:pPr>
              <w:pStyle w:val="Normal"/>
              <w:keepNext w:val="true"/>
              <w:widowControl w:val="false"/>
              <w:spacing w:before="96" w:after="0"/>
              <w:rPr>
                <w:sz w:val="18"/>
                <w:szCs w:val="18"/>
              </w:rPr>
            </w:pPr>
            <w:r>
              <w:rPr>
                <w:sz w:val="18"/>
                <w:szCs w:val="18"/>
              </w:rPr>
              <w:t>где:</w:t>
            </w:r>
          </w:p>
          <w:p>
            <w:pPr>
              <w:pStyle w:val="Normal"/>
              <w:widowControl w:val="false"/>
              <w:tabs>
                <w:tab w:val="clear" w:pos="708"/>
                <w:tab w:val="left" w:pos="742" w:leader="none"/>
                <w:tab w:val="left" w:pos="1167" w:leader="none"/>
              </w:tabs>
              <w:spacing w:before="120" w:after="0"/>
              <w:rPr>
                <w:sz w:val="18"/>
                <w:szCs w:val="18"/>
              </w:rPr>
            </w:pPr>
            <w:r>
              <w:rPr>
                <w:sz w:val="18"/>
                <w:szCs w:val="18"/>
              </w:rPr>
              <w:t>Б</w:t>
            </w:r>
            <w:r>
              <w:rPr>
                <w:sz w:val="18"/>
                <w:szCs w:val="18"/>
                <w:vertAlign w:val="subscript"/>
              </w:rPr>
              <w:t>ИТОГ</w:t>
            </w:r>
            <w:r>
              <w:rPr>
                <w:sz w:val="18"/>
                <w:szCs w:val="18"/>
              </w:rPr>
              <w:tab/>
              <w:t>–</w:t>
              <w:tab/>
              <w:t>рассчитанная итоговая оценка предпочтительности в баллах;</w:t>
            </w:r>
          </w:p>
          <w:p>
            <w:pPr>
              <w:pStyle w:val="Normal"/>
              <w:widowControl w:val="false"/>
              <w:tabs>
                <w:tab w:val="clear" w:pos="708"/>
                <w:tab w:val="left" w:pos="742" w:leader="none"/>
                <w:tab w:val="left" w:pos="1167" w:leader="none"/>
              </w:tabs>
              <w:spacing w:before="120" w:after="0"/>
              <w:rPr>
                <w:sz w:val="18"/>
                <w:szCs w:val="18"/>
              </w:rPr>
            </w:pPr>
            <w:r>
              <w:rPr>
                <w:sz w:val="18"/>
                <w:szCs w:val="18"/>
              </w:rPr>
              <w:t>Б</w:t>
            </w:r>
            <w:r>
              <w:rPr>
                <w:sz w:val="18"/>
                <w:szCs w:val="18"/>
                <w:vertAlign w:val="subscript"/>
              </w:rPr>
              <w:t>1 уровень k</w:t>
            </w:r>
            <w:r>
              <w:rPr>
                <w:sz w:val="18"/>
                <w:szCs w:val="18"/>
              </w:rPr>
              <w:tab/>
              <w:t>–</w:t>
              <w:tab/>
              <w:t>оценка предпочтительности по k-тому критерию оценки первого уровня в баллах;</w:t>
            </w:r>
          </w:p>
          <w:p>
            <w:pPr>
              <w:pStyle w:val="Normal"/>
              <w:widowControl w:val="false"/>
              <w:tabs>
                <w:tab w:val="clear" w:pos="708"/>
                <w:tab w:val="left" w:pos="742" w:leader="none"/>
                <w:tab w:val="left" w:pos="1167" w:leader="none"/>
              </w:tabs>
              <w:spacing w:before="120" w:after="0"/>
              <w:rPr>
                <w:sz w:val="18"/>
                <w:szCs w:val="18"/>
              </w:rPr>
            </w:pPr>
            <w:r>
              <w:rPr>
                <w:sz w:val="18"/>
                <w:szCs w:val="18"/>
              </w:rPr>
              <w:t>В</w:t>
            </w:r>
            <w:r>
              <w:rPr>
                <w:sz w:val="18"/>
                <w:szCs w:val="18"/>
                <w:vertAlign w:val="subscript"/>
              </w:rPr>
              <w:t>1 уровень k</w:t>
            </w:r>
            <w:r>
              <w:rPr>
                <w:sz w:val="18"/>
                <w:szCs w:val="18"/>
              </w:rPr>
              <w:tab/>
              <w:t>–</w:t>
              <w:tab/>
              <w:t>значимость k-ого критерия оценки первого уровня, выраженная в диапазоне от 1% до 100% (или от 0,01 до 1,00) – вес k-ого критерия оценки первого уровня.</w:t>
            </w:r>
          </w:p>
          <w:p>
            <w:pPr>
              <w:pStyle w:val="Normal"/>
              <w:widowControl w:val="false"/>
              <w:tabs>
                <w:tab w:val="clear" w:pos="708"/>
                <w:tab w:val="left" w:pos="742" w:leader="none"/>
                <w:tab w:val="left" w:pos="1167" w:leader="none"/>
              </w:tabs>
              <w:spacing w:before="120" w:after="0"/>
              <w:rPr>
                <w:sz w:val="18"/>
                <w:szCs w:val="18"/>
              </w:rPr>
            </w:pPr>
            <w:r>
              <w:rPr>
                <w:sz w:val="18"/>
                <w:szCs w:val="18"/>
              </w:rPr>
            </w:r>
          </w:p>
        </w:tc>
      </w:tr>
    </w:tbl>
    <w:p>
      <w:pPr>
        <w:pStyle w:val="Normal"/>
        <w:widowControl w:val="false"/>
        <w:tabs>
          <w:tab w:val="clear" w:pos="708"/>
          <w:tab w:val="left" w:pos="426" w:leader="none"/>
        </w:tabs>
        <w:spacing w:before="120" w:after="120"/>
        <w:jc w:val="both"/>
        <w:rPr>
          <w:i/>
          <w:i/>
          <w:iCs/>
          <w:sz w:val="24"/>
          <w:szCs w:val="24"/>
          <w:shd w:fill="FFFF99" w:val="clear"/>
        </w:rPr>
      </w:pPr>
      <w:r>
        <w:rPr>
          <w:i/>
          <w:iCs/>
          <w:sz w:val="24"/>
          <w:szCs w:val="24"/>
          <w:shd w:fill="FFFF99" w:val="clear"/>
        </w:rPr>
      </w:r>
    </w:p>
    <w:p>
      <w:pPr>
        <w:pStyle w:val="Normal"/>
        <w:jc w:val="center"/>
        <w:rPr>
          <w:i/>
          <w:i/>
          <w:iCs/>
          <w:sz w:val="24"/>
          <w:szCs w:val="24"/>
          <w:shd w:fill="FFFF99" w:val="clear"/>
        </w:rPr>
      </w:pPr>
      <w:r>
        <w:rPr>
          <w:i/>
          <w:iCs/>
          <w:sz w:val="24"/>
          <w:szCs w:val="24"/>
          <w:shd w:fill="FFFF99" w:val="clear"/>
        </w:rPr>
      </w:r>
    </w:p>
    <w:p>
      <w:pPr>
        <w:pStyle w:val="Normal"/>
        <w:rPr/>
      </w:pPr>
      <w:r>
        <w:rPr/>
      </w:r>
    </w:p>
    <w:sectPr>
      <w:footnotePr>
        <w:numFmt w:val="decimal"/>
      </w:footnotePr>
      <w:type w:val="nextPage"/>
      <w:pgSz w:orient="landscape" w:w="16838" w:h="11906"/>
      <w:pgMar w:left="992" w:right="1134" w:gutter="0" w:header="0" w:top="1134" w:footer="0" w:bottom="851"/>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Courier New">
    <w:charset w:val="01"/>
    <w:family w:val="roman"/>
    <w:pitch w:val="variable"/>
  </w:font>
  <w:font w:name="Wingdings">
    <w:charset w:val="01"/>
    <w:family w:val="roman"/>
    <w:pitch w:val="variable"/>
  </w:font>
  <w:font w:name="Liberation Sans">
    <w:altName w:val="Arial"/>
    <w:charset w:val="01"/>
    <w:family w:val="roman"/>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widowControl w:val="false"/>
        <w:rPr/>
      </w:pPr>
      <w:r>
        <w:rPr>
          <w:rStyle w:val="Style11"/>
        </w:rPr>
        <w:footnoteRef/>
      </w:r>
      <w:r>
        <w:rPr/>
        <w:tab/>
        <w:t xml:space="preserve"> </w:t>
      </w:r>
      <w:r>
        <w:rPr/>
        <w:t xml:space="preserve">Организатор закупки с НМЦ свыше 500 млн. руб. без НДС осуществяет проверку представленных в составе заявки Участника документов на предмет отсутствия недостоверных сведений или намеренно искаженной информации, основываясь на официальных данных из открытых источников, размещенных в информативно-телекоммуникационной сети «Интернет» по адресу: egrul.nalog.ru (портал «Федеральные налоговой службы РФ») (далее – открытые источники). В случае наличия расхождений сведений с открытыми источниками в информации, подтверждающей статус Участника, Организатор закупки присваивает по данному критерию балл на основании данных из открытых источников. </w:t>
      </w:r>
    </w:p>
  </w:footnote>
  <w:footnote w:id="3">
    <w:p>
      <w:pPr>
        <w:pStyle w:val="FootnoteText"/>
        <w:widowControl w:val="false"/>
        <w:rPr/>
      </w:pPr>
      <w:r>
        <w:rPr>
          <w:rStyle w:val="Style11"/>
        </w:rPr>
        <w:footnoteRef/>
      </w:r>
      <w:r>
        <w:rPr/>
        <w:tab/>
        <w:t xml:space="preserve"> </w:t>
      </w:r>
      <w:r>
        <w:rPr/>
        <w:t>В Положении об аккредитации используется термин «Заявитель».</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3">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6">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7">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8">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9">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10">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11">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4"/>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4"/>
  </w:num>
  <w:num w:numId="17">
    <w:abstractNumId w:val="4"/>
  </w:num>
  <w:num w:numId="18">
    <w:abstractNumId w:val="4"/>
  </w:num>
  <w:num w:numId="19">
    <w:abstractNumId w:val="4"/>
  </w:num>
</w:numbering>
</file>

<file path=word/settings.xml><?xml version="1.0" encoding="utf-8"?>
<w:settings xmlns:w="http://schemas.openxmlformats.org/wordprocessingml/2006/main">
  <w:zoom w:percent="134"/>
  <w:trackRevision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readOnly"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d7765"/>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semiHidden/>
    <w:qFormat/>
    <w:rsid w:val="00ed7765"/>
    <w:rPr>
      <w:sz w:val="16"/>
      <w:szCs w:val="16"/>
    </w:rPr>
  </w:style>
  <w:style w:type="character" w:styleId="Style9" w:customStyle="1">
    <w:name w:val="Текст примечания Знак"/>
    <w:basedOn w:val="DefaultParagraphFont"/>
    <w:link w:val="Annotationtext"/>
    <w:semiHidden/>
    <w:qFormat/>
    <w:rsid w:val="00ed7765"/>
    <w:rPr>
      <w:rFonts w:ascii="Times New Roman" w:hAnsi="Times New Roman" w:eastAsia="Times New Roman" w:cs="Times New Roman"/>
      <w:sz w:val="20"/>
      <w:szCs w:val="20"/>
      <w:lang w:eastAsia="ru-RU"/>
    </w:rPr>
  </w:style>
  <w:style w:type="character" w:styleId="Style10" w:customStyle="1">
    <w:name w:val="Текст выноски Знак"/>
    <w:basedOn w:val="DefaultParagraphFont"/>
    <w:link w:val="BalloonText"/>
    <w:uiPriority w:val="99"/>
    <w:semiHidden/>
    <w:qFormat/>
    <w:rsid w:val="00a142f3"/>
    <w:rPr>
      <w:rFonts w:ascii="Segoe UI" w:hAnsi="Segoe UI" w:eastAsia="Times New Roman" w:cs="Segoe UI"/>
      <w:sz w:val="18"/>
      <w:szCs w:val="18"/>
      <w:lang w:eastAsia="ru-RU"/>
    </w:rPr>
  </w:style>
  <w:style w:type="character" w:styleId="Linenumber1">
    <w:name w:val="line number1"/>
    <w:qFormat/>
    <w:rPr/>
  </w:style>
  <w:style w:type="character" w:styleId="Hyperlink">
    <w:name w:val="Hyperlink"/>
    <w:rPr>
      <w:color w:val="000080"/>
      <w:u w:val="single"/>
    </w:rPr>
  </w:style>
  <w:style w:type="character" w:styleId="Style11" w:customStyle="1">
    <w:name w:val="Символ сноски"/>
    <w:qFormat/>
    <w:rPr>
      <w:vertAlign w:val="superscript"/>
    </w:rPr>
  </w:style>
  <w:style w:type="character" w:styleId="FootnoteReference">
    <w:name w:val="Footnote Reference"/>
    <w:rPr>
      <w:vertAlign w:val="superscript"/>
    </w:rPr>
  </w:style>
  <w:style w:type="character" w:styleId="Style12" w:customStyle="1">
    <w:name w:val="Символ концевой сноски"/>
    <w:qFormat/>
    <w:rPr>
      <w:vertAlign w:val="superscript"/>
    </w:rPr>
  </w:style>
  <w:style w:type="character" w:styleId="EndnoteReference">
    <w:name w:val="Endnote Reference"/>
    <w:rPr>
      <w:vertAlign w:val="superscript"/>
    </w:rPr>
  </w:style>
  <w:style w:type="character" w:styleId="WW8Num1z1" w:customStyle="1">
    <w:name w:val="WW8Num1z1"/>
    <w:qFormat/>
    <w:rsid w:val="008d4077"/>
    <w:rPr>
      <w:rFonts w:ascii="Times New Roman" w:hAnsi="Times New Roman" w:cs="Times New Roman"/>
      <w:b/>
      <w:bCs/>
      <w:i w:val="false"/>
      <w:iCs w:val="false"/>
      <w:caps w:val="false"/>
      <w:smallCaps w:val="false"/>
      <w:strike w:val="false"/>
      <w:dstrike w:val="false"/>
      <w:vanish w:val="false"/>
      <w:color w:val="000000"/>
      <w:spacing w:val="0"/>
      <w:kern w:val="0"/>
      <w:position w:val="0"/>
      <w:sz w:val="28"/>
      <w:sz w:val="28"/>
      <w:szCs w:val="28"/>
      <w:u w:val="none"/>
      <w:vertAlign w:val="baseline"/>
      <w:em w:val="none"/>
      <w:lang w:bidi="x-none"/>
    </w:rPr>
  </w:style>
  <w:style w:type="character" w:styleId="WW8Num31z1" w:customStyle="1">
    <w:name w:val="WW8Num31z1"/>
    <w:qFormat/>
    <w:rsid w:val="008d4077"/>
    <w:rPr>
      <w:rFonts w:ascii="Courier New" w:hAnsi="Courier New" w:cs="Courier New"/>
    </w:rPr>
  </w:style>
  <w:style w:type="character" w:styleId="WW8Num31z2" w:customStyle="1">
    <w:name w:val="WW8Num31z2"/>
    <w:qFormat/>
    <w:rsid w:val="008d4077"/>
    <w:rPr>
      <w:rFonts w:ascii="Wingdings" w:hAnsi="Wingdings" w:cs="Wingdings"/>
    </w:rPr>
  </w:style>
  <w:style w:type="character" w:styleId="WW8Num32z1" w:customStyle="1">
    <w:name w:val="WW8Num32z1"/>
    <w:qFormat/>
    <w:rsid w:val="008d4077"/>
    <w:rPr/>
  </w:style>
  <w:style w:type="character" w:styleId="WW8Num32z2" w:customStyle="1">
    <w:name w:val="WW8Num32z2"/>
    <w:qFormat/>
    <w:rsid w:val="008d4077"/>
    <w:rPr>
      <w:lang w:val="es-ES"/>
    </w:rPr>
  </w:style>
  <w:style w:type="character" w:styleId="WW8Num32z3" w:customStyle="1">
    <w:name w:val="WW8Num32z3"/>
    <w:qFormat/>
    <w:rsid w:val="008d4077"/>
    <w:rPr>
      <w:rFonts w:ascii="Wingdings" w:hAnsi="Wingdings" w:cs="Wingdings"/>
    </w:rPr>
  </w:style>
  <w:style w:type="character" w:styleId="3" w:customStyle="1">
    <w:name w:val="УРОВЕНЬ_Абзац_тип3 Знак"/>
    <w:link w:val="31"/>
    <w:qFormat/>
    <w:rsid w:val="008d4077"/>
    <w:rPr>
      <w:rFonts w:ascii="Times New Roman" w:hAnsi="Times New Roman" w:eastAsia="Calibri" w:cs="Times New Roman"/>
      <w:sz w:val="26"/>
      <w:szCs w:val="28"/>
      <w:lang w:eastAsia="zh-CN"/>
    </w:rPr>
  </w:style>
  <w:style w:type="character" w:styleId="LineNumber">
    <w:name w:val="Line Number"/>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Title">
    <w:name w:val="Title"/>
    <w:basedOn w:val="Normal"/>
    <w:next w:val="BodyText"/>
    <w:qFormat/>
    <w:pPr>
      <w:keepNext w:val="true"/>
      <w:spacing w:before="240" w:after="120"/>
    </w:pPr>
    <w:rPr>
      <w:rFont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Annotationtext">
    <w:name w:val="annotation text"/>
    <w:basedOn w:val="Normal"/>
    <w:link w:val="Style9"/>
    <w:semiHidden/>
    <w:qFormat/>
    <w:rsid w:val="00ed7765"/>
    <w:pPr/>
    <w:rPr>
      <w:sz w:val="20"/>
      <w:szCs w:val="20"/>
    </w:rPr>
  </w:style>
  <w:style w:type="paragraph" w:styleId="BalloonText">
    <w:name w:val="Balloon Text"/>
    <w:basedOn w:val="Normal"/>
    <w:link w:val="Style10"/>
    <w:uiPriority w:val="99"/>
    <w:semiHidden/>
    <w:unhideWhenUsed/>
    <w:qFormat/>
    <w:rsid w:val="00a142f3"/>
    <w:pPr/>
    <w:rPr>
      <w:rFonts w:ascii="Segoe UI" w:hAnsi="Segoe UI" w:cs="Segoe UI"/>
      <w:sz w:val="18"/>
      <w:szCs w:val="18"/>
    </w:rPr>
  </w:style>
  <w:style w:type="paragraph" w:styleId="FootnoteText">
    <w:name w:val="Footnote Text"/>
    <w:basedOn w:val="Normal"/>
    <w:uiPriority w:val="99"/>
    <w:pPr>
      <w:suppressLineNumbers/>
      <w:ind w:left="340" w:hanging="340"/>
    </w:pPr>
    <w:rPr>
      <w:sz w:val="20"/>
      <w:szCs w:val="20"/>
    </w:rPr>
  </w:style>
  <w:style w:type="paragraph" w:styleId="Style15" w:customStyle="1">
    <w:name w:val="Содержимое таблицы"/>
    <w:basedOn w:val="Normal"/>
    <w:qFormat/>
    <w:pPr>
      <w:widowControl w:val="false"/>
      <w:suppressLineNumbers/>
    </w:pPr>
    <w:rPr/>
  </w:style>
  <w:style w:type="paragraph" w:styleId="Style16" w:customStyle="1">
    <w:name w:val="Заголовок таблицы"/>
    <w:basedOn w:val="Style15"/>
    <w:qFormat/>
    <w:pPr>
      <w:jc w:val="center"/>
    </w:pPr>
    <w:rPr>
      <w:b/>
      <w:bCs/>
    </w:rPr>
  </w:style>
  <w:style w:type="paragraph" w:styleId="NormalWeb">
    <w:name w:val="Normal (Web)"/>
    <w:basedOn w:val="Normal"/>
    <w:uiPriority w:val="99"/>
    <w:qFormat/>
    <w:rsid w:val="008d4077"/>
    <w:pPr>
      <w:spacing w:before="280" w:after="280"/>
    </w:pPr>
    <w:rPr>
      <w:sz w:val="24"/>
      <w:szCs w:val="24"/>
      <w:lang w:eastAsia="zh-CN"/>
    </w:rPr>
  </w:style>
  <w:style w:type="paragraph" w:styleId="31" w:customStyle="1">
    <w:name w:val="УРОВЕНЬ_Абзац_тип3"/>
    <w:basedOn w:val="ListParagraph"/>
    <w:link w:val="3"/>
    <w:qFormat/>
    <w:rsid w:val="008d4077"/>
    <w:pPr>
      <w:numPr>
        <w:ilvl w:val="0"/>
        <w:numId w:val="3"/>
      </w:numPr>
      <w:spacing w:lineRule="exact" w:line="360" w:before="120" w:after="0"/>
      <w:ind w:left="5748" w:hanging="360"/>
      <w:contextualSpacing w:val="false"/>
      <w:jc w:val="both"/>
    </w:pPr>
    <w:rPr>
      <w:rFonts w:eastAsia="Calibri"/>
      <w:sz w:val="26"/>
      <w:lang w:eastAsia="zh-CN"/>
    </w:rPr>
  </w:style>
  <w:style w:type="paragraph" w:styleId="Docdata" w:customStyle="1">
    <w:name w:val="docdata"/>
    <w:basedOn w:val="Normal"/>
    <w:qFormat/>
    <w:rsid w:val="008d4077"/>
    <w:pPr>
      <w:suppressAutoHyphens w:val="false"/>
      <w:spacing w:beforeAutospacing="1" w:afterAutospacing="1"/>
    </w:pPr>
    <w:rPr>
      <w:sz w:val="24"/>
      <w:szCs w:val="24"/>
    </w:rPr>
  </w:style>
  <w:style w:type="paragraph" w:styleId="ListParagraph">
    <w:name w:val="List Paragraph"/>
    <w:basedOn w:val="Normal"/>
    <w:uiPriority w:val="34"/>
    <w:qFormat/>
    <w:rsid w:val="008d4077"/>
    <w:pPr>
      <w:spacing w:before="0" w:after="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o.nalog.ru/"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Application>AlterOffice/3.4.0.9$Linux_X86_64 LibreOffice_project/b8daf9e823b1a5463a2f48435ddc2e8696e7d4fc</Application>
  <AppVersion>15.0000</AppVersion>
  <Pages>8</Pages>
  <Words>740</Words>
  <Characters>5040</Characters>
  <CharactersWithSpaces>5000</CharactersWithSpaces>
  <Paragraphs>59</Paragraphs>
  <Company>RusHydro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2025-12-11T06:05:00Z</dcterms:created>
  <dc:creator>Царьков Иван Сергеевич</dc:creator>
  <dc:description/>
  <dc:language>ru-RU</dc:language>
  <cp:lastModifiedBy>pugandv@corp.gidroogk.com</cp:lastModifiedBy>
  <dcterms:modified xsi:type="dcterms:W3CDTF">2026-08-11T15:55:26Z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