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footer9.xml" ContentType="application/vnd.openxmlformats-officedocument.wordprocessingml.footer+xml"/>
  <Override PartName="/word/footer8.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4.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oter10.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header9.xml" ContentType="application/vnd.openxmlformats-officedocument.wordprocessingml.header+xml"/>
  <Override PartName="/word/media/image4.wmf" ContentType="image/x-wmf"/>
  <Override PartName="/word/media/image5.wmf" ContentType="image/x-wmf"/>
  <Override PartName="/word/media/image1.wmf" ContentType="image/x-wmf"/>
  <Override PartName="/word/media/image2.wmf" ContentType="image/x-wmf"/>
  <Override PartName="/word/media/image3.wmf" ContentType="image/x-wmf"/>
  <Override PartName="/word/footer7.xml" ContentType="application/vnd.openxmlformats-officedocument.wordprocessingml.footer+xml"/>
  <Override PartName="/word/header11.xml" ContentType="application/vnd.openxmlformats-officedocument.wordprocessingml.header+xml"/>
  <Override PartName="/word/fontTable.xml" ContentType="application/vnd.openxmlformats-officedocument.wordprocessingml.fontTable+xml"/>
  <Override PartName="/word/_rels/document.xml.rels" ContentType="application/vnd.openxmlformats-package.relationships+xml"/>
  <Override PartName="/word/header12.xml" ContentType="application/vnd.openxmlformats-officedocument.wordprocessingml.header+xml"/>
  <Override PartName="/word/theme/theme1.xml" ContentType="application/vnd.openxmlformats-officedocument.theme+xml"/>
  <Override PartName="/word/footnotes.xml" ContentType="application/vnd.openxmlformats-officedocument.wordprocessingml.footnotes+xml"/>
  <Override PartName="/word/header10.xml" ContentType="application/vnd.openxmlformats-officedocument.wordprocessingml.header+xml"/>
  <Override PartName="/word/settings.xml" ContentType="application/vnd.openxmlformats-officedocument.wordprocessingml.settings+xml"/>
  <Override PartName="/word/header13.xml" ContentType="application/vnd.openxmlformats-officedocument.wordprocessingml.header+xml"/>
  <Override PartName="/word/numbering.xml" ContentType="application/vnd.openxmlformats-officedocument.wordprocessingml.numbering+xml"/>
  <Override PartName="/word/footer11.xml" ContentType="application/vnd.openxmlformats-officedocument.wordprocessingml.footer+xml"/>
  <Override PartName="/word/footer2.xml" ContentType="application/vnd.openxmlformats-officedocument.wordprocessingml.footer+xml"/>
  <Override PartName="/word/header7.xml" ContentType="application/vnd.openxmlformats-officedocument.wordprocessingml.header+xml"/>
  <Override PartName="/word/footer12.xml" ContentType="application/vnd.openxmlformats-officedocument.wordprocessingml.footer+xml"/>
  <Override PartName="/word/footer3.xml" ContentType="application/vnd.openxmlformats-officedocument.wordprocessingml.footer+xml"/>
  <Override PartName="/word/embeddings/oleObject3.docx" ContentType="application/vnd.openxmlformats-officedocument.wordprocessingml.document"/>
  <Override PartName="/word/embeddings/oleObject5.docx" ContentType="application/vnd.openxmlformats-officedocument.wordprocessingml.document"/>
  <Override PartName="/word/embeddings/oleObject1.docx" ContentType="application/vnd.openxmlformats-officedocument.wordprocessingml.document"/>
  <Override PartName="/word/embeddings/oleObject2.docx" ContentType="application/vnd.openxmlformats-officedocument.wordprocessingml.document"/>
  <Override PartName="/word/embeddings/oleObject4.xlsx" ContentType="application/vnd.openxmlformats-officedocument.spreadsheetml.sheet"/>
  <Override PartName="/word/header8.xml" ContentType="application/vnd.openxmlformats-officedocument.wordprocessingml.header+xml"/>
  <Override PartName="/word/header3.xml" ContentType="application/vnd.openxmlformats-officedocument.wordprocessingml.header+xml"/>
  <Override PartName="/word/header2.xml" ContentType="application/vnd.openxmlformats-officedocument.wordprocessingml.header+xml"/>
  <Override PartName="/word/document.xml" ContentType="application/vnd.openxmlformats-officedocument.wordprocessingml.document.main+xml"/>
  <Override PartName="/word/footer4.xml" ContentType="application/vnd.openxmlformats-officedocument.wordprocessingml.footer+xml"/>
  <Override PartName="/word/footer13.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8"/>
        <w:keepNext w:val="true"/>
        <w:spacing w:before="120" w:after="0"/>
        <w:ind w:left="4536" w:hanging="0"/>
        <w:rPr/>
      </w:pPr>
      <w:r>
        <w:rPr/>
      </w:r>
    </w:p>
    <w:p>
      <w:pPr>
        <w:pStyle w:val="Style28"/>
        <w:rPr/>
      </w:pPr>
      <w:r>
        <w:rPr/>
      </w:r>
    </w:p>
    <w:p>
      <w:pPr>
        <w:pStyle w:val="Style28"/>
        <w:rPr/>
      </w:pPr>
      <w:r>
        <w:rPr/>
      </w:r>
    </w:p>
    <w:p>
      <w:pPr>
        <w:pStyle w:val="Style28"/>
        <w:rPr/>
      </w:pPr>
      <w:r>
        <w:rPr/>
      </w:r>
    </w:p>
    <w:p>
      <w:pPr>
        <w:pStyle w:val="Style28"/>
        <w:rPr/>
      </w:pPr>
      <w:r>
        <w:rPr/>
      </w:r>
    </w:p>
    <w:p>
      <w:pPr>
        <w:pStyle w:val="Style28"/>
        <w:rPr/>
      </w:pPr>
      <w:r>
        <w:rPr/>
      </w:r>
    </w:p>
    <w:p>
      <w:pPr>
        <w:pStyle w:val="Style28"/>
        <w:keepNext w:val="true"/>
        <w:numPr>
          <w:ilvl w:val="0"/>
          <w:numId w:val="0"/>
        </w:numPr>
        <w:ind w:left="0" w:hanging="0"/>
        <w:jc w:val="center"/>
        <w:outlineLvl w:val="2"/>
        <w:rPr>
          <w:b/>
          <w:bCs/>
          <w:caps/>
        </w:rPr>
      </w:pPr>
      <w:r>
        <w:rPr>
          <w:b/>
          <w:bCs/>
          <w:caps/>
        </w:rPr>
        <w:t>Документация о закупке</w:t>
      </w:r>
    </w:p>
    <w:p>
      <w:pPr>
        <w:pStyle w:val="Style28"/>
        <w:keepNext w:val="true"/>
        <w:spacing w:before="240" w:after="0"/>
        <w:jc w:val="center"/>
        <w:rPr>
          <w:rStyle w:val="Style8"/>
        </w:rPr>
      </w:pPr>
      <w:r>
        <w:rPr/>
        <w:t>Запрос предложений в электронной форме,</w:t>
        <w:br/>
        <w:t>участниками которого могут быть только субъекты МСП,</w:t>
        <w:br/>
        <w:t>на право заключения договора на</w:t>
      </w:r>
      <w:r>
        <w:rPr>
          <w:rFonts w:eastAsia="Calibri" w:cs="" w:cstheme="minorBidi" w:eastAsiaTheme="minorHAnsi"/>
          <w:color w:val="auto"/>
          <w:kern w:val="0"/>
          <w:sz w:val="26"/>
          <w:szCs w:val="22"/>
          <w:lang w:val="ru-RU" w:eastAsia="en-US" w:bidi="ar-SA"/>
        </w:rPr>
        <w:t> </w:t>
      </w:r>
      <w:r>
        <w:rPr>
          <w:rStyle w:val="Style8"/>
          <w:rFonts w:eastAsia="Calibri" w:cs="" w:cstheme="minorBidi" w:eastAsiaTheme="minorHAnsi"/>
          <w:i w:val="false"/>
          <w:iCs w:val="false"/>
          <w:color w:val="000000"/>
          <w:kern w:val="0"/>
          <w:sz w:val="26"/>
          <w:szCs w:val="22"/>
          <w:shd w:fill="FFFFFF" w:val="clear"/>
          <w:lang w:val="ru-RU" w:eastAsia="en-US" w:bidi="ar-SA"/>
        </w:rPr>
        <w:t>ОКПД2 42.22.22.140 Выполнение работ по капитальному ремонту ВЛ 110 кВ с заменой опоры на территории Партизанского района структурного подразделения «Приморские южные электрические сети»</w:t>
      </w:r>
    </w:p>
    <w:p>
      <w:pPr>
        <w:sectPr>
          <w:type w:val="nextPage"/>
          <w:pgSz w:w="11906" w:h="16838"/>
          <w:pgMar w:left="1134" w:right="850" w:gutter="0" w:header="0" w:top="851" w:footer="0" w:bottom="851"/>
          <w:pgNumType w:fmt="decimal"/>
          <w:formProt w:val="false"/>
          <w:textDirection w:val="lrTb"/>
          <w:docGrid w:type="default" w:linePitch="360" w:charSpace="0"/>
        </w:sectPr>
        <w:pStyle w:val="Style28"/>
        <w:keepNext w:val="true"/>
        <w:spacing w:before="240" w:after="0"/>
        <w:jc w:val="center"/>
        <w:rPr/>
      </w:pPr>
      <w:r>
        <w:rPr/>
        <w:t>(Лот № </w:t>
      </w:r>
      <w:r>
        <w:rPr>
          <w:rStyle w:val="Style8"/>
          <w:i w:val="false"/>
          <w:iCs w:val="false"/>
          <w:shd w:fill="FFFFFF" w:val="clear"/>
        </w:rPr>
        <w:t>312001-РЕМ ПРОД-2026-ДРСК-ПЭС</w:t>
      </w:r>
      <w:r>
        <w:rPr>
          <w:i w:val="false"/>
          <w:iCs w:val="false"/>
          <w:shd w:fill="FFFFFF" w:val="clear"/>
        </w:rPr>
        <w:t>)</w:t>
      </w:r>
    </w:p>
    <w:p>
      <w:pPr>
        <w:pStyle w:val="Style27"/>
        <w:numPr>
          <w:ilvl w:val="0"/>
          <w:numId w:val="0"/>
        </w:numPr>
        <w:ind w:left="0" w:hanging="0"/>
        <w:outlineLvl w:val="2"/>
        <w:rPr/>
      </w:pPr>
      <w:r>
        <w:rPr/>
        <w:t>Содержание</w:t>
      </w:r>
    </w:p>
    <w:sdt>
      <w:sdtPr>
        <w:docPartObj>
          <w:docPartGallery w:val="Table of Contents"/>
          <w:docPartUnique w:val="true"/>
        </w:docPartObj>
      </w:sdtPr>
      <w:sdtContent>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r>
            <w:fldChar w:fldCharType="begin"/>
          </w:r>
          <w:r>
            <w:rPr>
              <w:webHidden/>
              <w:rStyle w:val="Style17"/>
              <w:vanish w:val="false"/>
            </w:rPr>
            <w:instrText xml:space="preserve"> TOC \z \u \t "[РГ] Перечисление,5,[РГ] Подпункт,4,[РГ] Пункт,3,[РГ] Подраздел,2,[РГ] Раздел,1,[РГ] Раздел,1,[РГ] Раздел,1,[РГ] Раздел,1,[РГ] Раздел,1,[РГ] Раздел,1,[РГ] Раздел,1,[РГ] Раздел,1,[РГ] Раздел,1,[РГ] Раздел,1,[РГ] Раздел,1,[РГ] Раздел,1,[РГ] Подраздел,2,[РГ] Подраздел,2,[РГ] Подраздел,2,[РГ] Подраздел,2,[РГ] Подраздел,2,[РГ] Подраздел,2,[РГ] Подраздел,2,[РГ] Подраздел,2,[РГ] Подраздел,2,[РГ] Подраздел,2,[РГ] Подраздел,2,[РГ] Пункт,3,[РГ] Пункт,3,[РГ] Пункт,3,[РГ] Пункт,3,[РГ] Пункт,3,[РГ] Пункт,3,[РГ] Пункт,3,[РГ] Пункт,3,[РГ] Пункт,3,[РГ] Пункт,3,[РГ] Подпункт,4,[РГ] Подпункт,4,[РГ] Подпункт,4,[РГ] Подпункт,4,[РГ] Подпункт,4,[РГ] Подпункт,4,[РГ] Подпункт,4,[РГ] Подпункт,4,[РГ] Подпункт,4,[РГ] Подпункт,4,[РГ]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 \h</w:instrText>
          </w:r>
          <w:r>
            <w:rPr>
              <w:webHidden/>
              <w:rStyle w:val="Style17"/>
              <w:vanish w:val="false"/>
            </w:rPr>
            <w:fldChar w:fldCharType="separate"/>
          </w:r>
          <w:hyperlink w:anchor="_Toc228877668">
            <w:r>
              <w:rPr>
                <w:webHidden/>
              </w:rPr>
              <w:fldChar w:fldCharType="begin"/>
            </w:r>
            <w:r>
              <w:rPr>
                <w:webHidden/>
              </w:rPr>
              <w:instrText xml:space="preserve">PAGEREF _Toc228877668 \h</w:instrText>
            </w:r>
            <w:r>
              <w:rPr>
                <w:webHidden/>
              </w:rPr>
              <w:fldChar w:fldCharType="separate"/>
            </w:r>
            <w:r>
              <w:rPr>
                <w:webHidden/>
                <w:rStyle w:val="Style17"/>
                <w:vanish w:val="false"/>
              </w:rPr>
              <w:t>Сокращения</w:t>
              <w:tab/>
              <w:t>6</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669">
            <w:r>
              <w:rPr>
                <w:webHidden/>
              </w:rPr>
              <w:fldChar w:fldCharType="begin"/>
            </w:r>
            <w:r>
              <w:rPr>
                <w:webHidden/>
              </w:rPr>
              <w:instrText xml:space="preserve">PAGEREF _Toc228877669 \h</w:instrText>
            </w:r>
            <w:r>
              <w:rPr>
                <w:webHidden/>
              </w:rPr>
              <w:fldChar w:fldCharType="separate"/>
            </w:r>
            <w:r>
              <w:rPr>
                <w:webHidden/>
                <w:rStyle w:val="Style17"/>
                <w:vanish w:val="false"/>
              </w:rPr>
              <w:t>Термины и определения</w:t>
              <w:tab/>
              <w:t>8</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670">
            <w:r>
              <w:rPr>
                <w:webHidden/>
                <w:rStyle w:val="Style17"/>
                <w:vanish w:val="false"/>
              </w:rPr>
              <w:t>1.</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Основные сведения о закупке</w:t>
            </w:r>
            <w:r>
              <w:rPr>
                <w:webHidden/>
              </w:rPr>
              <w:fldChar w:fldCharType="begin"/>
            </w:r>
            <w:r>
              <w:rPr>
                <w:webHidden/>
              </w:rPr>
              <w:instrText xml:space="preserve">PAGEREF _Toc228877670 \h</w:instrText>
            </w:r>
            <w:r>
              <w:rPr>
                <w:webHidden/>
              </w:rPr>
              <w:fldChar w:fldCharType="separate"/>
            </w:r>
            <w:r>
              <w:rPr>
                <w:rStyle w:val="Style17"/>
                <w:vanish w:val="false"/>
              </w:rPr>
              <w:tab/>
              <w:t>12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71">
            <w:r>
              <w:rPr>
                <w:webHidden/>
                <w:rStyle w:val="Style17"/>
                <w:vanish w:val="false"/>
              </w:rPr>
              <w:t>1.1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Статус настоящего раздела</w:t>
            </w:r>
            <w:r>
              <w:rPr>
                <w:webHidden/>
              </w:rPr>
              <w:fldChar w:fldCharType="begin"/>
            </w:r>
            <w:r>
              <w:rPr>
                <w:webHidden/>
              </w:rPr>
              <w:instrText xml:space="preserve">PAGEREF _Toc228877671 \h</w:instrText>
            </w:r>
            <w:r>
              <w:rPr>
                <w:webHidden/>
              </w:rPr>
              <w:fldChar w:fldCharType="separate"/>
            </w:r>
            <w:r>
              <w:rPr>
                <w:rStyle w:val="Style17"/>
                <w:vanish w:val="false"/>
              </w:rPr>
              <w:tab/>
              <w:t>12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72">
            <w:r>
              <w:rPr>
                <w:webHidden/>
                <w:rStyle w:val="Style17"/>
                <w:vanish w:val="false"/>
              </w:rPr>
              <w:t>1.2</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Информация о проводимой закупке</w:t>
            </w:r>
            <w:r>
              <w:rPr>
                <w:webHidden/>
              </w:rPr>
              <w:fldChar w:fldCharType="begin"/>
            </w:r>
            <w:r>
              <w:rPr>
                <w:webHidden/>
              </w:rPr>
              <w:instrText xml:space="preserve">PAGEREF _Toc228877672 \h</w:instrText>
            </w:r>
            <w:r>
              <w:rPr>
                <w:webHidden/>
              </w:rPr>
              <w:fldChar w:fldCharType="separate"/>
            </w:r>
            <w:r>
              <w:rPr>
                <w:rStyle w:val="Style17"/>
                <w:vanish w:val="false"/>
              </w:rPr>
              <w:tab/>
              <w:t>12</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673">
            <w:r>
              <w:rPr>
                <w:webHidden/>
                <w:rStyle w:val="Style17"/>
                <w:vanish w:val="false"/>
              </w:rPr>
              <w:t>2.</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Общие положения</w:t>
            </w:r>
            <w:r>
              <w:rPr>
                <w:webHidden/>
              </w:rPr>
              <w:fldChar w:fldCharType="begin"/>
            </w:r>
            <w:r>
              <w:rPr>
                <w:webHidden/>
              </w:rPr>
              <w:instrText xml:space="preserve">PAGEREF _Toc228877673 \h</w:instrText>
            </w:r>
            <w:r>
              <w:rPr>
                <w:webHidden/>
              </w:rPr>
              <w:fldChar w:fldCharType="separate"/>
            </w:r>
            <w:r>
              <w:rPr>
                <w:rStyle w:val="Style17"/>
                <w:vanish w:val="false"/>
              </w:rPr>
              <w:tab/>
              <w:t>24</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74">
            <w:r>
              <w:rPr>
                <w:webHidden/>
                <w:rStyle w:val="Style17"/>
                <w:vanish w:val="false"/>
              </w:rPr>
              <w:t>2.1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Общие сведения о закупке</w:t>
            </w:r>
            <w:r>
              <w:rPr>
                <w:webHidden/>
              </w:rPr>
              <w:fldChar w:fldCharType="begin"/>
            </w:r>
            <w:r>
              <w:rPr>
                <w:webHidden/>
              </w:rPr>
              <w:instrText xml:space="preserve">PAGEREF _Toc228877674 \h</w:instrText>
            </w:r>
            <w:r>
              <w:rPr>
                <w:webHidden/>
              </w:rPr>
              <w:fldChar w:fldCharType="separate"/>
            </w:r>
            <w:r>
              <w:rPr>
                <w:rStyle w:val="Style17"/>
                <w:vanish w:val="false"/>
              </w:rPr>
              <w:tab/>
              <w:t>24</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75">
            <w:r>
              <w:rPr>
                <w:webHidden/>
                <w:rStyle w:val="Style17"/>
                <w:vanish w:val="false"/>
              </w:rPr>
              <w:t>2.2</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Правовой статус документов</w:t>
            </w:r>
            <w:r>
              <w:rPr>
                <w:webHidden/>
              </w:rPr>
              <w:fldChar w:fldCharType="begin"/>
            </w:r>
            <w:r>
              <w:rPr>
                <w:webHidden/>
              </w:rPr>
              <w:instrText xml:space="preserve">PAGEREF _Toc228877675 \h</w:instrText>
            </w:r>
            <w:r>
              <w:rPr>
                <w:webHidden/>
              </w:rPr>
              <w:fldChar w:fldCharType="separate"/>
            </w:r>
            <w:r>
              <w:rPr>
                <w:rStyle w:val="Style17"/>
                <w:vanish w:val="false"/>
              </w:rPr>
              <w:tab/>
              <w:t>24</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76">
            <w:r>
              <w:rPr>
                <w:webHidden/>
                <w:rStyle w:val="Style17"/>
                <w:vanish w:val="false"/>
              </w:rPr>
              <w:t>2.3</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Обжалование</w:t>
            </w:r>
            <w:r>
              <w:rPr>
                <w:webHidden/>
              </w:rPr>
              <w:fldChar w:fldCharType="begin"/>
            </w:r>
            <w:r>
              <w:rPr>
                <w:webHidden/>
              </w:rPr>
              <w:instrText xml:space="preserve">PAGEREF _Toc228877676 \h</w:instrText>
            </w:r>
            <w:r>
              <w:rPr>
                <w:webHidden/>
              </w:rPr>
              <w:fldChar w:fldCharType="separate"/>
            </w:r>
            <w:r>
              <w:rPr>
                <w:rStyle w:val="Style17"/>
                <w:vanish w:val="false"/>
              </w:rPr>
              <w:tab/>
              <w:t>25</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77">
            <w:r>
              <w:rPr>
                <w:webHidden/>
                <w:rStyle w:val="Style17"/>
                <w:vanish w:val="false"/>
              </w:rPr>
              <w:t>2.4</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Особые положения при проведении закупки с использованием ЭП</w:t>
            </w:r>
            <w:r>
              <w:rPr>
                <w:webHidden/>
              </w:rPr>
              <w:fldChar w:fldCharType="begin"/>
            </w:r>
            <w:r>
              <w:rPr>
                <w:webHidden/>
              </w:rPr>
              <w:instrText xml:space="preserve">PAGEREF _Toc228877677 \h</w:instrText>
            </w:r>
            <w:r>
              <w:rPr>
                <w:webHidden/>
              </w:rPr>
              <w:fldChar w:fldCharType="separate"/>
            </w:r>
            <w:r>
              <w:rPr>
                <w:rStyle w:val="Style17"/>
                <w:vanish w:val="false"/>
              </w:rPr>
              <w:tab/>
              <w:t>26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78">
            <w:r>
              <w:rPr>
                <w:webHidden/>
                <w:rStyle w:val="Style17"/>
                <w:vanish w:val="false"/>
              </w:rPr>
              <w:t>2.5</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Прочие положения</w:t>
            </w:r>
            <w:r>
              <w:rPr>
                <w:webHidden/>
              </w:rPr>
              <w:fldChar w:fldCharType="begin"/>
            </w:r>
            <w:r>
              <w:rPr>
                <w:webHidden/>
              </w:rPr>
              <w:instrText xml:space="preserve">PAGEREF _Toc228877678 \h</w:instrText>
            </w:r>
            <w:r>
              <w:rPr>
                <w:webHidden/>
              </w:rPr>
              <w:fldChar w:fldCharType="separate"/>
            </w:r>
            <w:r>
              <w:rPr>
                <w:rStyle w:val="Style17"/>
                <w:vanish w:val="false"/>
              </w:rPr>
              <w:tab/>
              <w:t>26</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679">
            <w:r>
              <w:rPr>
                <w:webHidden/>
                <w:rStyle w:val="Style17"/>
                <w:vanish w:val="false"/>
              </w:rPr>
              <w:t>3.</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Требования к Участникам</w:t>
            </w:r>
            <w:r>
              <w:rPr>
                <w:webHidden/>
              </w:rPr>
              <w:fldChar w:fldCharType="begin"/>
            </w:r>
            <w:r>
              <w:rPr>
                <w:webHidden/>
              </w:rPr>
              <w:instrText xml:space="preserve">PAGEREF _Toc228877679 \h</w:instrText>
            </w:r>
            <w:r>
              <w:rPr>
                <w:webHidden/>
              </w:rPr>
              <w:fldChar w:fldCharType="separate"/>
            </w:r>
            <w:r>
              <w:rPr>
                <w:rStyle w:val="Style17"/>
                <w:vanish w:val="false"/>
              </w:rPr>
              <w:tab/>
              <w:t>28</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80">
            <w:r>
              <w:rPr>
                <w:webHidden/>
                <w:rStyle w:val="Style17"/>
                <w:vanish w:val="false"/>
              </w:rPr>
              <w:t>3.1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Общие требования к Участникам</w:t>
            </w:r>
            <w:r>
              <w:rPr>
                <w:webHidden/>
              </w:rPr>
              <w:fldChar w:fldCharType="begin"/>
            </w:r>
            <w:r>
              <w:rPr>
                <w:webHidden/>
              </w:rPr>
              <w:instrText xml:space="preserve">PAGEREF _Toc228877680 \h</w:instrText>
            </w:r>
            <w:r>
              <w:rPr>
                <w:webHidden/>
              </w:rPr>
              <w:fldChar w:fldCharType="separate"/>
            </w:r>
            <w:r>
              <w:rPr>
                <w:rStyle w:val="Style17"/>
                <w:vanish w:val="false"/>
              </w:rPr>
              <w:tab/>
              <w:t>28</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81">
            <w:r>
              <w:rPr>
                <w:webHidden/>
                <w:rStyle w:val="Style17"/>
                <w:vanish w:val="false"/>
              </w:rPr>
              <w:t>3.2</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Генеральные подрядчики</w:t>
            </w:r>
            <w:r>
              <w:rPr>
                <w:webHidden/>
              </w:rPr>
              <w:fldChar w:fldCharType="begin"/>
            </w:r>
            <w:r>
              <w:rPr>
                <w:webHidden/>
              </w:rPr>
              <w:instrText xml:space="preserve">PAGEREF _Toc228877681 \h</w:instrText>
            </w:r>
            <w:r>
              <w:rPr>
                <w:webHidden/>
              </w:rPr>
              <w:fldChar w:fldCharType="separate"/>
            </w:r>
            <w:r>
              <w:rPr>
                <w:rStyle w:val="Style17"/>
                <w:vanish w:val="false"/>
              </w:rPr>
              <w:tab/>
              <w:t>28</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682">
            <w:r>
              <w:rPr>
                <w:webHidden/>
                <w:rStyle w:val="Style17"/>
                <w:vanish w:val="false"/>
              </w:rPr>
              <w:t>4.</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Порядок проведения закупки</w:t>
            </w:r>
            <w:r>
              <w:rPr>
                <w:webHidden/>
              </w:rPr>
              <w:fldChar w:fldCharType="begin"/>
            </w:r>
            <w:r>
              <w:rPr>
                <w:webHidden/>
              </w:rPr>
              <w:instrText xml:space="preserve">PAGEREF _Toc228877682 \h</w:instrText>
            </w:r>
            <w:r>
              <w:rPr>
                <w:webHidden/>
              </w:rPr>
              <w:fldChar w:fldCharType="separate"/>
            </w:r>
            <w:r>
              <w:rPr>
                <w:rStyle w:val="Style17"/>
                <w:vanish w:val="false"/>
              </w:rPr>
              <w:tab/>
              <w:t>30</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83">
            <w:r>
              <w:rPr>
                <w:webHidden/>
                <w:rStyle w:val="Style17"/>
                <w:vanish w:val="false"/>
              </w:rPr>
              <w:t>4.1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Общий порядок проведения закупки</w:t>
            </w:r>
            <w:r>
              <w:rPr>
                <w:webHidden/>
              </w:rPr>
              <w:fldChar w:fldCharType="begin"/>
            </w:r>
            <w:r>
              <w:rPr>
                <w:webHidden/>
              </w:rPr>
              <w:instrText xml:space="preserve">PAGEREF _Toc228877683 \h</w:instrText>
            </w:r>
            <w:r>
              <w:rPr>
                <w:webHidden/>
              </w:rPr>
              <w:fldChar w:fldCharType="separate"/>
            </w:r>
            <w:r>
              <w:rPr>
                <w:rStyle w:val="Style17"/>
                <w:vanish w:val="false"/>
              </w:rPr>
              <w:tab/>
              <w:t>30</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84">
            <w:r>
              <w:rPr>
                <w:webHidden/>
                <w:rStyle w:val="Style17"/>
                <w:vanish w:val="false"/>
              </w:rPr>
              <w:t>4.2</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Официальное размещение Извещения и Документации о закупке</w:t>
            </w:r>
            <w:r>
              <w:rPr>
                <w:webHidden/>
              </w:rPr>
              <w:fldChar w:fldCharType="begin"/>
            </w:r>
            <w:r>
              <w:rPr>
                <w:webHidden/>
              </w:rPr>
              <w:instrText xml:space="preserve">PAGEREF _Toc228877684 \h</w:instrText>
            </w:r>
            <w:r>
              <w:rPr>
                <w:webHidden/>
              </w:rPr>
              <w:fldChar w:fldCharType="separate"/>
            </w:r>
            <w:r>
              <w:rPr>
                <w:rStyle w:val="Style17"/>
                <w:vanish w:val="false"/>
              </w:rPr>
              <w:tab/>
              <w:t>32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85">
            <w:r>
              <w:rPr>
                <w:webHidden/>
                <w:rStyle w:val="Style17"/>
                <w:vanish w:val="false"/>
              </w:rPr>
              <w:t>4.3</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Подготовка заявки</w:t>
            </w:r>
            <w:r>
              <w:rPr>
                <w:webHidden/>
              </w:rPr>
              <w:fldChar w:fldCharType="begin"/>
            </w:r>
            <w:r>
              <w:rPr>
                <w:webHidden/>
              </w:rPr>
              <w:instrText xml:space="preserve">PAGEREF _Toc228877685 \h</w:instrText>
            </w:r>
            <w:r>
              <w:rPr>
                <w:webHidden/>
              </w:rPr>
              <w:fldChar w:fldCharType="separate"/>
            </w:r>
            <w:r>
              <w:rPr>
                <w:rStyle w:val="Style17"/>
                <w:vanish w:val="false"/>
              </w:rPr>
              <w:tab/>
              <w:t>32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86">
            <w:r>
              <w:rPr>
                <w:webHidden/>
                <w:rStyle w:val="Style17"/>
                <w:vanish w:val="false"/>
              </w:rPr>
              <w:t>4.4</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Разъяснение Документации о закупке</w:t>
            </w:r>
            <w:r>
              <w:rPr>
                <w:webHidden/>
              </w:rPr>
              <w:fldChar w:fldCharType="begin"/>
            </w:r>
            <w:r>
              <w:rPr>
                <w:webHidden/>
              </w:rPr>
              <w:instrText xml:space="preserve">PAGEREF _Toc228877686 \h</w:instrText>
            </w:r>
            <w:r>
              <w:rPr>
                <w:webHidden/>
              </w:rPr>
              <w:fldChar w:fldCharType="separate"/>
            </w:r>
            <w:r>
              <w:rPr>
                <w:rStyle w:val="Style17"/>
                <w:vanish w:val="false"/>
              </w:rPr>
              <w:tab/>
              <w:t>36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87">
            <w:r>
              <w:rPr>
                <w:webHidden/>
                <w:rStyle w:val="Style17"/>
                <w:vanish w:val="false"/>
              </w:rPr>
              <w:t>4.5</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Изменения Извещения и (или) Документации о закупке</w:t>
            </w:r>
            <w:r>
              <w:rPr>
                <w:webHidden/>
              </w:rPr>
              <w:fldChar w:fldCharType="begin"/>
            </w:r>
            <w:r>
              <w:rPr>
                <w:webHidden/>
              </w:rPr>
              <w:instrText xml:space="preserve">PAGEREF _Toc228877687 \h</w:instrText>
            </w:r>
            <w:r>
              <w:rPr>
                <w:webHidden/>
              </w:rPr>
              <w:fldChar w:fldCharType="separate"/>
            </w:r>
            <w:r>
              <w:rPr>
                <w:rStyle w:val="Style17"/>
                <w:vanish w:val="false"/>
              </w:rPr>
              <w:tab/>
              <w:t>36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88">
            <w:r>
              <w:rPr>
                <w:webHidden/>
                <w:rStyle w:val="Style17"/>
                <w:vanish w:val="false"/>
              </w:rPr>
              <w:t>4.6</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Подача заявок и их прием</w:t>
            </w:r>
            <w:r>
              <w:rPr>
                <w:webHidden/>
              </w:rPr>
              <w:fldChar w:fldCharType="begin"/>
            </w:r>
            <w:r>
              <w:rPr>
                <w:webHidden/>
              </w:rPr>
              <w:instrText xml:space="preserve">PAGEREF _Toc228877688 \h</w:instrText>
            </w:r>
            <w:r>
              <w:rPr>
                <w:webHidden/>
              </w:rPr>
              <w:fldChar w:fldCharType="separate"/>
            </w:r>
            <w:r>
              <w:rPr>
                <w:rStyle w:val="Style17"/>
                <w:vanish w:val="false"/>
              </w:rPr>
              <w:tab/>
              <w:t>37</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89">
            <w:r>
              <w:rPr>
                <w:webHidden/>
                <w:rStyle w:val="Style17"/>
                <w:vanish w:val="false"/>
              </w:rPr>
              <w:t>4.7</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Изменение и отзыв заявок</w:t>
            </w:r>
            <w:r>
              <w:rPr>
                <w:webHidden/>
              </w:rPr>
              <w:fldChar w:fldCharType="begin"/>
            </w:r>
            <w:r>
              <w:rPr>
                <w:webHidden/>
              </w:rPr>
              <w:instrText xml:space="preserve">PAGEREF _Toc228877689 \h</w:instrText>
            </w:r>
            <w:r>
              <w:rPr>
                <w:webHidden/>
              </w:rPr>
              <w:fldChar w:fldCharType="separate"/>
            </w:r>
            <w:r>
              <w:rPr>
                <w:rStyle w:val="Style17"/>
                <w:vanish w:val="false"/>
              </w:rPr>
              <w:tab/>
              <w:t>38</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90">
            <w:r>
              <w:rPr>
                <w:webHidden/>
                <w:rStyle w:val="Style17"/>
                <w:vanish w:val="false"/>
              </w:rPr>
              <w:t>4.8</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Открытие доступа к первым частям заявок</w:t>
            </w:r>
            <w:r>
              <w:rPr>
                <w:webHidden/>
              </w:rPr>
              <w:fldChar w:fldCharType="begin"/>
            </w:r>
            <w:r>
              <w:rPr>
                <w:webHidden/>
              </w:rPr>
              <w:instrText xml:space="preserve">PAGEREF _Toc228877690 \h</w:instrText>
            </w:r>
            <w:r>
              <w:rPr>
                <w:webHidden/>
              </w:rPr>
              <w:fldChar w:fldCharType="separate"/>
            </w:r>
            <w:r>
              <w:rPr>
                <w:rStyle w:val="Style17"/>
                <w:vanish w:val="false"/>
              </w:rPr>
              <w:tab/>
              <w:t>38</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91">
            <w:r>
              <w:rPr>
                <w:webHidden/>
                <w:rStyle w:val="Style17"/>
                <w:vanish w:val="false"/>
              </w:rPr>
              <w:t>4.9</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Рассмотрение первых частей заявок (отборочная стадия)</w:t>
            </w:r>
            <w:r>
              <w:rPr>
                <w:webHidden/>
              </w:rPr>
              <w:fldChar w:fldCharType="begin"/>
            </w:r>
            <w:r>
              <w:rPr>
                <w:webHidden/>
              </w:rPr>
              <w:instrText xml:space="preserve">PAGEREF _Toc228877691 \h</w:instrText>
            </w:r>
            <w:r>
              <w:rPr>
                <w:webHidden/>
              </w:rPr>
              <w:fldChar w:fldCharType="separate"/>
            </w:r>
            <w:r>
              <w:rPr>
                <w:rStyle w:val="Style17"/>
                <w:vanish w:val="false"/>
              </w:rPr>
              <w:tab/>
              <w:t>38</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92">
            <w:r>
              <w:rPr>
                <w:webHidden/>
                <w:rStyle w:val="Style17"/>
                <w:vanish w:val="false"/>
              </w:rPr>
              <w:t>4.10</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Открытие доступа ко вторым частям заявок и ценовым предложениям</w:t>
            </w:r>
            <w:r>
              <w:rPr>
                <w:webHidden/>
              </w:rPr>
              <w:fldChar w:fldCharType="begin"/>
            </w:r>
            <w:r>
              <w:rPr>
                <w:webHidden/>
              </w:rPr>
              <w:instrText xml:space="preserve">PAGEREF _Toc228877692 \h</w:instrText>
            </w:r>
            <w:r>
              <w:rPr>
                <w:webHidden/>
              </w:rPr>
              <w:fldChar w:fldCharType="separate"/>
            </w:r>
            <w:r>
              <w:rPr>
                <w:rStyle w:val="Style17"/>
                <w:vanish w:val="false"/>
              </w:rPr>
              <w:tab/>
              <w:t>39</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93">
            <w:r>
              <w:rPr>
                <w:webHidden/>
                <w:rStyle w:val="Style17"/>
                <w:vanish w:val="false"/>
              </w:rPr>
              <w:t>4.11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Рассмотрение вторых частей заявок (отборочная стадия), в том числе (при необходимости) проведение аккредитации, и ценовых предложений</w:t>
            </w:r>
            <w:r>
              <w:rPr>
                <w:webHidden/>
              </w:rPr>
              <w:fldChar w:fldCharType="begin"/>
            </w:r>
            <w:r>
              <w:rPr>
                <w:webHidden/>
              </w:rPr>
              <w:instrText xml:space="preserve">PAGEREF _Toc228877693 \h</w:instrText>
            </w:r>
            <w:r>
              <w:rPr>
                <w:webHidden/>
              </w:rPr>
              <w:fldChar w:fldCharType="separate"/>
            </w:r>
            <w:r>
              <w:rPr>
                <w:rStyle w:val="Style17"/>
                <w:vanish w:val="false"/>
              </w:rPr>
              <w:tab/>
              <w:t>40</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94">
            <w:r>
              <w:rPr>
                <w:webHidden/>
                <w:rStyle w:val="Style17"/>
                <w:vanish w:val="false"/>
              </w:rPr>
              <w:t>4.12</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Дополнительные запросы разъяснений заявок</w:t>
            </w:r>
            <w:r>
              <w:rPr>
                <w:webHidden/>
              </w:rPr>
              <w:fldChar w:fldCharType="begin"/>
            </w:r>
            <w:r>
              <w:rPr>
                <w:webHidden/>
              </w:rPr>
              <w:instrText xml:space="preserve">PAGEREF _Toc228877694 \h</w:instrText>
            </w:r>
            <w:r>
              <w:rPr>
                <w:webHidden/>
              </w:rPr>
              <w:fldChar w:fldCharType="separate"/>
            </w:r>
            <w:r>
              <w:rPr>
                <w:rStyle w:val="Style17"/>
                <w:vanish w:val="false"/>
              </w:rPr>
              <w:tab/>
              <w:t>41</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95">
            <w:r>
              <w:rPr>
                <w:webHidden/>
                <w:rStyle w:val="Style17"/>
                <w:vanish w:val="false"/>
              </w:rPr>
              <w:t>4.13</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Оценка и сопоставление заявок</w:t>
            </w:r>
            <w:r>
              <w:rPr>
                <w:webHidden/>
              </w:rPr>
              <w:fldChar w:fldCharType="begin"/>
            </w:r>
            <w:r>
              <w:rPr>
                <w:webHidden/>
              </w:rPr>
              <w:instrText xml:space="preserve">PAGEREF _Toc228877695 \h</w:instrText>
            </w:r>
            <w:r>
              <w:rPr>
                <w:webHidden/>
              </w:rPr>
              <w:fldChar w:fldCharType="separate"/>
            </w:r>
            <w:r>
              <w:rPr>
                <w:rStyle w:val="Style17"/>
                <w:vanish w:val="false"/>
              </w:rPr>
              <w:tab/>
              <w:t>43</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96">
            <w:r>
              <w:rPr>
                <w:webHidden/>
                <w:rStyle w:val="Style17"/>
                <w:vanish w:val="false"/>
              </w:rPr>
              <w:t>4.14</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Применение законодательства о национальном режиме</w:t>
            </w:r>
            <w:r>
              <w:rPr>
                <w:webHidden/>
              </w:rPr>
              <w:fldChar w:fldCharType="begin"/>
            </w:r>
            <w:r>
              <w:rPr>
                <w:webHidden/>
              </w:rPr>
              <w:instrText xml:space="preserve">PAGEREF _Toc228877696 \h</w:instrText>
            </w:r>
            <w:r>
              <w:rPr>
                <w:webHidden/>
              </w:rPr>
              <w:fldChar w:fldCharType="separate"/>
            </w:r>
            <w:r>
              <w:rPr>
                <w:rStyle w:val="Style17"/>
                <w:vanish w:val="false"/>
              </w:rPr>
              <w:tab/>
              <w:t>44</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97">
            <w:r>
              <w:rPr>
                <w:webHidden/>
                <w:rStyle w:val="Style17"/>
                <w:vanish w:val="false"/>
              </w:rPr>
              <w:t>4.15</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Преференции в части использования российского алюминия</w:t>
            </w:r>
            <w:r>
              <w:rPr>
                <w:webHidden/>
              </w:rPr>
              <w:fldChar w:fldCharType="begin"/>
            </w:r>
            <w:r>
              <w:rPr>
                <w:webHidden/>
              </w:rPr>
              <w:instrText xml:space="preserve">PAGEREF _Toc228877697 \h</w:instrText>
            </w:r>
            <w:r>
              <w:rPr>
                <w:webHidden/>
              </w:rPr>
              <w:fldChar w:fldCharType="separate"/>
            </w:r>
            <w:r>
              <w:rPr>
                <w:rStyle w:val="Style17"/>
                <w:vanish w:val="false"/>
              </w:rPr>
              <w:tab/>
              <w:t>46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98">
            <w:r>
              <w:rPr>
                <w:webHidden/>
                <w:rStyle w:val="Style17"/>
                <w:vanish w:val="false"/>
              </w:rPr>
              <w:t>4.16</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Подведение итогов закупки (определение Победителя)</w:t>
            </w:r>
            <w:r>
              <w:rPr>
                <w:webHidden/>
              </w:rPr>
              <w:fldChar w:fldCharType="begin"/>
            </w:r>
            <w:r>
              <w:rPr>
                <w:webHidden/>
              </w:rPr>
              <w:instrText xml:space="preserve">PAGEREF _Toc228877698 \h</w:instrText>
            </w:r>
            <w:r>
              <w:rPr>
                <w:webHidden/>
              </w:rPr>
              <w:fldChar w:fldCharType="separate"/>
            </w:r>
            <w:r>
              <w:rPr>
                <w:rStyle w:val="Style17"/>
                <w:vanish w:val="false"/>
              </w:rPr>
              <w:tab/>
              <w:t>46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99">
            <w:r>
              <w:rPr>
                <w:webHidden/>
                <w:rStyle w:val="Style17"/>
                <w:vanish w:val="false"/>
              </w:rPr>
              <w:t>4.17</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Признание закупки несостоявшейся</w:t>
            </w:r>
            <w:r>
              <w:rPr>
                <w:webHidden/>
              </w:rPr>
              <w:fldChar w:fldCharType="begin"/>
            </w:r>
            <w:r>
              <w:rPr>
                <w:webHidden/>
              </w:rPr>
              <w:instrText xml:space="preserve">PAGEREF _Toc228877699 \h</w:instrText>
            </w:r>
            <w:r>
              <w:rPr>
                <w:webHidden/>
              </w:rPr>
              <w:fldChar w:fldCharType="separate"/>
            </w:r>
            <w:r>
              <w:rPr>
                <w:rStyle w:val="Style17"/>
                <w:vanish w:val="false"/>
              </w:rPr>
              <w:tab/>
              <w:t>48</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00">
            <w:r>
              <w:rPr>
                <w:webHidden/>
                <w:rStyle w:val="Style17"/>
                <w:vanish w:val="false"/>
              </w:rPr>
              <w:t>4.18</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Отказ от проведения закупки (отмена закупки)</w:t>
            </w:r>
            <w:r>
              <w:rPr>
                <w:webHidden/>
              </w:rPr>
              <w:fldChar w:fldCharType="begin"/>
            </w:r>
            <w:r>
              <w:rPr>
                <w:webHidden/>
              </w:rPr>
              <w:instrText xml:space="preserve">PAGEREF _Toc228877700 \h</w:instrText>
            </w:r>
            <w:r>
              <w:rPr>
                <w:webHidden/>
              </w:rPr>
              <w:fldChar w:fldCharType="separate"/>
            </w:r>
            <w:r>
              <w:rPr>
                <w:rStyle w:val="Style17"/>
                <w:vanish w:val="false"/>
              </w:rPr>
              <w:tab/>
              <w:t>49</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01">
            <w:r>
              <w:rPr>
                <w:webHidden/>
                <w:rStyle w:val="Style17"/>
                <w:vanish w:val="false"/>
              </w:rPr>
              <w:t>4.19</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Особенности проведения закупки с необходимостью обеспечения заявки</w:t>
            </w:r>
            <w:r>
              <w:rPr>
                <w:webHidden/>
              </w:rPr>
              <w:fldChar w:fldCharType="begin"/>
            </w:r>
            <w:r>
              <w:rPr>
                <w:webHidden/>
              </w:rPr>
              <w:instrText xml:space="preserve">PAGEREF _Toc228877701 \h</w:instrText>
            </w:r>
            <w:r>
              <w:rPr>
                <w:webHidden/>
              </w:rPr>
              <w:fldChar w:fldCharType="separate"/>
            </w:r>
            <w:r>
              <w:rPr>
                <w:rStyle w:val="Style17"/>
                <w:vanish w:val="false"/>
              </w:rPr>
              <w:tab/>
              <w:t>50</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02">
            <w:r>
              <w:rPr>
                <w:webHidden/>
                <w:rStyle w:val="Style17"/>
                <w:vanish w:val="false"/>
              </w:rPr>
              <w:t>4.20</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Особенности проведения многолотовой закупки</w:t>
            </w:r>
            <w:r>
              <w:rPr>
                <w:webHidden/>
              </w:rPr>
              <w:fldChar w:fldCharType="begin"/>
            </w:r>
            <w:r>
              <w:rPr>
                <w:webHidden/>
              </w:rPr>
              <w:instrText xml:space="preserve">PAGEREF _Toc228877702 \h</w:instrText>
            </w:r>
            <w:r>
              <w:rPr>
                <w:webHidden/>
              </w:rPr>
              <w:fldChar w:fldCharType="separate"/>
            </w:r>
            <w:r>
              <w:rPr>
                <w:rStyle w:val="Style17"/>
                <w:vanish w:val="false"/>
              </w:rPr>
              <w:tab/>
              <w:t>53</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03">
            <w:r>
              <w:rPr>
                <w:webHidden/>
                <w:rStyle w:val="Style17"/>
                <w:vanish w:val="false"/>
              </w:rPr>
              <w:t>4.21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Особенности проведения закупки с выбором нескольких победителей</w:t>
            </w:r>
            <w:r>
              <w:rPr>
                <w:webHidden/>
              </w:rPr>
              <w:fldChar w:fldCharType="begin"/>
            </w:r>
            <w:r>
              <w:rPr>
                <w:webHidden/>
              </w:rPr>
              <w:instrText xml:space="preserve">PAGEREF _Toc228877703 \h</w:instrText>
            </w:r>
            <w:r>
              <w:rPr>
                <w:webHidden/>
              </w:rPr>
              <w:fldChar w:fldCharType="separate"/>
            </w:r>
            <w:r>
              <w:rPr>
                <w:rStyle w:val="Style17"/>
                <w:vanish w:val="false"/>
              </w:rPr>
              <w:tab/>
              <w:t>54</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704">
            <w:r>
              <w:rPr>
                <w:webHidden/>
                <w:rStyle w:val="Style17"/>
                <w:vanish w:val="false"/>
              </w:rPr>
              <w:t>5.</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Порядок заключения Договора</w:t>
            </w:r>
            <w:r>
              <w:rPr>
                <w:webHidden/>
              </w:rPr>
              <w:fldChar w:fldCharType="begin"/>
            </w:r>
            <w:r>
              <w:rPr>
                <w:webHidden/>
              </w:rPr>
              <w:instrText xml:space="preserve">PAGEREF _Toc228877704 \h</w:instrText>
            </w:r>
            <w:r>
              <w:rPr>
                <w:webHidden/>
              </w:rPr>
              <w:fldChar w:fldCharType="separate"/>
            </w:r>
            <w:r>
              <w:rPr>
                <w:rStyle w:val="Style17"/>
                <w:vanish w:val="false"/>
              </w:rPr>
              <w:tab/>
              <w:t>56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05">
            <w:r>
              <w:rPr>
                <w:webHidden/>
                <w:rStyle w:val="Style17"/>
                <w:vanish w:val="false"/>
              </w:rPr>
              <w:t>5.1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Общие положения</w:t>
            </w:r>
            <w:r>
              <w:rPr>
                <w:webHidden/>
              </w:rPr>
              <w:fldChar w:fldCharType="begin"/>
            </w:r>
            <w:r>
              <w:rPr>
                <w:webHidden/>
              </w:rPr>
              <w:instrText xml:space="preserve">PAGEREF _Toc228877705 \h</w:instrText>
            </w:r>
            <w:r>
              <w:rPr>
                <w:webHidden/>
              </w:rPr>
              <w:fldChar w:fldCharType="separate"/>
            </w:r>
            <w:r>
              <w:rPr>
                <w:rStyle w:val="Style17"/>
                <w:vanish w:val="false"/>
              </w:rPr>
              <w:tab/>
              <w:t>56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06">
            <w:r>
              <w:rPr>
                <w:webHidden/>
                <w:rStyle w:val="Style17"/>
                <w:vanish w:val="false"/>
              </w:rPr>
              <w:t>5.2</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Заключение Договора</w:t>
            </w:r>
            <w:r>
              <w:rPr>
                <w:webHidden/>
              </w:rPr>
              <w:fldChar w:fldCharType="begin"/>
            </w:r>
            <w:r>
              <w:rPr>
                <w:webHidden/>
              </w:rPr>
              <w:instrText xml:space="preserve">PAGEREF _Toc228877706 \h</w:instrText>
            </w:r>
            <w:r>
              <w:rPr>
                <w:webHidden/>
              </w:rPr>
              <w:fldChar w:fldCharType="separate"/>
            </w:r>
            <w:r>
              <w:rPr>
                <w:rStyle w:val="Style17"/>
                <w:vanish w:val="false"/>
              </w:rPr>
              <w:tab/>
              <w:t>56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07">
            <w:r>
              <w:rPr>
                <w:webHidden/>
                <w:rStyle w:val="Style17"/>
                <w:vanish w:val="false"/>
              </w:rPr>
              <w:t>5.3</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Уклонение Победителя от заключения Договора</w:t>
            </w:r>
            <w:r>
              <w:rPr>
                <w:webHidden/>
              </w:rPr>
              <w:fldChar w:fldCharType="begin"/>
            </w:r>
            <w:r>
              <w:rPr>
                <w:webHidden/>
              </w:rPr>
              <w:instrText xml:space="preserve">PAGEREF _Toc228877707 \h</w:instrText>
            </w:r>
            <w:r>
              <w:rPr>
                <w:webHidden/>
              </w:rPr>
              <w:fldChar w:fldCharType="separate"/>
            </w:r>
            <w:r>
              <w:rPr>
                <w:rStyle w:val="Style17"/>
                <w:vanish w:val="false"/>
              </w:rPr>
              <w:tab/>
              <w:t>58</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708">
            <w:r>
              <w:rPr>
                <w:webHidden/>
                <w:rStyle w:val="Style17"/>
                <w:vanish w:val="false"/>
              </w:rPr>
              <w:t>6.</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Приложение № 1 – Технические требования</w:t>
            </w:r>
            <w:r>
              <w:rPr>
                <w:webHidden/>
              </w:rPr>
              <w:fldChar w:fldCharType="begin"/>
            </w:r>
            <w:r>
              <w:rPr>
                <w:webHidden/>
              </w:rPr>
              <w:instrText xml:space="preserve">PAGEREF _Toc228877708 \h</w:instrText>
            </w:r>
            <w:r>
              <w:rPr>
                <w:webHidden/>
              </w:rPr>
              <w:fldChar w:fldCharType="separate"/>
            </w:r>
            <w:r>
              <w:rPr>
                <w:rStyle w:val="Style17"/>
                <w:vanish w:val="false"/>
              </w:rPr>
              <w:tab/>
              <w:t>60</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09">
            <w:r>
              <w:rPr>
                <w:webHidden/>
                <w:rStyle w:val="Style17"/>
                <w:vanish w:val="false"/>
              </w:rPr>
              <w:t>6.1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Пояснения к Техническим требованиям</w:t>
            </w:r>
            <w:r>
              <w:rPr>
                <w:webHidden/>
              </w:rPr>
              <w:fldChar w:fldCharType="begin"/>
            </w:r>
            <w:r>
              <w:rPr>
                <w:webHidden/>
              </w:rPr>
              <w:instrText xml:space="preserve">PAGEREF _Toc228877709 \h</w:instrText>
            </w:r>
            <w:r>
              <w:rPr>
                <w:webHidden/>
              </w:rPr>
              <w:fldChar w:fldCharType="separate"/>
            </w:r>
            <w:r>
              <w:rPr>
                <w:rStyle w:val="Style17"/>
                <w:vanish w:val="false"/>
              </w:rPr>
              <w:tab/>
              <w:t>60</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710">
            <w:r>
              <w:rPr>
                <w:webHidden/>
                <w:rStyle w:val="Style17"/>
                <w:vanish w:val="false"/>
              </w:rPr>
              <w:t>7.</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Приложение № 2 – Проект договора</w:t>
            </w:r>
            <w:r>
              <w:rPr>
                <w:webHidden/>
              </w:rPr>
              <w:fldChar w:fldCharType="begin"/>
            </w:r>
            <w:r>
              <w:rPr>
                <w:webHidden/>
              </w:rPr>
              <w:instrText xml:space="preserve">PAGEREF _Toc228877710 \h</w:instrText>
            </w:r>
            <w:r>
              <w:rPr>
                <w:webHidden/>
              </w:rPr>
              <w:fldChar w:fldCharType="separate"/>
            </w:r>
            <w:r>
              <w:rPr>
                <w:rStyle w:val="Style17"/>
                <w:vanish w:val="false"/>
              </w:rPr>
              <w:tab/>
              <w:t>61</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11">
            <w:r>
              <w:rPr>
                <w:webHidden/>
                <w:rStyle w:val="Style17"/>
                <w:vanish w:val="false"/>
              </w:rPr>
              <w:t>7.1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Пояснения к Проекту договора</w:t>
            </w:r>
            <w:r>
              <w:rPr>
                <w:webHidden/>
              </w:rPr>
              <w:fldChar w:fldCharType="begin"/>
            </w:r>
            <w:r>
              <w:rPr>
                <w:webHidden/>
              </w:rPr>
              <w:instrText xml:space="preserve">PAGEREF _Toc228877711 \h</w:instrText>
            </w:r>
            <w:r>
              <w:rPr>
                <w:webHidden/>
              </w:rPr>
              <w:fldChar w:fldCharType="separate"/>
            </w:r>
            <w:r>
              <w:rPr>
                <w:rStyle w:val="Style17"/>
                <w:vanish w:val="false"/>
              </w:rPr>
              <w:tab/>
              <w:t>61</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712">
            <w:r>
              <w:rPr>
                <w:webHidden/>
                <w:rStyle w:val="Style17"/>
                <w:vanish w:val="false"/>
              </w:rPr>
              <w:t>8.</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Приложение № 3 – Требования к Участникам</w:t>
            </w:r>
            <w:r>
              <w:rPr>
                <w:webHidden/>
              </w:rPr>
              <w:fldChar w:fldCharType="begin"/>
            </w:r>
            <w:r>
              <w:rPr>
                <w:webHidden/>
              </w:rPr>
              <w:instrText xml:space="preserve">PAGEREF _Toc228877712 \h</w:instrText>
            </w:r>
            <w:r>
              <w:rPr>
                <w:webHidden/>
              </w:rPr>
              <w:fldChar w:fldCharType="separate"/>
            </w:r>
            <w:r>
              <w:rPr>
                <w:rStyle w:val="Style17"/>
                <w:vanish w:val="false"/>
              </w:rPr>
              <w:tab/>
              <w:t>62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13">
            <w:r>
              <w:rPr>
                <w:webHidden/>
                <w:rStyle w:val="Style17"/>
                <w:vanish w:val="false"/>
              </w:rPr>
              <w:t>8.1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Пояснения к требованиям к Участникам</w:t>
            </w:r>
            <w:r>
              <w:rPr>
                <w:webHidden/>
              </w:rPr>
              <w:fldChar w:fldCharType="begin"/>
            </w:r>
            <w:r>
              <w:rPr>
                <w:webHidden/>
              </w:rPr>
              <w:instrText xml:space="preserve">PAGEREF _Toc228877713 \h</w:instrText>
            </w:r>
            <w:r>
              <w:rPr>
                <w:webHidden/>
              </w:rPr>
              <w:fldChar w:fldCharType="separate"/>
            </w:r>
            <w:r>
              <w:rPr>
                <w:rStyle w:val="Style17"/>
                <w:vanish w:val="false"/>
              </w:rPr>
              <w:tab/>
              <w:t>62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14">
            <w:r>
              <w:rPr>
                <w:webHidden/>
                <w:rStyle w:val="Style17"/>
                <w:vanish w:val="false"/>
              </w:rPr>
              <w:t>8.2</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Обязательные требования</w:t>
            </w:r>
            <w:r>
              <w:rPr>
                <w:webHidden/>
              </w:rPr>
              <w:fldChar w:fldCharType="begin"/>
            </w:r>
            <w:r>
              <w:rPr>
                <w:webHidden/>
              </w:rPr>
              <w:instrText xml:space="preserve">PAGEREF _Toc228877714 \h</w:instrText>
            </w:r>
            <w:r>
              <w:rPr>
                <w:webHidden/>
              </w:rPr>
              <w:fldChar w:fldCharType="separate"/>
            </w:r>
            <w:r>
              <w:rPr>
                <w:rStyle w:val="Style17"/>
                <w:vanish w:val="false"/>
              </w:rPr>
              <w:tab/>
              <w:t>62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15">
            <w:r>
              <w:rPr>
                <w:webHidden/>
                <w:rStyle w:val="Style17"/>
                <w:vanish w:val="false"/>
              </w:rPr>
              <w:t>8.3</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Специальные требования</w:t>
            </w:r>
            <w:r>
              <w:rPr>
                <w:webHidden/>
              </w:rPr>
              <w:fldChar w:fldCharType="begin"/>
            </w:r>
            <w:r>
              <w:rPr>
                <w:webHidden/>
              </w:rPr>
              <w:instrText xml:space="preserve">PAGEREF _Toc228877715 \h</w:instrText>
            </w:r>
            <w:r>
              <w:rPr>
                <w:webHidden/>
              </w:rPr>
              <w:fldChar w:fldCharType="separate"/>
            </w:r>
            <w:r>
              <w:rPr>
                <w:rStyle w:val="Style17"/>
                <w:vanish w:val="false"/>
              </w:rPr>
              <w:tab/>
              <w:t>66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16">
            <w:r>
              <w:rPr>
                <w:webHidden/>
                <w:rStyle w:val="Style17"/>
                <w:vanish w:val="false"/>
              </w:rPr>
              <w:t>8.4</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Дополнительные требования к Генеральным подрядчикам</w:t>
            </w:r>
            <w:r>
              <w:rPr>
                <w:webHidden/>
              </w:rPr>
              <w:fldChar w:fldCharType="begin"/>
            </w:r>
            <w:r>
              <w:rPr>
                <w:webHidden/>
              </w:rPr>
              <w:instrText xml:space="preserve">PAGEREF _Toc228877716 \h</w:instrText>
            </w:r>
            <w:r>
              <w:rPr>
                <w:webHidden/>
              </w:rPr>
              <w:fldChar w:fldCharType="separate"/>
            </w:r>
            <w:r>
              <w:rPr>
                <w:rStyle w:val="Style17"/>
                <w:vanish w:val="false"/>
              </w:rPr>
              <w:tab/>
              <w:t>67</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717">
            <w:r>
              <w:rPr>
                <w:webHidden/>
                <w:rStyle w:val="Style17"/>
                <w:vanish w:val="false"/>
              </w:rPr>
              <w:t>9.</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Приложение № 4 – Образцы форм документов, включаемых в состав заявки</w:t>
            </w:r>
            <w:r>
              <w:rPr>
                <w:webHidden/>
              </w:rPr>
              <w:fldChar w:fldCharType="begin"/>
            </w:r>
            <w:r>
              <w:rPr>
                <w:webHidden/>
              </w:rPr>
              <w:instrText xml:space="preserve">PAGEREF _Toc228877717 \h</w:instrText>
            </w:r>
            <w:r>
              <w:rPr>
                <w:webHidden/>
              </w:rPr>
              <w:fldChar w:fldCharType="separate"/>
            </w:r>
            <w:r>
              <w:rPr>
                <w:rStyle w:val="Style17"/>
                <w:vanish w:val="false"/>
              </w:rPr>
              <w:tab/>
              <w:t>69</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18">
            <w:r>
              <w:rPr>
                <w:webHidden/>
                <w:rStyle w:val="Style17"/>
                <w:vanish w:val="false"/>
              </w:rPr>
              <w:t>9.1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Пояснения к Образцам форм документов, включаемых в состав заявки</w:t>
            </w:r>
            <w:r>
              <w:rPr>
                <w:webHidden/>
              </w:rPr>
              <w:fldChar w:fldCharType="begin"/>
            </w:r>
            <w:r>
              <w:rPr>
                <w:webHidden/>
              </w:rPr>
              <w:instrText xml:space="preserve">PAGEREF _Toc228877718 \h</w:instrText>
            </w:r>
            <w:r>
              <w:rPr>
                <w:webHidden/>
              </w:rPr>
              <w:fldChar w:fldCharType="separate"/>
            </w:r>
            <w:r>
              <w:rPr>
                <w:rStyle w:val="Style17"/>
                <w:vanish w:val="false"/>
              </w:rPr>
              <w:tab/>
              <w:t>69</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719">
            <w:r>
              <w:rPr>
                <w:webHidden/>
                <w:rStyle w:val="Style17"/>
                <w:vanish w:val="false"/>
              </w:rPr>
              <w:t>10.</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Приложение № 5 – Образцы форм документов, предоставляемых Победителем</w:t>
            </w:r>
            <w:r>
              <w:rPr>
                <w:webHidden/>
              </w:rPr>
              <w:fldChar w:fldCharType="begin"/>
            </w:r>
            <w:r>
              <w:rPr>
                <w:webHidden/>
              </w:rPr>
              <w:instrText xml:space="preserve">PAGEREF _Toc228877719 \h</w:instrText>
            </w:r>
            <w:r>
              <w:rPr>
                <w:webHidden/>
              </w:rPr>
              <w:fldChar w:fldCharType="separate"/>
            </w:r>
            <w:r>
              <w:rPr>
                <w:rStyle w:val="Style17"/>
                <w:vanish w:val="false"/>
              </w:rPr>
              <w:tab/>
              <w:t>70</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20">
            <w:r>
              <w:rPr>
                <w:webHidden/>
                <w:rStyle w:val="Style17"/>
                <w:vanish w:val="false"/>
              </w:rPr>
              <w:t>10.1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Пояснения к Образцам форм документов, предоставляемых Победителем</w:t>
            </w:r>
            <w:r>
              <w:rPr>
                <w:webHidden/>
              </w:rPr>
              <w:fldChar w:fldCharType="begin"/>
            </w:r>
            <w:r>
              <w:rPr>
                <w:webHidden/>
              </w:rPr>
              <w:instrText xml:space="preserve">PAGEREF _Toc228877720 \h</w:instrText>
            </w:r>
            <w:r>
              <w:rPr>
                <w:webHidden/>
              </w:rPr>
              <w:fldChar w:fldCharType="separate"/>
            </w:r>
            <w:r>
              <w:rPr>
                <w:rStyle w:val="Style17"/>
                <w:vanish w:val="false"/>
              </w:rPr>
              <w:tab/>
              <w:t>70</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21">
            <w:r>
              <w:rPr>
                <w:webHidden/>
                <w:rStyle w:val="Style17"/>
                <w:vanish w:val="false"/>
              </w:rPr>
              <w:t>10.2</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Форма справки «Сведения о цепочке собственников, включая бенефициаров (в том числе конечных)»</w:t>
            </w:r>
            <w:r>
              <w:rPr>
                <w:webHidden/>
              </w:rPr>
              <w:fldChar w:fldCharType="begin"/>
            </w:r>
            <w:r>
              <w:rPr>
                <w:webHidden/>
              </w:rPr>
              <w:instrText xml:space="preserve">PAGEREF _Toc228877721 \h</w:instrText>
            </w:r>
            <w:r>
              <w:rPr>
                <w:webHidden/>
              </w:rPr>
              <w:fldChar w:fldCharType="separate"/>
            </w:r>
            <w:r>
              <w:rPr>
                <w:rStyle w:val="Style17"/>
                <w:vanish w:val="false"/>
              </w:rPr>
              <w:tab/>
              <w:t>70</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22">
            <w:r>
              <w:rPr>
                <w:webHidden/>
                <w:rStyle w:val="Style17"/>
                <w:vanish w:val="false"/>
              </w:rPr>
              <w:t>10.3</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Форма «Заверение об обстоятельствах»</w:t>
            </w:r>
            <w:r>
              <w:rPr>
                <w:webHidden/>
              </w:rPr>
              <w:fldChar w:fldCharType="begin"/>
            </w:r>
            <w:r>
              <w:rPr>
                <w:webHidden/>
              </w:rPr>
              <w:instrText xml:space="preserve">PAGEREF _Toc228877722 \h</w:instrText>
            </w:r>
            <w:r>
              <w:rPr>
                <w:webHidden/>
              </w:rPr>
              <w:fldChar w:fldCharType="separate"/>
            </w:r>
            <w:r>
              <w:rPr>
                <w:rStyle w:val="Style17"/>
                <w:vanish w:val="false"/>
              </w:rPr>
              <w:tab/>
              <w:t>70</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723">
            <w:r>
              <w:rPr>
                <w:webHidden/>
                <w:rStyle w:val="Style17"/>
                <w:vanish w:val="false"/>
              </w:rPr>
              <w:t>11.</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Приложение № 6 – Состав заявки</w:t>
            </w:r>
            <w:r>
              <w:rPr>
                <w:webHidden/>
              </w:rPr>
              <w:fldChar w:fldCharType="begin"/>
            </w:r>
            <w:r>
              <w:rPr>
                <w:webHidden/>
              </w:rPr>
              <w:instrText xml:space="preserve">PAGEREF _Toc228877723 \h</w:instrText>
            </w:r>
            <w:r>
              <w:rPr>
                <w:webHidden/>
              </w:rPr>
              <w:fldChar w:fldCharType="separate"/>
            </w:r>
            <w:r>
              <w:rPr>
                <w:rStyle w:val="Style17"/>
                <w:vanish w:val="false"/>
              </w:rPr>
              <w:tab/>
              <w:t>72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24">
            <w:r>
              <w:rPr>
                <w:webHidden/>
                <w:rStyle w:val="Style17"/>
                <w:vanish w:val="false"/>
              </w:rPr>
              <w:t>11.1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Состав заявки</w:t>
            </w:r>
            <w:r>
              <w:rPr>
                <w:webHidden/>
              </w:rPr>
              <w:fldChar w:fldCharType="begin"/>
            </w:r>
            <w:r>
              <w:rPr>
                <w:webHidden/>
              </w:rPr>
              <w:instrText xml:space="preserve">PAGEREF _Toc228877724 \h</w:instrText>
            </w:r>
            <w:r>
              <w:rPr>
                <w:webHidden/>
              </w:rPr>
              <w:fldChar w:fldCharType="separate"/>
            </w:r>
            <w:r>
              <w:rPr>
                <w:rStyle w:val="Style17"/>
                <w:vanish w:val="false"/>
              </w:rPr>
              <w:tab/>
              <w:t>72</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725">
            <w:r>
              <w:rPr>
                <w:webHidden/>
                <w:rStyle w:val="Style17"/>
                <w:vanish w:val="false"/>
              </w:rPr>
              <w:t>12.</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Приложение № 7 – Отборочные критерии рассмотрения заявок</w:t>
            </w:r>
            <w:r>
              <w:rPr>
                <w:webHidden/>
              </w:rPr>
              <w:fldChar w:fldCharType="begin"/>
            </w:r>
            <w:r>
              <w:rPr>
                <w:webHidden/>
              </w:rPr>
              <w:instrText xml:space="preserve">PAGEREF _Toc228877725 \h</w:instrText>
            </w:r>
            <w:r>
              <w:rPr>
                <w:webHidden/>
              </w:rPr>
              <w:fldChar w:fldCharType="separate"/>
            </w:r>
            <w:r>
              <w:rPr>
                <w:rStyle w:val="Style17"/>
                <w:vanish w:val="false"/>
              </w:rPr>
              <w:tab/>
              <w:t>75</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26">
            <w:r>
              <w:rPr>
                <w:webHidden/>
                <w:rStyle w:val="Style17"/>
                <w:vanish w:val="false"/>
              </w:rPr>
              <w:t>12.1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Отборочные критерии рассмотрения первых частей заявок</w:t>
            </w:r>
            <w:r>
              <w:rPr>
                <w:webHidden/>
              </w:rPr>
              <w:fldChar w:fldCharType="begin"/>
            </w:r>
            <w:r>
              <w:rPr>
                <w:webHidden/>
              </w:rPr>
              <w:instrText xml:space="preserve">PAGEREF _Toc228877726 \h</w:instrText>
            </w:r>
            <w:r>
              <w:rPr>
                <w:webHidden/>
              </w:rPr>
              <w:fldChar w:fldCharType="separate"/>
            </w:r>
            <w:r>
              <w:rPr>
                <w:rStyle w:val="Style17"/>
                <w:vanish w:val="false"/>
              </w:rPr>
              <w:tab/>
              <w:t>75</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27">
            <w:r>
              <w:rPr>
                <w:webHidden/>
                <w:rStyle w:val="Style17"/>
                <w:vanish w:val="false"/>
              </w:rPr>
              <w:t>12.2</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Дополнительные критерии проверки первых частей заявок на соответствия условиям Документации о закупке</w:t>
            </w:r>
            <w:r>
              <w:rPr>
                <w:webHidden/>
              </w:rPr>
              <w:fldChar w:fldCharType="begin"/>
            </w:r>
            <w:r>
              <w:rPr>
                <w:webHidden/>
              </w:rPr>
              <w:instrText xml:space="preserve">PAGEREF _Toc228877727 \h</w:instrText>
            </w:r>
            <w:r>
              <w:rPr>
                <w:webHidden/>
              </w:rPr>
              <w:fldChar w:fldCharType="separate"/>
            </w:r>
            <w:r>
              <w:rPr>
                <w:rStyle w:val="Style17"/>
                <w:vanish w:val="false"/>
              </w:rPr>
              <w:tab/>
              <w:t>76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28">
            <w:r>
              <w:rPr>
                <w:webHidden/>
                <w:rStyle w:val="Style17"/>
                <w:vanish w:val="false"/>
              </w:rPr>
              <w:t>12.3</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Отборочные критерии рассмотрения вторых частей заявок</w:t>
            </w:r>
            <w:r>
              <w:rPr>
                <w:webHidden/>
              </w:rPr>
              <w:fldChar w:fldCharType="begin"/>
            </w:r>
            <w:r>
              <w:rPr>
                <w:webHidden/>
              </w:rPr>
              <w:instrText xml:space="preserve">PAGEREF _Toc228877728 \h</w:instrText>
            </w:r>
            <w:r>
              <w:rPr>
                <w:webHidden/>
              </w:rPr>
              <w:fldChar w:fldCharType="separate"/>
            </w:r>
            <w:r>
              <w:rPr>
                <w:rStyle w:val="Style17"/>
                <w:vanish w:val="false"/>
              </w:rPr>
              <w:tab/>
              <w:t>77</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29">
            <w:r>
              <w:rPr>
                <w:webHidden/>
                <w:rStyle w:val="Style17"/>
                <w:vanish w:val="false"/>
              </w:rPr>
              <w:t>12.4</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Отборочные критерии рассмотрения ценовых предложений</w:t>
            </w:r>
            <w:r>
              <w:rPr>
                <w:webHidden/>
              </w:rPr>
              <w:fldChar w:fldCharType="begin"/>
            </w:r>
            <w:r>
              <w:rPr>
                <w:webHidden/>
              </w:rPr>
              <w:instrText xml:space="preserve">PAGEREF _Toc228877729 \h</w:instrText>
            </w:r>
            <w:r>
              <w:rPr>
                <w:webHidden/>
              </w:rPr>
              <w:fldChar w:fldCharType="separate"/>
            </w:r>
            <w:r>
              <w:rPr>
                <w:rStyle w:val="Style17"/>
                <w:vanish w:val="false"/>
              </w:rPr>
              <w:tab/>
              <w:t>80</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30">
            <w:r>
              <w:rPr>
                <w:webHidden/>
                <w:rStyle w:val="Style17"/>
                <w:vanish w:val="false"/>
              </w:rPr>
              <w:t>12.5</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Дополнительные критерии проверки заявок на соответствие условиям Документации о закупке</w:t>
            </w:r>
            <w:r>
              <w:rPr>
                <w:webHidden/>
              </w:rPr>
              <w:fldChar w:fldCharType="begin"/>
            </w:r>
            <w:r>
              <w:rPr>
                <w:webHidden/>
              </w:rPr>
              <w:instrText xml:space="preserve">PAGEREF _Toc228877730 \h</w:instrText>
            </w:r>
            <w:r>
              <w:rPr>
                <w:webHidden/>
              </w:rPr>
              <w:fldChar w:fldCharType="separate"/>
            </w:r>
            <w:r>
              <w:rPr>
                <w:rStyle w:val="Style17"/>
                <w:vanish w:val="false"/>
              </w:rPr>
              <w:tab/>
              <w:t>81</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731">
            <w:r>
              <w:rPr>
                <w:webHidden/>
                <w:rStyle w:val="Style17"/>
                <w:vanish w:val="false"/>
              </w:rPr>
              <w:t>13.</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Приложение № 8 – Порядок и критерии оценки и сопоставления заявок</w:t>
            </w:r>
            <w:r>
              <w:rPr>
                <w:webHidden/>
              </w:rPr>
              <w:fldChar w:fldCharType="begin"/>
            </w:r>
            <w:r>
              <w:rPr>
                <w:webHidden/>
              </w:rPr>
              <w:instrText xml:space="preserve">PAGEREF _Toc228877731 \h</w:instrText>
            </w:r>
            <w:r>
              <w:rPr>
                <w:webHidden/>
              </w:rPr>
              <w:fldChar w:fldCharType="separate"/>
            </w:r>
            <w:r>
              <w:rPr>
                <w:rStyle w:val="Style17"/>
                <w:vanish w:val="false"/>
              </w:rPr>
              <w:tab/>
              <w:t>83</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32">
            <w:r>
              <w:rPr>
                <w:webHidden/>
                <w:rStyle w:val="Style17"/>
                <w:vanish w:val="false"/>
              </w:rPr>
              <w:t>13.1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Порядок и критерии оценки и сопоставления заявок</w:t>
            </w:r>
            <w:r>
              <w:rPr>
                <w:webHidden/>
              </w:rPr>
              <w:fldChar w:fldCharType="begin"/>
            </w:r>
            <w:r>
              <w:rPr>
                <w:webHidden/>
              </w:rPr>
              <w:instrText xml:space="preserve">PAGEREF _Toc228877732 \h</w:instrText>
            </w:r>
            <w:r>
              <w:rPr>
                <w:webHidden/>
              </w:rPr>
              <w:fldChar w:fldCharType="separate"/>
            </w:r>
            <w:r>
              <w:rPr>
                <w:rStyle w:val="Style17"/>
                <w:vanish w:val="false"/>
              </w:rPr>
              <w:tab/>
              <w:t>83</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733">
            <w:r>
              <w:rPr>
                <w:webHidden/>
                <w:rStyle w:val="Style17"/>
                <w:vanish w:val="false"/>
              </w:rPr>
              <w:t>14.</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Приложение № 9 – Обоснование НМЦ</w:t>
            </w:r>
            <w:r>
              <w:rPr>
                <w:webHidden/>
              </w:rPr>
              <w:fldChar w:fldCharType="begin"/>
            </w:r>
            <w:r>
              <w:rPr>
                <w:webHidden/>
              </w:rPr>
              <w:instrText xml:space="preserve">PAGEREF _Toc228877733 \h</w:instrText>
            </w:r>
            <w:r>
              <w:rPr>
                <w:webHidden/>
              </w:rPr>
              <w:fldChar w:fldCharType="separate"/>
            </w:r>
            <w:r>
              <w:rPr>
                <w:rStyle w:val="Style17"/>
                <w:vanish w:val="false"/>
              </w:rPr>
              <w:tab/>
              <w:t>89</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34">
            <w:r>
              <w:rPr>
                <w:webHidden/>
                <w:rStyle w:val="Style17"/>
                <w:vanish w:val="false"/>
              </w:rPr>
              <w:t>14.1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Пояснения к Обоснованию НМЦ</w:t>
            </w:r>
            <w:r>
              <w:rPr>
                <w:webHidden/>
              </w:rPr>
              <w:fldChar w:fldCharType="begin"/>
            </w:r>
            <w:r>
              <w:rPr>
                <w:webHidden/>
              </w:rPr>
              <w:instrText xml:space="preserve">PAGEREF _Toc228877734 \h</w:instrText>
            </w:r>
            <w:r>
              <w:rPr>
                <w:webHidden/>
              </w:rPr>
              <w:fldChar w:fldCharType="separate"/>
            </w:r>
            <w:r>
              <w:rPr>
                <w:rStyle w:val="Style17"/>
                <w:vanish w:val="false"/>
              </w:rPr>
              <w:tab/>
              <w:t>89</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735">
            <w:r>
              <w:rPr>
                <w:webHidden/>
                <w:rStyle w:val="Style17"/>
                <w:vanish w:val="false"/>
              </w:rPr>
              <w:t>15.</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Приложение № 10 – Форма Заявки на аккредитацию</w:t>
            </w:r>
            <w:r>
              <w:rPr>
                <w:webHidden/>
              </w:rPr>
              <w:fldChar w:fldCharType="begin"/>
            </w:r>
            <w:r>
              <w:rPr>
                <w:webHidden/>
              </w:rPr>
              <w:instrText xml:space="preserve">PAGEREF _Toc228877735 \h</w:instrText>
            </w:r>
            <w:r>
              <w:rPr>
                <w:webHidden/>
              </w:rPr>
              <w:fldChar w:fldCharType="separate"/>
            </w:r>
            <w:r>
              <w:rPr>
                <w:rStyle w:val="Style17"/>
                <w:vanish w:val="false"/>
              </w:rPr>
              <w:tab/>
              <w:t>90</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36">
            <w:r>
              <w:rPr>
                <w:webHidden/>
                <w:rStyle w:val="Style17"/>
                <w:vanish w:val="false"/>
              </w:rPr>
              <w:t>15.1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Пояснения к форме Заявки на аккредитацию</w:t>
            </w:r>
            <w:r>
              <w:rPr>
                <w:webHidden/>
              </w:rPr>
              <w:fldChar w:fldCharType="begin"/>
            </w:r>
            <w:r>
              <w:rPr>
                <w:webHidden/>
              </w:rPr>
              <w:instrText xml:space="preserve">PAGEREF _Toc228877736 \h</w:instrText>
            </w:r>
            <w:r>
              <w:rPr>
                <w:webHidden/>
              </w:rPr>
              <w:fldChar w:fldCharType="separate"/>
            </w:r>
            <w:r>
              <w:rPr>
                <w:rStyle w:val="Style17"/>
                <w:vanish w:val="false"/>
              </w:rPr>
              <w:tab/>
              <w:t>90</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737">
            <w:r>
              <w:rPr>
                <w:webHidden/>
                <w:rStyle w:val="Style17"/>
                <w:vanish w:val="false"/>
              </w:rPr>
              <w:t>16.</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Приложение № 11 – форма Данных бухгалтерской (финансовой) отчетности</w:t>
            </w:r>
            <w:r>
              <w:rPr>
                <w:webHidden/>
              </w:rPr>
              <w:fldChar w:fldCharType="begin"/>
            </w:r>
            <w:r>
              <w:rPr>
                <w:webHidden/>
              </w:rPr>
              <w:instrText xml:space="preserve">PAGEREF _Toc228877737 \h</w:instrText>
            </w:r>
            <w:r>
              <w:rPr>
                <w:webHidden/>
              </w:rPr>
              <w:fldChar w:fldCharType="separate"/>
            </w:r>
            <w:r>
              <w:rPr>
                <w:rStyle w:val="Style17"/>
                <w:vanish w:val="false"/>
              </w:rPr>
              <w:tab/>
              <w:t>91</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38">
            <w:r>
              <w:rPr>
                <w:webHidden/>
                <w:rStyle w:val="Style17"/>
                <w:vanish w:val="false"/>
              </w:rPr>
              <w:t>16.1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Пояснения к форме Данных бухгалтерской (финансовой) отчетности</w:t>
            </w:r>
            <w:r>
              <w:rPr>
                <w:webHidden/>
              </w:rPr>
              <w:fldChar w:fldCharType="begin"/>
            </w:r>
            <w:r>
              <w:rPr>
                <w:webHidden/>
              </w:rPr>
              <w:instrText xml:space="preserve">PAGEREF _Toc228877738 \h</w:instrText>
            </w:r>
            <w:r>
              <w:rPr>
                <w:webHidden/>
              </w:rPr>
              <w:fldChar w:fldCharType="separate"/>
            </w:r>
            <w:r>
              <w:rPr>
                <w:rStyle w:val="Style17"/>
                <w:vanish w:val="false"/>
              </w:rPr>
              <w:tab/>
              <w:t>91</w:t>
            </w:r>
            <w:r>
              <w:rPr>
                <w:webHidden/>
              </w:rPr>
              <w:fldChar w:fldCharType="end"/>
            </w:r>
          </w:hyperlink>
          <w:r>
            <w:rPr>
              <w:rStyle w:val="Style17"/>
              <w:vanish w:val="false"/>
            </w:rPr>
            <w:fldChar w:fldCharType="end"/>
          </w:r>
        </w:p>
      </w:sdtContent>
    </w:sdt>
    <w:p>
      <w:pPr>
        <w:pStyle w:val="Style28"/>
        <w:jc w:val="both"/>
        <w:rPr/>
      </w:pPr>
      <w:r>
        <w:rPr/>
      </w:r>
    </w:p>
    <w:p>
      <w:pPr>
        <w:pStyle w:val="Style28"/>
        <w:keepNext w:val="true"/>
        <w:spacing w:before="60" w:after="0"/>
        <w:rPr>
          <w:rStyle w:val="Style14"/>
        </w:rPr>
      </w:pPr>
      <w:r>
        <w:rPr>
          <w:rStyle w:val="Style14"/>
        </w:rPr>
        <w:t xml:space="preserve">[Примечание (дополнительные удобства работы с Документацией о закупке; Microsoft Word | </w:t>
      </w:r>
      <w:r>
        <w:rPr>
          <w:rStyle w:val="Style14"/>
          <w:color w:val="4472C4" w:themeColor="accent1"/>
        </w:rPr>
        <w:t>AlterOffice AText – отмечены отличая для данного текстового редактора</w:t>
      </w:r>
      <w:r>
        <w:rPr>
          <w:rStyle w:val="Style14"/>
        </w:rPr>
        <w:t>):</w:t>
      </w:r>
    </w:p>
    <w:p>
      <w:pPr>
        <w:pStyle w:val="Style28"/>
        <w:numPr>
          <w:ilvl w:val="0"/>
          <w:numId w:val="8"/>
        </w:numPr>
        <w:spacing w:before="60" w:after="0"/>
        <w:ind w:left="284" w:hanging="284"/>
        <w:rPr>
          <w:rStyle w:val="Style14"/>
        </w:rPr>
      </w:pPr>
      <w:r>
        <w:rPr>
          <w:rStyle w:val="Style14"/>
        </w:rPr>
        <w:t xml:space="preserve">для навигации рекомендуется использовать боковое меню – включается на вкладке «Вид» в разделе «Отображение» опцией «Область навигации» | </w:t>
      </w:r>
      <w:r>
        <w:rPr>
          <w:rStyle w:val="Style14"/>
          <w:color w:val="4472C4" w:themeColor="accent1"/>
        </w:rPr>
        <w:t>включается на вкладке «Вид» опцией «Навигатор»</w:t>
      </w:r>
      <w:r>
        <w:rPr>
          <w:rStyle w:val="Style14"/>
        </w:rPr>
        <w:t>;</w:t>
      </w:r>
    </w:p>
    <w:p>
      <w:pPr>
        <w:pStyle w:val="Style28"/>
        <w:numPr>
          <w:ilvl w:val="0"/>
          <w:numId w:val="8"/>
        </w:numPr>
        <w:spacing w:before="60" w:after="0"/>
        <w:ind w:left="284" w:hanging="284"/>
        <w:rPr>
          <w:rStyle w:val="Style14"/>
        </w:rPr>
      </w:pPr>
      <w:r>
        <w:rPr>
          <w:rStyle w:val="Style14"/>
        </w:rPr>
        <w:t>переход по перекрестным и другим ссылкам осуществляется левым кликом мыши с</w:t>
      </w:r>
      <w:r>
        <w:rPr>
          <w:rStyle w:val="Style14"/>
          <w:lang w:val="en-US"/>
        </w:rPr>
        <w:t> </w:t>
      </w:r>
      <w:r>
        <w:rPr>
          <w:rStyle w:val="Style14"/>
        </w:rPr>
        <w:t xml:space="preserve">зажатой клавишей Ctrl, обратный возврат на место в тексте, с которого был сделан переход, осуществляется нажатием стрелки влево (←) с зажатой левой клавишей Alt </w:t>
      </w:r>
      <w:r>
        <w:rPr>
          <w:rStyle w:val="Style14"/>
          <w:color w:val="4472C4" w:themeColor="accent1"/>
        </w:rPr>
        <w:t>(обратный переход функционально не реализован в AlterOffice AText, пользуйтесь функциональностью «Навигатор»)</w:t>
      </w:r>
      <w:r>
        <w:rPr>
          <w:rStyle w:val="Style14"/>
        </w:rPr>
        <w:t>;</w:t>
      </w:r>
    </w:p>
    <w:p>
      <w:pPr>
        <w:pStyle w:val="Style28"/>
        <w:numPr>
          <w:ilvl w:val="0"/>
          <w:numId w:val="8"/>
        </w:numPr>
        <w:spacing w:before="60" w:after="0"/>
        <w:ind w:left="284" w:hanging="284"/>
        <w:rPr>
          <w:rStyle w:val="Style14"/>
        </w:rPr>
      </w:pPr>
      <w:r>
        <w:rPr>
          <w:rStyle w:val="Style14"/>
        </w:rPr>
        <w:t>открытие внедренного в текст документа (файла) осуществляется по двойному клику левой клавиши мыши по соответствующей иконке документа (файла) в</w:t>
      </w:r>
      <w:r>
        <w:rPr>
          <w:rStyle w:val="Style14"/>
          <w:lang w:val="en-US"/>
        </w:rPr>
        <w:t> </w:t>
      </w:r>
      <w:r>
        <w:rPr>
          <w:rStyle w:val="Style14"/>
        </w:rPr>
        <w:t>тексте;</w:t>
      </w:r>
    </w:p>
    <w:p>
      <w:pPr>
        <w:pStyle w:val="Style28"/>
        <w:numPr>
          <w:ilvl w:val="0"/>
          <w:numId w:val="8"/>
        </w:numPr>
        <w:spacing w:before="60" w:after="0"/>
        <w:ind w:left="284" w:hanging="284"/>
        <w:rPr>
          <w:rStyle w:val="Style14"/>
        </w:rPr>
      </w:pPr>
      <w:r>
        <w:rPr>
          <w:rStyle w:val="Style14"/>
          <w:color w:val="4472C4" w:themeColor="accent1"/>
        </w:rPr>
        <w:t>отключение затенения серыми блоками по тексту объектов, в том числе некоторых неразрывных пробелов и перекрестных ссылок: Ctrl + F8 (только для AlterOffice AText)</w:t>
      </w:r>
      <w:r>
        <w:rPr>
          <w:rStyle w:val="Style14"/>
        </w:rPr>
        <w:t>.]</w:t>
      </w:r>
    </w:p>
    <w:p>
      <w:pPr>
        <w:pStyle w:val="Style27"/>
        <w:numPr>
          <w:ilvl w:val="0"/>
          <w:numId w:val="0"/>
        </w:numPr>
        <w:ind w:left="0" w:hanging="0"/>
        <w:outlineLvl w:val="0"/>
        <w:rPr/>
      </w:pPr>
      <w:bookmarkStart w:id="0" w:name="_Toc228877668"/>
      <w:r>
        <w:rPr/>
        <w:t>Сокращения</w:t>
      </w:r>
      <w:bookmarkEnd w:id="0"/>
    </w:p>
    <w:p>
      <w:pPr>
        <w:pStyle w:val="Style28"/>
        <w:ind w:firstLine="567"/>
        <w:rPr/>
      </w:pPr>
      <w:r>
        <w:rPr>
          <w:b/>
          <w:bCs/>
        </w:rPr>
        <w:t>ГК РФ</w:t>
      </w:r>
      <w:r>
        <w:rPr/>
        <w:t xml:space="preserve"> – Гражданской кодекс Российской Федерации.</w:t>
      </w:r>
    </w:p>
    <w:p>
      <w:pPr>
        <w:pStyle w:val="Style28"/>
        <w:ind w:firstLine="567"/>
        <w:rPr/>
      </w:pPr>
      <w:r>
        <w:rPr>
          <w:b/>
          <w:bCs/>
        </w:rPr>
        <w:t>Декларация ПИРААП</w:t>
      </w:r>
      <w:r>
        <w:rPr/>
        <w:t xml:space="preserve"> – декларация о подтверждении использования при изготовлении продукции российского алюминия и (или) его полуфабрикатов с указанием их доли в общем объеме используемого алюминия и (или) его полуфабрикатов в натуральном выражении.</w:t>
      </w:r>
    </w:p>
    <w:p>
      <w:pPr>
        <w:pStyle w:val="Style28"/>
        <w:ind w:firstLine="567"/>
        <w:rPr/>
      </w:pPr>
      <w:r>
        <w:rPr>
          <w:b/>
          <w:bCs/>
        </w:rPr>
        <w:t>ЕАЭС</w:t>
      </w:r>
      <w:r>
        <w:rPr/>
        <w:t xml:space="preserve"> – Евразийский экономический союз.</w:t>
      </w:r>
    </w:p>
    <w:p>
      <w:pPr>
        <w:pStyle w:val="Style28"/>
        <w:ind w:firstLine="567"/>
        <w:rPr/>
      </w:pPr>
      <w:r>
        <w:rPr>
          <w:b/>
          <w:bCs/>
        </w:rPr>
        <w:t>ЕГРИП</w:t>
      </w:r>
      <w:r>
        <w:rPr/>
        <w:t xml:space="preserve"> – Единый государственный реестр индивидуальных предпринимателей.</w:t>
      </w:r>
    </w:p>
    <w:p>
      <w:pPr>
        <w:pStyle w:val="Style28"/>
        <w:ind w:firstLine="567"/>
        <w:rPr/>
      </w:pPr>
      <w:r>
        <w:rPr>
          <w:b/>
          <w:bCs/>
        </w:rPr>
        <w:t>ЕГРЮЛ</w:t>
      </w:r>
      <w:r>
        <w:rPr/>
        <w:t xml:space="preserve"> – Единый государственный реестр юридических лиц.</w:t>
      </w:r>
    </w:p>
    <w:p>
      <w:pPr>
        <w:pStyle w:val="Style28"/>
        <w:ind w:firstLine="567"/>
        <w:rPr/>
      </w:pPr>
      <w:r>
        <w:rPr>
          <w:b/>
          <w:bCs/>
        </w:rPr>
        <w:t>ЕИС</w:t>
      </w:r>
      <w:r>
        <w:rPr/>
        <w:t xml:space="preserve"> – Единая информационная система в сфере закупок.</w:t>
      </w:r>
    </w:p>
    <w:p>
      <w:pPr>
        <w:pStyle w:val="Style28"/>
        <w:ind w:firstLine="567"/>
        <w:rPr/>
      </w:pPr>
      <w:r>
        <w:rPr>
          <w:b/>
          <w:bCs/>
        </w:rPr>
        <w:t>Закон 44-ФЗ</w:t>
      </w:r>
      <w:r>
        <w:rPr/>
        <w:t xml:space="preserve"> – Федеральный закон от 05.04.2013 № 44-ФЗ «О контрактной системе в</w:t>
      </w:r>
      <w:r>
        <w:rPr>
          <w:lang w:val="en-US"/>
        </w:rPr>
        <w:t> </w:t>
      </w:r>
      <w:r>
        <w:rPr/>
        <w:t>сфере закупок товаров, работ, услуг для обеспечения государственных и муниципальных нужд».</w:t>
      </w:r>
    </w:p>
    <w:p>
      <w:pPr>
        <w:pStyle w:val="Style28"/>
        <w:ind w:firstLine="567"/>
        <w:rPr/>
      </w:pPr>
      <w:r>
        <w:rPr>
          <w:b/>
          <w:bCs/>
        </w:rPr>
        <w:t>Закон 209-ФЗ</w:t>
      </w:r>
      <w:r>
        <w:rPr/>
        <w:t xml:space="preserve"> – Федеральный закон от 24.07.2007 № 209-ФЗ «О развитии малого и среднего предпринимательства в Российской Федерации».</w:t>
      </w:r>
    </w:p>
    <w:p>
      <w:pPr>
        <w:pStyle w:val="Style28"/>
        <w:ind w:firstLine="567"/>
        <w:rPr/>
      </w:pPr>
      <w:r>
        <w:rPr>
          <w:b/>
          <w:bCs/>
        </w:rPr>
        <w:t>Закон 223-ФЗ</w:t>
      </w:r>
      <w:r>
        <w:rPr/>
        <w:t xml:space="preserve"> – Федеральный закон от 18.07.2011 № 223-ФЗ «О закупках товаров, работ, услуг отдельными видами юридических лиц».</w:t>
      </w:r>
    </w:p>
    <w:p>
      <w:pPr>
        <w:pStyle w:val="Style28"/>
        <w:ind w:firstLine="567"/>
        <w:rPr/>
      </w:pPr>
      <w:r>
        <w:rPr>
          <w:b/>
          <w:bCs/>
        </w:rPr>
        <w:t>Закон 255-ФЗ</w:t>
      </w:r>
      <w:r>
        <w:rPr/>
        <w:t xml:space="preserve"> – Федеральный закон от 14.07.2022 № 255-ФЗ «О контроле за деятельностью лиц, находящихся под иностранным влиянием».</w:t>
      </w:r>
    </w:p>
    <w:p>
      <w:pPr>
        <w:pStyle w:val="Style28"/>
        <w:ind w:firstLine="567"/>
        <w:rPr/>
      </w:pPr>
      <w:r>
        <w:rPr>
          <w:b/>
          <w:bCs/>
        </w:rPr>
        <w:t>Закон 422-ФЗ</w:t>
      </w:r>
      <w:r>
        <w:rPr/>
        <w:t xml:space="preserve"> – Федеральный закон от 27.11.2018 № 422-ФЗ «О проведении эксперимента по установлению специального налогового режима «Налог на профессиональный доход».</w:t>
      </w:r>
    </w:p>
    <w:p>
      <w:pPr>
        <w:pStyle w:val="Style28"/>
        <w:ind w:firstLine="567"/>
        <w:rPr/>
      </w:pPr>
      <w:r>
        <w:rPr>
          <w:b/>
          <w:bCs/>
        </w:rPr>
        <w:t>Законодательство</w:t>
      </w:r>
      <w:r>
        <w:rPr/>
        <w:t xml:space="preserve"> – законодательство Российской Федерации (если в тексте настоящей Документации о закупке прямо не указано иное).</w:t>
      </w:r>
    </w:p>
    <w:p>
      <w:pPr>
        <w:pStyle w:val="Style28"/>
        <w:ind w:firstLine="567"/>
        <w:rPr/>
      </w:pPr>
      <w:r>
        <w:rPr>
          <w:b/>
          <w:bCs/>
        </w:rPr>
        <w:t>Извещение</w:t>
      </w:r>
      <w:r>
        <w:rPr/>
        <w:t xml:space="preserve"> – извещение о проведении настоящей закупки.</w:t>
      </w:r>
    </w:p>
    <w:p>
      <w:pPr>
        <w:pStyle w:val="Style28"/>
        <w:ind w:firstLine="567"/>
        <w:rPr/>
      </w:pPr>
      <w:r>
        <w:rPr>
          <w:b/>
          <w:bCs/>
        </w:rPr>
        <w:t>ИНН</w:t>
      </w:r>
      <w:r>
        <w:rPr/>
        <w:t xml:space="preserve"> – идентификационный номер налогоплательщика.</w:t>
      </w:r>
    </w:p>
    <w:p>
      <w:pPr>
        <w:pStyle w:val="Style28"/>
        <w:ind w:firstLine="567"/>
        <w:rPr/>
      </w:pPr>
      <w:r>
        <w:rPr>
          <w:b/>
          <w:bCs/>
        </w:rPr>
        <w:t>ИФНС</w:t>
      </w:r>
      <w:r>
        <w:rPr/>
        <w:t xml:space="preserve"> – инспекция Федеральной налоговой службы Российской Федерации.</w:t>
      </w:r>
    </w:p>
    <w:p>
      <w:pPr>
        <w:pStyle w:val="Style28"/>
        <w:ind w:firstLine="567"/>
        <w:rPr/>
      </w:pPr>
      <w:r>
        <w:rPr>
          <w:b/>
          <w:bCs/>
        </w:rPr>
        <w:t>МТР</w:t>
      </w:r>
      <w:r>
        <w:rPr/>
        <w:t xml:space="preserve"> – материально-технические ресурсы.</w:t>
      </w:r>
    </w:p>
    <w:p>
      <w:pPr>
        <w:pStyle w:val="Style28"/>
        <w:ind w:firstLine="567"/>
        <w:rPr/>
      </w:pPr>
      <w:r>
        <w:rPr>
          <w:b/>
          <w:bCs/>
        </w:rPr>
        <w:t>НДС</w:t>
      </w:r>
      <w:r>
        <w:rPr/>
        <w:t xml:space="preserve"> – налог на добавленную стоимость.</w:t>
      </w:r>
    </w:p>
    <w:p>
      <w:pPr>
        <w:pStyle w:val="Style28"/>
        <w:ind w:firstLine="567"/>
        <w:rPr/>
      </w:pPr>
      <w:r>
        <w:rPr>
          <w:b/>
          <w:bCs/>
        </w:rPr>
        <w:t>НМЦ</w:t>
      </w:r>
      <w:r>
        <w:rPr/>
        <w:t xml:space="preserve"> – начальная (максимальная) цена договора.</w:t>
      </w:r>
    </w:p>
    <w:p>
      <w:pPr>
        <w:pStyle w:val="Style28"/>
        <w:ind w:firstLine="567"/>
        <w:rPr/>
      </w:pPr>
      <w:r>
        <w:rPr>
          <w:b/>
          <w:bCs/>
        </w:rPr>
        <w:t>Оператор ЭП</w:t>
      </w:r>
      <w:r>
        <w:rPr/>
        <w:t xml:space="preserve"> – оператор электронной площадки.</w:t>
      </w:r>
    </w:p>
    <w:p>
      <w:pPr>
        <w:pStyle w:val="Style28"/>
        <w:ind w:firstLine="567"/>
        <w:rPr/>
      </w:pPr>
      <w:r>
        <w:rPr>
          <w:b/>
          <w:bCs/>
        </w:rPr>
        <w:t>Официальный сайт</w:t>
      </w:r>
      <w:r>
        <w:rPr/>
        <w:t xml:space="preserve"> – официальный сайт Единой информационной системы в сфере закупок, расположенный в сети Интернет по </w:t>
      </w:r>
      <w:r>
        <w:rPr>
          <w:lang w:val="en-US"/>
        </w:rPr>
        <w:t>URL</w:t>
      </w:r>
      <w:r>
        <w:rPr/>
        <w:t>-адресу https://zakupki.gov.ru/.</w:t>
      </w:r>
    </w:p>
    <w:p>
      <w:pPr>
        <w:pStyle w:val="Style28"/>
        <w:ind w:firstLine="567"/>
        <w:rPr/>
      </w:pPr>
      <w:r>
        <w:rPr>
          <w:b/>
          <w:bCs/>
        </w:rPr>
        <w:t>Положение о закупке</w:t>
      </w:r>
      <w:r>
        <w:rPr/>
        <w:t xml:space="preserve"> – Единое Положение о закупке продукции для нужд Группы РусГидро.</w:t>
      </w:r>
    </w:p>
    <w:p>
      <w:pPr>
        <w:pStyle w:val="Style28"/>
        <w:ind w:firstLine="567"/>
        <w:rPr/>
      </w:pPr>
      <w:r>
        <w:rPr>
          <w:b/>
          <w:bCs/>
        </w:rPr>
        <w:t>Положение об аккредитации</w:t>
      </w:r>
      <w:r>
        <w:rPr/>
        <w:t xml:space="preserve"> – Единое Положение об аккредитации поставщиков продукции в Группе РусГидро, размещенное на Официальном сайте (в составе Положения о закупке).</w:t>
      </w:r>
    </w:p>
    <w:p>
      <w:pPr>
        <w:pStyle w:val="Style28"/>
        <w:ind w:firstLine="567"/>
        <w:rPr/>
      </w:pPr>
      <w:r>
        <w:rPr>
          <w:b/>
          <w:bCs/>
        </w:rPr>
        <w:t>ПП 325</w:t>
      </w:r>
      <w:r>
        <w:rPr/>
        <w:t xml:space="preserve"> – постановление Правительства Российской Федерации от 23.03.2017 № 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w:t>
      </w:r>
    </w:p>
    <w:p>
      <w:pPr>
        <w:pStyle w:val="Style28"/>
        <w:ind w:firstLine="567"/>
        <w:rPr/>
      </w:pPr>
      <w:r>
        <w:rPr>
          <w:b/>
          <w:bCs/>
        </w:rPr>
        <w:t>ПП 719</w:t>
      </w:r>
      <w:r>
        <w:rPr/>
        <w:t xml:space="preserve"> – постановление Правительства Российской Федерации от 17.07. 2014 № 719 «О подтверждении производства российской промышленной продукции».</w:t>
      </w:r>
    </w:p>
    <w:p>
      <w:pPr>
        <w:pStyle w:val="Style28"/>
        <w:ind w:firstLine="567"/>
        <w:rPr/>
      </w:pPr>
      <w:r>
        <w:rPr/>
      </w:r>
    </w:p>
    <w:p>
      <w:pPr>
        <w:pStyle w:val="Style28"/>
        <w:ind w:firstLine="567"/>
        <w:rPr/>
      </w:pPr>
      <w:r>
        <w:rPr>
          <w:b/>
          <w:bCs/>
        </w:rPr>
        <w:t>ПП 1352</w:t>
      </w:r>
      <w:r>
        <w:rPr/>
        <w:t xml:space="preserve"> – постановление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p>
      <w:pPr>
        <w:pStyle w:val="Style28"/>
        <w:ind w:firstLine="567"/>
        <w:rPr/>
      </w:pPr>
      <w:r>
        <w:rPr>
          <w:b/>
          <w:bCs/>
        </w:rPr>
        <w:t>ПП 1875</w:t>
      </w:r>
      <w:r>
        <w:rPr/>
        <w:t xml:space="preserve"> – постановление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Style28"/>
        <w:ind w:firstLine="567"/>
        <w:rPr/>
      </w:pPr>
      <w:r>
        <w:rPr>
          <w:b/>
          <w:bCs/>
        </w:rPr>
        <w:t>Реестр МСП</w:t>
      </w:r>
      <w:r>
        <w:rPr/>
        <w:t xml:space="preserve"> – единый реестр субъектов малого и среднего предпринимательства, ведение которого осуществляется в соответствии с Законом 209-ФЗ.</w:t>
      </w:r>
    </w:p>
    <w:p>
      <w:pPr>
        <w:pStyle w:val="Style28"/>
        <w:ind w:firstLine="567"/>
        <w:rPr/>
      </w:pPr>
      <w:r>
        <w:rPr>
          <w:b/>
          <w:bCs/>
        </w:rPr>
        <w:t>Стороны</w:t>
      </w:r>
      <w:r>
        <w:rPr/>
        <w:t xml:space="preserve"> – Организатор, Заказчик и Участники, являющиеся сторонами данной закупки (при совместном упоминании).</w:t>
      </w:r>
    </w:p>
    <w:p>
      <w:pPr>
        <w:pStyle w:val="Style28"/>
        <w:ind w:firstLine="567"/>
        <w:rPr/>
      </w:pPr>
      <w:r>
        <w:rPr>
          <w:b/>
          <w:bCs/>
        </w:rPr>
        <w:t>Субъект МСП</w:t>
      </w:r>
      <w:r>
        <w:rPr/>
        <w:t xml:space="preserve"> – субъект малого и среднего предпринимательства.</w:t>
      </w:r>
    </w:p>
    <w:p>
      <w:pPr>
        <w:pStyle w:val="Style28"/>
        <w:ind w:firstLine="567"/>
        <w:rPr/>
      </w:pPr>
      <w:r>
        <w:rPr>
          <w:b/>
          <w:bCs/>
        </w:rPr>
        <w:t>ЭП</w:t>
      </w:r>
      <w:r>
        <w:rPr/>
        <w:t xml:space="preserve"> – электронная площадка.</w:t>
      </w:r>
    </w:p>
    <w:p>
      <w:pPr>
        <w:pStyle w:val="Style27"/>
        <w:numPr>
          <w:ilvl w:val="0"/>
          <w:numId w:val="0"/>
        </w:numPr>
        <w:ind w:left="0" w:hanging="0"/>
        <w:outlineLvl w:val="0"/>
        <w:rPr/>
      </w:pPr>
      <w:bookmarkStart w:id="1" w:name="_Toc228877669"/>
      <w:r>
        <w:rPr/>
        <w:t>Термины и определения</w:t>
      </w:r>
      <w:bookmarkEnd w:id="1"/>
    </w:p>
    <w:p>
      <w:pPr>
        <w:pStyle w:val="Style28"/>
        <w:ind w:firstLine="567"/>
        <w:rPr/>
      </w:pPr>
      <w:r>
        <w:rPr>
          <w:b/>
          <w:bCs/>
        </w:rPr>
        <w:t>Аккредитация</w:t>
      </w:r>
      <w:r>
        <w:rPr/>
        <w:t xml:space="preserve"> – процедура проверки заявителей (потенциальных поставщиков) на соответствие требованиям в отношении их правоспособности, благонадежности и деловой репутации, с целью включения их в Реестр аккредитации для обеспечения (в этой части) допуска к участию в закупках, проводимых в Группе РусГидро. Аккредитация проводится с целью защиты интересов Заказчика от действий недобросовестных лиц и неблагонадежных поставщиков продукции при проведении закупочных процедур и выборе Победителя и является проявлением коммерческой осмотрительности Заказчика при заключении договора (-ов) по результатам закупки. Порядок проведения данной процедуры представлен в Положении об аккредитации.</w:t>
      </w:r>
    </w:p>
    <w:p>
      <w:pPr>
        <w:pStyle w:val="Style28"/>
        <w:ind w:firstLine="567"/>
        <w:rPr/>
      </w:pPr>
      <w:r>
        <w:rPr>
          <w:b/>
          <w:bCs/>
        </w:rPr>
        <w:t>Актуализация статуса (аккредитации)</w:t>
      </w:r>
      <w:r>
        <w:rPr/>
        <w:t xml:space="preserve"> – процедура повторной проверки определенного (конкретного)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с продлением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28"/>
        <w:ind w:firstLine="567"/>
        <w:rPr/>
      </w:pPr>
      <w:r>
        <w:rPr>
          <w:b/>
          <w:bCs/>
        </w:rPr>
        <w:t>Вторая часть заявки</w:t>
      </w:r>
      <w:r>
        <w:rPr/>
        <w:t xml:space="preserve"> – комплект документов, входящих в состав заявки и содержащих сведения об Участнике и информацию о его соответствии требованиям Документации о закупке, копии документов, подтверждающих соответствие поставляемой продукции, требованиям Документации о закупке, установленным в соответствии с законодательством (в случае установления таких требований в Документации о закупке), а также информацию и документы, необходимые для осуществления оценки заявки в отношении Участника (в случае установления в Документации о закупке соответствующих критериев и порядка оценки) (без указания сведений о ценовом предложении Участника).</w:t>
      </w:r>
    </w:p>
    <w:p>
      <w:pPr>
        <w:pStyle w:val="Style28"/>
        <w:ind w:firstLine="567"/>
        <w:rPr/>
      </w:pPr>
      <w:r>
        <w:rPr>
          <w:b/>
          <w:bCs/>
        </w:rPr>
        <w:t>Генеральный подрядчик</w:t>
      </w:r>
      <w:r>
        <w:rPr/>
        <w:t xml:space="preserve"> – подрядчик, привлекающий к исполнению своих обязательств по договору с Заказчиком третьих лиц (субподрядчиков). Под генеральным подрядчиком и субподрядчиками понимаются соответственно также генеральный исполнитель и соисполнители, генеральный поставщик и субпоставщики, в зависимости от предмета закупки.</w:t>
      </w:r>
    </w:p>
    <w:p>
      <w:pPr>
        <w:pStyle w:val="Style28"/>
        <w:ind w:firstLine="567"/>
        <w:rPr/>
      </w:pPr>
      <w:r>
        <w:rPr>
          <w:b/>
          <w:bCs/>
        </w:rPr>
        <w:t>Документация о закупке</w:t>
      </w:r>
      <w:r>
        <w:rPr/>
        <w:t xml:space="preserve"> – комплект документов, содержащий всю необходимую согласно законодательству информацию о закупке и условиях ее проведения.</w:t>
      </w:r>
    </w:p>
    <w:p>
      <w:pPr>
        <w:pStyle w:val="Style28"/>
        <w:ind w:firstLine="567"/>
        <w:rPr/>
      </w:pPr>
      <w:r>
        <w:rPr>
          <w:b/>
          <w:bCs/>
        </w:rPr>
        <w:t>Единая информационная система в сфере закупок</w:t>
      </w:r>
      <w:r>
        <w:rPr/>
        <w:t xml:space="preserve">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в установленном законодательством порядке с использованием сети Интернет посредствам Официального сайта Единой информационной системы в сфере закупок.</w:t>
      </w:r>
    </w:p>
    <w:p>
      <w:pPr>
        <w:pStyle w:val="Style28"/>
        <w:ind w:firstLine="567"/>
        <w:rPr/>
      </w:pPr>
      <w:r>
        <w:rPr>
          <w:b/>
          <w:bCs/>
        </w:rPr>
        <w:t>Единый реестр субъектов малого и среднего предпринимательства</w:t>
      </w:r>
      <w:r>
        <w:rPr/>
        <w:t xml:space="preserve"> – реестр, являющийся официальным источником сведений о юридических лицах и об индивидуальных предпринимателях, отнесенных по законодательству к таковым, и размещенный в сети Интернет на официальном сайте федерального органа исполнительной власти Российской Федерации, осуществляющего функции по контролю и надзору за соблюдением законодательства о налогах и сборах.</w:t>
      </w:r>
    </w:p>
    <w:p>
      <w:pPr>
        <w:pStyle w:val="Style28"/>
        <w:ind w:firstLine="567"/>
        <w:rPr/>
      </w:pPr>
      <w:r>
        <w:rPr>
          <w:b/>
          <w:bCs/>
        </w:rPr>
        <w:t>Заказчик</w:t>
      </w:r>
      <w:r>
        <w:rPr/>
        <w:t xml:space="preserve"> – юридическое лицо, в интересах и за счет средств, которого осуществляется закупка.</w:t>
      </w:r>
    </w:p>
    <w:p>
      <w:pPr>
        <w:pStyle w:val="Style28"/>
        <w:ind w:firstLine="567"/>
        <w:rPr/>
      </w:pPr>
      <w:r>
        <w:rPr>
          <w:b/>
          <w:bCs/>
        </w:rPr>
        <w:t>Закупка</w:t>
      </w:r>
      <w:r>
        <w:rPr/>
        <w:t xml:space="preserve"> – последовательность действий, осуществляемая в соответствии с требованиями законодательства, Положением о закупке, иными локальными нормативными документами (актами) Заказчика, а для конкурентной закупки (и неконкурентной, проводимой способом состязательный отбор) дополнительно – правилами, установленными Извещением и Документацией о закупке, в результате которой производится выбор поставщика с целью заключения договора на приобретение продукции.</w:t>
      </w:r>
    </w:p>
    <w:p>
      <w:pPr>
        <w:pStyle w:val="Style28"/>
        <w:ind w:firstLine="567"/>
        <w:rPr/>
      </w:pPr>
      <w:r>
        <w:rPr>
          <w:b/>
          <w:bCs/>
        </w:rPr>
        <w:t>Закупочная комиссия</w:t>
      </w:r>
      <w:r>
        <w:rPr/>
        <w:t xml:space="preserve"> – коллегиальный орган, принимающий решения о ходе проведения соответствующей закупки (в том числе по выбору ее победителя).</w:t>
      </w:r>
    </w:p>
    <w:p>
      <w:pPr>
        <w:pStyle w:val="Style28"/>
        <w:ind w:firstLine="567"/>
        <w:rPr/>
      </w:pPr>
      <w:r>
        <w:rPr>
          <w:b/>
          <w:bCs/>
        </w:rPr>
        <w:t>Заявка (заявка на участие в закупке)</w:t>
      </w:r>
      <w:r>
        <w:rPr/>
        <w:t xml:space="preserve"> – документ (комплект документов), содержащий предложения Участника,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 определенных Заказчиком: для конкурентных закупок – в Извещении и (или) Документацией о закупке.</w:t>
      </w:r>
    </w:p>
    <w:p>
      <w:pPr>
        <w:pStyle w:val="Style28"/>
        <w:ind w:firstLine="567"/>
        <w:rPr/>
      </w:pPr>
      <w:r>
        <w:rPr>
          <w:b/>
          <w:bCs/>
        </w:rPr>
        <w:t>Заявка на аккредитацию</w:t>
      </w:r>
      <w:r>
        <w:rPr/>
        <w:t xml:space="preserve"> – сведения, которые Заявитель предоставляет в установленном Положением об аккредитации порядке для прохождения аккредитации.</w:t>
      </w:r>
    </w:p>
    <w:p>
      <w:pPr>
        <w:pStyle w:val="Style28"/>
        <w:ind w:firstLine="567"/>
        <w:rPr/>
      </w:pPr>
      <w:r>
        <w:rPr>
          <w:b/>
          <w:bCs/>
        </w:rPr>
        <w:t>Извещение о закупке (Извещение)</w:t>
      </w:r>
      <w:r>
        <w:rPr/>
        <w:t xml:space="preserve"> – документ, предназначенный для потенциальных Участников, публикация (размещение) которого означает официальное объявление о начале закупки (информация в объеме, определенном частью 9 статьи 4 Закона 223-ФЗ и Положением о закупке); под данным документом и соответственно его размещением также подразумевается заполнение и создание на Официальном сайте (ЕИС) и (или) ЭП соответствующей страницы на указанных ресурсах с информацией об объявленной закупке.</w:t>
      </w:r>
    </w:p>
    <w:p>
      <w:pPr>
        <w:pStyle w:val="Style28"/>
        <w:ind w:firstLine="567"/>
        <w:rPr/>
      </w:pPr>
      <w:r>
        <w:rPr>
          <w:b/>
          <w:bCs/>
        </w:rPr>
        <w:t>Интеллектуальные системы управления электросетевым хозяйством</w:t>
      </w:r>
      <w:r>
        <w:rPr/>
        <w:t xml:space="preserve"> – системы удаленного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p>
    <w:p>
      <w:pPr>
        <w:pStyle w:val="Style28"/>
        <w:ind w:firstLine="567"/>
        <w:rPr/>
      </w:pPr>
      <w:r>
        <w:rPr>
          <w:b/>
          <w:bCs/>
        </w:rPr>
        <w:t>Лот</w:t>
      </w:r>
      <w:r>
        <w:rPr/>
        <w:t xml:space="preserve"> – продукция, на которую в рамках закупки допускаются подача отдельного предложения и заключение отдельного договора.</w:t>
      </w:r>
    </w:p>
    <w:p>
      <w:pPr>
        <w:pStyle w:val="Style28"/>
        <w:ind w:firstLine="567"/>
        <w:rPr/>
      </w:pPr>
      <w:r>
        <w:rPr>
          <w:b/>
          <w:bCs/>
        </w:rPr>
        <w:t>Мониторинг аккредитованных поставщиков</w:t>
      </w:r>
      <w:r>
        <w:rPr/>
        <w:t xml:space="preserve"> – процедура выборочной повторной проверки любого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без продления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28"/>
        <w:ind w:firstLine="567"/>
        <w:rPr/>
      </w:pPr>
      <w:r>
        <w:rPr>
          <w:b/>
          <w:bCs/>
        </w:rPr>
        <w:t>Начальная (максимальная) цена договора</w:t>
      </w:r>
      <w:r>
        <w:rPr/>
        <w:t xml:space="preserve"> – предельно допустимая цена договора (лота, единицы продукции), превышение которой исключает возможность заключения договора / недопустимо для заключения договора по итогам проведения закупки.</w:t>
      </w:r>
    </w:p>
    <w:p>
      <w:pPr>
        <w:pStyle w:val="Style28"/>
        <w:ind w:firstLine="567"/>
        <w:rPr/>
      </w:pPr>
      <w:r>
        <w:rPr>
          <w:b/>
          <w:bCs/>
        </w:rPr>
        <w:t>Оператор электронной площадки</w:t>
      </w:r>
      <w:r>
        <w:rPr/>
        <w:t xml:space="preserve"> – юридическое лицо, соответствующее требованиям законодательства, владеющее электронной площадкой и обеспечивающее проведение закупок в электронной форме в соответствии с положениями законодательства.</w:t>
      </w:r>
    </w:p>
    <w:p>
      <w:pPr>
        <w:pStyle w:val="Style28"/>
        <w:ind w:firstLine="567"/>
        <w:rPr/>
      </w:pPr>
      <w:r>
        <w:rPr>
          <w:b/>
          <w:bCs/>
        </w:rPr>
        <w:t>Организатор</w:t>
      </w:r>
      <w:r>
        <w:rPr/>
        <w:t xml:space="preserve"> – Заказчик или действующее по договору с ним юридическое лицо, выступающее Сторонним организатором закупки.</w:t>
      </w:r>
    </w:p>
    <w:p>
      <w:pPr>
        <w:pStyle w:val="Style28"/>
        <w:ind w:firstLine="567"/>
        <w:rPr/>
      </w:pPr>
      <w:r>
        <w:rPr>
          <w:b/>
          <w:bCs/>
        </w:rPr>
        <w:t>Официальное размещение</w:t>
      </w:r>
      <w:r>
        <w:rPr/>
        <w:t xml:space="preserve"> – размещение информации о закупке в ЕИС, на Официальном сайте </w:t>
      </w:r>
      <w:bookmarkStart w:id="2" w:name="_Hlk149048701"/>
      <w:r>
        <w:rPr/>
        <w:t>(с размещением копий на ЭП)</w:t>
      </w:r>
      <w:bookmarkEnd w:id="2"/>
      <w:r>
        <w:rPr/>
        <w:t>. Если окончание срока размещения приходится на нерабочий день согласно законодательству, сведения размещаются в первый рабочий день, следующий за нерабочими днями.</w:t>
      </w:r>
    </w:p>
    <w:p>
      <w:pPr>
        <w:pStyle w:val="Style28"/>
        <w:ind w:firstLine="567"/>
        <w:rPr/>
      </w:pPr>
      <w:r>
        <w:rPr>
          <w:b/>
          <w:bCs/>
        </w:rPr>
        <w:t>Первая часть заявки</w:t>
      </w:r>
      <w:r>
        <w:rPr/>
        <w:t xml:space="preserve"> – комплект документов, входящих в состав заявки и содержащих исключительно описание предлагаемой к поставке продукции, которая является предметом настоящей закупки (без указания сведений об Участнике и (или) о его ценовом предложении), а также информацию и документы, необходимые для осуществления оценки заявки в отношении предлагаемой к поставке продукции (в случае установления в Документации о закупке соответствующих критериев и порядка оценки).</w:t>
      </w:r>
    </w:p>
    <w:p>
      <w:pPr>
        <w:pStyle w:val="Style28"/>
        <w:ind w:firstLine="567"/>
        <w:rPr/>
      </w:pPr>
      <w:r>
        <w:rPr>
          <w:b/>
          <w:bCs/>
        </w:rPr>
        <w:t>Победитель</w:t>
      </w:r>
      <w:r>
        <w:rPr/>
        <w:t xml:space="preserve"> – Участник, заявка которого соответствует требованиям Документации о закупке и который предложил лучшие условия исполнения договора на основании критериев оценки в соответствии с Документацией о закупке. В случае признания закупки несостоявшейся Единственный участник такой закупки, с которым Заказчик принял решение заключить договор по результатам закупки, в оговоренных Положением о закупке случаях приобретает обязательства Победителя по заключению договора.</w:t>
      </w:r>
    </w:p>
    <w:p>
      <w:pPr>
        <w:pStyle w:val="Style28"/>
        <w:ind w:firstLine="567"/>
        <w:rPr/>
      </w:pPr>
      <w:r>
        <w:rPr>
          <w:b/>
          <w:bCs/>
        </w:rPr>
        <w:t>Поставщик</w:t>
      </w:r>
      <w:r>
        <w:rPr/>
        <w:t xml:space="preserve"> – любое юридическое или физическое лицо, а также объединение этих лиц, способное на законных основаниях поставить Заказчику требуемую продукцию. Под поставщиком продукции при закупке работ / услуг понимается соответственно подрядчик / исполнитель.</w:t>
      </w:r>
    </w:p>
    <w:p>
      <w:pPr>
        <w:pStyle w:val="Style28"/>
        <w:ind w:firstLine="567"/>
        <w:rPr/>
      </w:pPr>
      <w:r>
        <w:rPr>
          <w:b/>
          <w:bCs/>
        </w:rPr>
        <w:t>Предмет закупки / предмет договора</w:t>
      </w:r>
      <w:r>
        <w:rPr/>
        <w:t xml:space="preserve"> – конкретная продукция, которую предполагается закупить в объеме и на условиях, определенных Заказчиком.</w:t>
      </w:r>
    </w:p>
    <w:p>
      <w:pPr>
        <w:pStyle w:val="Style28"/>
        <w:ind w:firstLine="567"/>
        <w:rPr/>
      </w:pPr>
      <w:r>
        <w:rPr>
          <w:b/>
          <w:bCs/>
        </w:rPr>
        <w:t>Преференция</w:t>
      </w:r>
      <w:r>
        <w:rPr/>
        <w:t xml:space="preserve"> – преимущество, которое Заказчик предоставляет определенным группам поставщиков при проведении закупок в соответствии с Единым Положением о закупке продукции для нужд Группы РусГидро.</w:t>
      </w:r>
    </w:p>
    <w:p>
      <w:pPr>
        <w:pStyle w:val="Style28"/>
        <w:ind w:firstLine="567"/>
        <w:rPr/>
      </w:pPr>
      <w:r>
        <w:rPr>
          <w:b/>
          <w:bCs/>
        </w:rPr>
        <w:t>Применение законодательства о национальном режиме</w:t>
      </w:r>
      <w:r>
        <w:rPr/>
        <w:t xml:space="preserve"> – обеспечение (либо необеспечение)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равных условий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в соответствии с нормами, установленными законодательством.</w:t>
      </w:r>
    </w:p>
    <w:p>
      <w:pPr>
        <w:pStyle w:val="Style28"/>
        <w:ind w:firstLine="567"/>
        <w:rPr/>
      </w:pPr>
      <w:r>
        <w:rPr>
          <w:b/>
          <w:bCs/>
        </w:rPr>
        <w:t>Программное обеспечение</w:t>
      </w:r>
      <w:r>
        <w:rPr/>
        <w:t xml:space="preserve"> – программное обеспечение, включенное в единый реестр Минцифры России российских программ для электронных вычислительных машин и баз данных, используемое в качестве компонента интеллектуальных систем управления электросетевым хозяйством.</w:t>
      </w:r>
    </w:p>
    <w:p>
      <w:pPr>
        <w:pStyle w:val="Style28"/>
        <w:ind w:firstLine="567"/>
        <w:rPr/>
      </w:pPr>
      <w:r>
        <w:rPr>
          <w:b/>
          <w:bCs/>
        </w:rPr>
        <w:t>Продукция</w:t>
      </w:r>
      <w:r>
        <w:rPr/>
        <w:t xml:space="preserve"> – 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w:t>
      </w:r>
    </w:p>
    <w:p>
      <w:pPr>
        <w:pStyle w:val="Style28"/>
        <w:ind w:firstLine="567"/>
        <w:rPr/>
      </w:pPr>
      <w:r>
        <w:rPr>
          <w:b/>
          <w:bCs/>
        </w:rPr>
        <w:t>Реестр аккредитации</w:t>
      </w:r>
      <w:r>
        <w:rPr/>
        <w:t xml:space="preserve"> – перечень лиц – Заявителей, подававших Заявки на аккредитацию с указанием в отношении них результатов процедуры аккредитации.</w:t>
      </w:r>
    </w:p>
    <w:p>
      <w:pPr>
        <w:pStyle w:val="Style28"/>
        <w:ind w:firstLine="567"/>
        <w:rPr/>
      </w:pPr>
      <w:r>
        <w:rPr>
          <w:b/>
          <w:bCs/>
        </w:rPr>
        <w:t>Субъект малого и среднего предпринимательства</w:t>
      </w:r>
      <w:r>
        <w:rPr/>
        <w:t xml:space="preserve"> – определяется в соответствии с Законом 209-ФЗ. Все условия и требования данной Документации о закупке, относящиеся к субъектам МСП, распространяются также на физических лиц, не являющихся индивидуальными предпринимателями и применяющих специальный налоговый режим «Налог на профессиональный доход»</w:t>
      </w:r>
      <w:r>
        <w:rPr>
          <w:rStyle w:val="FootnoteReference"/>
        </w:rPr>
        <w:footnoteReference w:id="2"/>
      </w:r>
      <w:r>
        <w:rPr/>
        <w:t>, если иное не установлено в Документации о закупке.</w:t>
      </w:r>
    </w:p>
    <w:p>
      <w:pPr>
        <w:pStyle w:val="Style28"/>
        <w:ind w:firstLine="567"/>
        <w:rPr/>
      </w:pPr>
      <w:r>
        <w:rPr>
          <w:b/>
          <w:bCs/>
        </w:rPr>
        <w:t>Уполномоченное лицо</w:t>
      </w:r>
      <w:r>
        <w:rP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 </w:t>
      </w:r>
      <w:r>
        <w:rPr>
          <w:rFonts w:eastAsia="Calibri" w:cs="Times New Roman"/>
          <w:shd w:fill="FFFFFF" w:val="clear"/>
        </w:rPr>
        <w:t>в том числе выданной в порядке передоверия,</w:t>
      </w:r>
      <w:r>
        <w:rPr/>
        <w:t xml:space="preserve"> от имени организации, полномочия которых подтверждены соответствующими документами.</w:t>
      </w:r>
    </w:p>
    <w:p>
      <w:pPr>
        <w:pStyle w:val="Style28"/>
        <w:ind w:firstLine="567"/>
        <w:rPr/>
      </w:pPr>
      <w:r>
        <w:rPr>
          <w:b/>
          <w:bCs/>
        </w:rPr>
        <w:t>Участник</w:t>
      </w:r>
      <w:r>
        <w:rPr/>
        <w:t xml:space="preserve"> – любое юридическое лицо,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Законом 255-ФЗ), либо любое физическое лицо, в том числе индивидуальный предприниматель (за исключением физического лица, являющегося иностранным агентом в соответствии с Законом 255-ФЗ), выразившее заинтересованность в участии в закупке (посредством получения Документации о закупке, направления запроса о разъяснении Документации о закупке, внесения обеспечения заявки или подачи заявки на участие в закупке).</w:t>
      </w:r>
    </w:p>
    <w:p>
      <w:pPr>
        <w:pStyle w:val="Style28"/>
        <w:ind w:firstLine="567"/>
        <w:rPr/>
      </w:pPr>
      <w:r>
        <w:rPr>
          <w:b/>
          <w:bCs/>
        </w:rPr>
        <w:t>Ценовое предложение</w:t>
      </w:r>
      <w:r>
        <w:rPr/>
        <w:t xml:space="preserve"> – комплект документов, входящих в состав заявки, но подаваемых отдельно от первой и второй частей заявки и содержащих предложение Участника о цене Договора и (или) каждой единицы продукции, являющейся предметом Договора, и (или) формулу расчета цены Договора и (или) расходы на эксплуатацию и ремонт товаров, использование результатов работ / услуг и (или) любые иные сведения / документы, требуемые в соответствии с Документацией о закупке и содержащие информацию о ценовых параметрах предложения Участника.</w:t>
      </w:r>
    </w:p>
    <w:p>
      <w:pPr>
        <w:pStyle w:val="Style22"/>
        <w:rPr/>
      </w:pPr>
      <w:bookmarkStart w:id="3" w:name="_Ref125359988"/>
      <w:bookmarkStart w:id="4" w:name="_Toc228877670"/>
      <w:r>
        <w:rPr/>
        <w:t>Основные сведения о закупке</w:t>
      </w:r>
      <w:bookmarkEnd w:id="3"/>
      <w:bookmarkEnd w:id="4"/>
    </w:p>
    <w:p>
      <w:pPr>
        <w:pStyle w:val="Style23"/>
        <w:rPr/>
      </w:pPr>
      <w:bookmarkStart w:id="5" w:name="_Toc228877671"/>
      <w:r>
        <w:rPr/>
        <w:t>Статус настоящего раздела</w:t>
      </w:r>
      <w:bookmarkEnd w:id="5"/>
    </w:p>
    <w:p>
      <w:pPr>
        <w:pStyle w:val="Style24"/>
        <w:rPr/>
      </w:pPr>
      <w:r>
        <w:rPr/>
        <w:t>В настоящем разделе содержатся основные сведения о предмете, способе и иных ключевых условиях проводимой закупки.</w:t>
      </w:r>
    </w:p>
    <w:p>
      <w:pPr>
        <w:pStyle w:val="Style24"/>
        <w:rPr/>
      </w:pPr>
      <w:r>
        <w:rPr/>
        <w:t xml:space="preserve">Здесь и далее все используемые ссылки относятся к соответствующим пунктам, разделам и подразделам Документации о закупке, если прямо не указано иное; ссылки на приложения относятся к соответствующим приложениям к Документации о закупке, если прямо не указано иное. Ссылки на статьи, пункты и разделы, используемые в </w:t>
      </w:r>
      <w:hyperlink w:anchor="Прил01_ТехТребования">
        <w:r>
          <w:rPr>
            <w:rStyle w:val="Style11"/>
          </w:rPr>
          <w:t>Технических требованиях (Приложение № 1)</w:t>
        </w:r>
      </w:hyperlink>
      <w:r>
        <w:rPr>
          <w:rStyle w:val="Style11"/>
        </w:rPr>
        <w:t>,</w:t>
      </w:r>
      <w:r>
        <w:rPr/>
        <w:t xml:space="preserve"> в </w:t>
      </w:r>
      <w:hyperlink w:anchor="Прил02_ПроектДоговора">
        <w:r>
          <w:rPr>
            <w:rStyle w:val="Style11"/>
          </w:rPr>
          <w:t>Проекте договора (Приложение № 2)</w:t>
        </w:r>
      </w:hyperlink>
      <w:r>
        <w:rPr/>
        <w:t xml:space="preserve"> и иных приложениях к Документации о закупке, относятся соответственно к статьям, пунктам и разделам этих приложений к Документации о закупке. Все приложения к Документации о закупке являются ее неотъемлемыми частями.</w:t>
      </w:r>
    </w:p>
    <w:p>
      <w:pPr>
        <w:pStyle w:val="Style24"/>
        <w:rPr/>
      </w:pPr>
      <w:r>
        <w:rPr/>
        <w:t>Информация о проводимой закупке, указанная в подразделе </w:t>
      </w:r>
      <w:r>
        <w:rPr/>
        <w:fldChar w:fldCharType="begin"/>
      </w:r>
      <w:r>
        <w:rPr/>
        <w:instrText xml:space="preserve"> REF _Ref125359973 \r \h </w:instrText>
      </w:r>
      <w:r>
        <w:rPr/>
        <w:fldChar w:fldCharType="separate"/>
      </w:r>
      <w:r>
        <w:rPr/>
        <w:t>1.2</w:t>
      </w:r>
      <w:r>
        <w:rPr/>
        <w:fldChar w:fldCharType="end"/>
      </w:r>
      <w:r>
        <w:rPr/>
        <w:t>, в объеме, определенном частью 9 статьи 4 Закона 223-ФЗ, составляет Извещение о закупке.</w:t>
      </w:r>
    </w:p>
    <w:p>
      <w:pPr>
        <w:pStyle w:val="Style23"/>
        <w:spacing w:before="360" w:after="120"/>
        <w:rPr/>
      </w:pPr>
      <w:bookmarkStart w:id="6" w:name="_Ref125359973"/>
      <w:bookmarkStart w:id="7" w:name="_Ref127270076"/>
      <w:bookmarkStart w:id="8" w:name="_Ref132876309"/>
      <w:bookmarkStart w:id="9" w:name="_Toc228877672"/>
      <w:r>
        <w:rPr/>
        <w:t>Информация о проводимой закупке</w:t>
      </w:r>
      <w:bookmarkEnd w:id="6"/>
      <w:bookmarkEnd w:id="7"/>
      <w:bookmarkEnd w:id="8"/>
      <w:bookmarkEnd w:id="9"/>
    </w:p>
    <w:tbl>
      <w:tblPr>
        <w:tblStyle w:val="af9"/>
        <w:tblW w:w="9912"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126"/>
        <w:gridCol w:w="2968"/>
        <w:gridCol w:w="5818"/>
      </w:tblGrid>
      <w:tr>
        <w:trPr>
          <w:cnfStyle w:val="100000000000" w:firstRow="1" w:lastRow="0" w:firstColumn="0" w:lastColumn="0" w:oddVBand="0" w:evenVBand="0" w:oddHBand="0" w:evenHBand="0" w:firstRowFirstColumn="0" w:firstRowLastColumn="0" w:lastRowFirstColumn="0" w:lastRowLastColumn="0"/>
        </w:trPr>
        <w:tc>
          <w:tcPr>
            <w:tcW w:w="1126"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2968"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 пункта</w:t>
            </w:r>
          </w:p>
        </w:tc>
        <w:tc>
          <w:tcPr>
            <w:tcW w:w="5818"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Содержание пункта</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0" w:name="_Ref125360980"/>
            <w:bookmarkStart w:id="11" w:name="_Ref125360980"/>
            <w:bookmarkEnd w:id="11"/>
          </w:p>
        </w:tc>
        <w:tc>
          <w:tcPr>
            <w:tcW w:w="2968"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Способ закупки:</w:t>
            </w:r>
          </w:p>
        </w:tc>
        <w:tc>
          <w:tcPr>
            <w:tcW w:w="5818"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Запрос предложений в электронной форме, участниками которого могут быть только субъекты МСП.</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2" w:name="_Ref125360996"/>
            <w:bookmarkStart w:id="13" w:name="_Ref125360996"/>
            <w:bookmarkEnd w:id="13"/>
          </w:p>
        </w:tc>
        <w:tc>
          <w:tcPr>
            <w:tcW w:w="2968"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Предмет Договора</w:t>
              <w:br/>
              <w:t>(в том числе номер лота):</w:t>
            </w:r>
          </w:p>
        </w:tc>
        <w:tc>
          <w:tcPr>
            <w:tcW w:w="5818" w:type="dxa"/>
            <w:tcBorders/>
          </w:tcPr>
          <w:p>
            <w:pPr>
              <w:pStyle w:val="Style28"/>
              <w:widowControl w:val="false"/>
              <w:suppressAutoHyphens w:val="true"/>
              <w:spacing w:before="60" w:after="60"/>
              <w:rPr/>
            </w:pPr>
            <w:r>
              <w:rPr>
                <w:rStyle w:val="Style8"/>
                <w:rFonts w:eastAsia="Calibri" w:cs=""/>
                <w:i w:val="false"/>
                <w:iCs w:val="false"/>
                <w:color w:val="000000"/>
                <w:kern w:val="0"/>
                <w:sz w:val="26"/>
                <w:szCs w:val="22"/>
                <w:shd w:fill="FFFFFF" w:val="clear"/>
                <w:lang w:eastAsia="en-US" w:bidi="ar-SA"/>
              </w:rPr>
              <w:t>Лот № 312001-РЕМ ПРОД-2026-ДРСК-ПЭС: «ОКПД2 42.22.22.140 Выполнение работ по капитальному ремонту ВЛ 110 кВ с заменой опоры на территории Партизанского района структурного подразделения «Приморские южные электрические сети»»</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68"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Описание</w:t>
              <w:br/>
              <w:t>предмета закупки:</w:t>
            </w:r>
          </w:p>
        </w:tc>
        <w:tc>
          <w:tcPr>
            <w:tcW w:w="5818" w:type="dxa"/>
            <w:tcBorders/>
          </w:tcPr>
          <w:p>
            <w:pPr>
              <w:pStyle w:val="Style28"/>
              <w:widowControl w:val="false"/>
              <w:suppressAutoHyphens w:val="true"/>
              <w:spacing w:before="60" w:after="60"/>
              <w:rPr/>
            </w:pPr>
            <w:r>
              <w:rPr>
                <w:rFonts w:eastAsia="Calibri" w:cs=""/>
                <w:kern w:val="0"/>
                <w:sz w:val="26"/>
                <w:szCs w:val="22"/>
                <w:lang w:val="ru-RU" w:eastAsia="en-US" w:bidi="ar-SA"/>
              </w:rPr>
              <w:t>Подробное описание предмета закупки, в том числе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информация о количестве поставляемого товара, объема выполняемых работ, оказываемых услуг, а также место поставки товара, выполнения работы, оказания услуги, содержится в </w:t>
            </w:r>
            <w:hyperlink w:anchor="Прил01_ТехТребования">
              <w:r>
                <w:rPr>
                  <w:rStyle w:val="Style11"/>
                  <w:rFonts w:eastAsia="Calibri" w:cs=""/>
                  <w:kern w:val="0"/>
                  <w:sz w:val="26"/>
                  <w:szCs w:val="22"/>
                  <w:lang w:val="ru-RU" w:eastAsia="en-US" w:bidi="ar-SA"/>
                </w:rPr>
                <w:t>Технических требованиях (Приложении № 1)</w:t>
              </w:r>
            </w:hyperlink>
            <w:r>
              <w:rPr>
                <w:rFonts w:eastAsia="Calibri" w:cs=""/>
                <w:kern w:val="0"/>
                <w:sz w:val="26"/>
                <w:szCs w:val="22"/>
                <w:lang w:val="ru-RU" w:eastAsia="en-US" w:bidi="ar-SA"/>
              </w:rPr>
              <w:t>, в части требований, обусловленных законодательством о национальном режиме дополнительно в Структуре НМЦ (в составе Коммерческого предложения (форма 3)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4" w:name="_Ref125367124"/>
            <w:bookmarkStart w:id="15" w:name="_Ref125367124"/>
            <w:bookmarkEnd w:id="15"/>
          </w:p>
        </w:tc>
        <w:tc>
          <w:tcPr>
            <w:tcW w:w="2968"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Многолотовая закупка:</w:t>
            </w:r>
          </w:p>
        </w:tc>
        <w:tc>
          <w:tcPr>
            <w:tcW w:w="5818"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Нет.</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6" w:name="_Ref125360764"/>
            <w:bookmarkStart w:id="17" w:name="_Ref125360764"/>
            <w:bookmarkEnd w:id="17"/>
          </w:p>
        </w:tc>
        <w:tc>
          <w:tcPr>
            <w:tcW w:w="2968"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Наименование и адрес ЭП, на которой проводится закупка:</w:t>
            </w:r>
          </w:p>
        </w:tc>
        <w:tc>
          <w:tcPr>
            <w:tcW w:w="5818" w:type="dxa"/>
            <w:tcBorders/>
          </w:tcPr>
          <w:p>
            <w:pPr>
              <w:pStyle w:val="Normal"/>
              <w:widowControl w:val="false"/>
              <w:suppressAutoHyphens w:val="true"/>
              <w:spacing w:before="0" w:after="60"/>
              <w:jc w:val="left"/>
              <w:rPr/>
            </w:pPr>
            <w:r>
              <w:rPr>
                <w:rFonts w:eastAsia="Calibri" w:cs=""/>
                <w:kern w:val="0"/>
                <w:sz w:val="26"/>
                <w:szCs w:val="22"/>
                <w:lang w:val="ru-RU" w:eastAsia="en-US" w:bidi="ar-SA"/>
              </w:rPr>
              <w:t xml:space="preserve">Электронная (торговая) площадка: </w:t>
            </w:r>
            <w:hyperlink r:id="rId2">
              <w:r>
                <w:rPr>
                  <w:rFonts w:eastAsia="Calibri" w:cs=""/>
                  <w:kern w:val="0"/>
                  <w:sz w:val="26"/>
                  <w:szCs w:val="22"/>
                  <w:lang w:val="ru-RU" w:eastAsia="en-US" w:bidi="ar-SA"/>
                </w:rPr>
                <w:t>https://tender.lot-online.ru</w:t>
              </w:r>
            </w:hyperlink>
            <w:r>
              <w:rPr>
                <w:rFonts w:eastAsia="Calibri" w:cs=""/>
                <w:kern w:val="0"/>
                <w:sz w:val="26"/>
                <w:szCs w:val="22"/>
                <w:lang w:val="ru-RU" w:eastAsia="en-US" w:bidi="ar-SA"/>
              </w:rPr>
              <w:t>.</w:t>
            </w:r>
          </w:p>
          <w:p>
            <w:pPr>
              <w:pStyle w:val="Normal"/>
              <w:widowControl w:val="false"/>
              <w:suppressAutoHyphens w:val="true"/>
              <w:spacing w:before="0" w:after="60"/>
              <w:ind w:left="38" w:hanging="0"/>
              <w:jc w:val="left"/>
              <w:rPr/>
            </w:pPr>
            <w:r>
              <w:rPr>
                <w:rStyle w:val="Style8"/>
                <w:rFonts w:eastAsia="Calibri" w:cs=""/>
                <w:i w:val="false"/>
                <w:iCs w:val="false"/>
                <w:kern w:val="0"/>
                <w:sz w:val="26"/>
                <w:szCs w:val="22"/>
                <w:shd w:fill="auto" w:val="clear"/>
                <w:lang w:val="ru-RU" w:eastAsia="en-US" w:bidi="ar-SA"/>
              </w:rPr>
              <w:t xml:space="preserve">Регламент ЭТП, в соответствии с которым проводится закупка, размещен по адресу: </w:t>
            </w:r>
            <w:hyperlink r:id="rId3" w:tgtFrame="https://tender.lot-online.ru/app/EtpDocList/page">
              <w:r>
                <w:rPr>
                  <w:rFonts w:eastAsia="Calibri" w:cs=""/>
                  <w:i w:val="false"/>
                  <w:iCs w:val="false"/>
                  <w:kern w:val="0"/>
                  <w:sz w:val="26"/>
                  <w:szCs w:val="22"/>
                  <w:shd w:fill="auto" w:val="clear"/>
                  <w:lang w:eastAsia="en-US" w:bidi="ar-SA"/>
                </w:rPr>
                <w:t>https://tender.lot-online.ru/app/EtpDocList/page</w:t>
              </w:r>
            </w:hyperlink>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8" w:name="_Ref125360970"/>
            <w:bookmarkStart w:id="19" w:name="_Ref125360970"/>
            <w:bookmarkEnd w:id="19"/>
          </w:p>
        </w:tc>
        <w:tc>
          <w:tcPr>
            <w:tcW w:w="2968"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Участники:</w:t>
            </w:r>
          </w:p>
        </w:tc>
        <w:tc>
          <w:tcPr>
            <w:tcW w:w="5818"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Участвовать в закупке могут только субъекты МСП, а также физические лица, не являющиеся индивидуальными предпринимателями и применяющие специальный налоговый режим «Налог на профессиональный доход».</w:t>
            </w:r>
          </w:p>
          <w:p>
            <w:pPr>
              <w:pStyle w:val="Style28"/>
              <w:widowControl w:val="false"/>
              <w:suppressAutoHyphens w:val="true"/>
              <w:spacing w:before="60" w:after="60"/>
              <w:rPr/>
            </w:pPr>
            <w:r>
              <w:rPr>
                <w:rFonts w:eastAsia="Calibri" w:cs=""/>
                <w:kern w:val="0"/>
                <w:sz w:val="26"/>
                <w:szCs w:val="22"/>
                <w:lang w:val="ru-RU" w:eastAsia="en-US" w:bidi="ar-SA"/>
              </w:rPr>
              <w:t xml:space="preserve">При этом Участник вправе привлекать субподрядчиков (соисполнителей), в том числе не являющихся субъектами МСП, а также указанными выше физическими лицами (в случае отсутствия в условиях </w:t>
            </w:r>
            <w:hyperlink w:anchor="Прил02_ПроектДоговора">
              <w:r>
                <w:rPr>
                  <w:rStyle w:val="Style11"/>
                  <w:rFonts w:eastAsia="Calibri" w:cs=""/>
                  <w:kern w:val="0"/>
                  <w:sz w:val="26"/>
                  <w:szCs w:val="22"/>
                  <w:lang w:val="ru-RU" w:eastAsia="en-US" w:bidi="ar-SA"/>
                </w:rPr>
                <w:t>Проекта Договора (Приложение № 2)</w:t>
              </w:r>
            </w:hyperlink>
            <w:r>
              <w:rPr>
                <w:rFonts w:eastAsia="Calibri" w:cs=""/>
                <w:kern w:val="0"/>
                <w:sz w:val="26"/>
                <w:szCs w:val="22"/>
                <w:lang w:val="ru-RU" w:eastAsia="en-US" w:bidi="ar-SA"/>
              </w:rPr>
              <w:t xml:space="preserve"> прямого запрета на привлечение к исполнению обязательств по Договору третьих лиц).</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0" w:name="_Ref125360988"/>
            <w:bookmarkStart w:id="21" w:name="_Ref125360988"/>
            <w:bookmarkEnd w:id="21"/>
          </w:p>
        </w:tc>
        <w:tc>
          <w:tcPr>
            <w:tcW w:w="2968"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Заказчик:</w:t>
            </w:r>
          </w:p>
        </w:tc>
        <w:tc>
          <w:tcPr>
            <w:tcW w:w="5818" w:type="dxa"/>
            <w:tcBorders/>
          </w:tcPr>
          <w:p>
            <w:pPr>
              <w:pStyle w:val="Tableheader"/>
              <w:widowControl w:val="false"/>
              <w:suppressAutoHyphens w:val="true"/>
              <w:snapToGrid w:val="false"/>
              <w:spacing w:before="0" w:after="60"/>
              <w:jc w:val="left"/>
              <w:rPr>
                <w:b w:val="false"/>
                <w:sz w:val="26"/>
                <w:szCs w:val="26"/>
              </w:rPr>
            </w:pPr>
            <w:r>
              <w:rPr>
                <w:rFonts w:eastAsia="Calibri" w:cs=""/>
                <w:b w:val="false"/>
                <w:kern w:val="0"/>
                <w:sz w:val="26"/>
                <w:szCs w:val="26"/>
                <w:lang w:val="ru-RU" w:eastAsia="en-US" w:bidi="ar-SA"/>
              </w:rPr>
              <w:t xml:space="preserve">Наименование (полное и сокращенное): </w:t>
            </w:r>
            <w:r>
              <w:rPr>
                <w:rFonts w:eastAsia="Calibri" w:cs=""/>
                <w:i/>
                <w:kern w:val="0"/>
                <w:sz w:val="26"/>
                <w:szCs w:val="26"/>
                <w:lang w:val="ru-RU" w:eastAsia="en-US" w:bidi="ar-SA"/>
              </w:rPr>
              <w:t>АО «Дальневосточная распределительная сетевая компания»</w:t>
            </w:r>
            <w:r>
              <w:rPr>
                <w:rFonts w:eastAsia="Calibri" w:cs=""/>
                <w:kern w:val="0"/>
                <w:sz w:val="26"/>
                <w:szCs w:val="26"/>
                <w:lang w:val="ru-RU" w:eastAsia="en-US" w:bidi="ar-SA"/>
              </w:rPr>
              <w:t xml:space="preserve"> </w:t>
            </w:r>
            <w:r>
              <w:rPr>
                <w:rFonts w:eastAsia="Calibri" w:cs=""/>
                <w:b w:val="false"/>
                <w:kern w:val="0"/>
                <w:sz w:val="26"/>
                <w:szCs w:val="26"/>
                <w:lang w:val="ru-RU" w:eastAsia="en-US" w:bidi="ar-SA"/>
              </w:rPr>
              <w:t>(далее – АО «ДРСК»)</w:t>
            </w:r>
          </w:p>
          <w:p>
            <w:pPr>
              <w:pStyle w:val="Tableheader"/>
              <w:widowControl w:val="false"/>
              <w:suppressAutoHyphens w:val="true"/>
              <w:snapToGrid w:val="false"/>
              <w:spacing w:before="0" w:after="60"/>
              <w:jc w:val="left"/>
              <w:rPr>
                <w:b w:val="false"/>
                <w:sz w:val="26"/>
                <w:szCs w:val="26"/>
              </w:rPr>
            </w:pPr>
            <w:r>
              <w:rPr>
                <w:rFonts w:eastAsia="Calibri" w:cs=""/>
                <w:b w:val="false"/>
                <w:kern w:val="0"/>
                <w:sz w:val="26"/>
                <w:szCs w:val="26"/>
                <w:lang w:val="ru-RU" w:eastAsia="en-US" w:bidi="ar-SA"/>
              </w:rPr>
              <w:t>Почтовый адрес/Место нахождения: 675004, Амурская обл., г. Благовещенск, ул. Шевченко, 32</w:t>
            </w:r>
          </w:p>
          <w:p>
            <w:pPr>
              <w:pStyle w:val="Tableheader"/>
              <w:widowControl w:val="false"/>
              <w:suppressAutoHyphens w:val="true"/>
              <w:snapToGrid w:val="false"/>
              <w:spacing w:before="0" w:after="60"/>
              <w:jc w:val="left"/>
              <w:rPr>
                <w:b w:val="false"/>
                <w:sz w:val="26"/>
                <w:szCs w:val="26"/>
              </w:rPr>
            </w:pPr>
            <w:r>
              <w:rPr>
                <w:rFonts w:eastAsia="Calibri" w:cs=""/>
                <w:b w:val="false"/>
                <w:kern w:val="0"/>
                <w:sz w:val="26"/>
                <w:szCs w:val="26"/>
                <w:lang w:val="ru-RU" w:eastAsia="en-US" w:bidi="ar-SA"/>
              </w:rPr>
              <w:t xml:space="preserve">Адрес электронной почты: </w:t>
            </w:r>
            <w:hyperlink r:id="rId4">
              <w:r>
                <w:rPr>
                  <w:rStyle w:val="Hyperlink"/>
                  <w:rFonts w:eastAsia="Calibri" w:cs="" w:cstheme="minorBidi" w:eastAsiaTheme="minorHAnsi"/>
                  <w:b w:val="false"/>
                  <w:color w:val="auto"/>
                  <w:kern w:val="0"/>
                  <w:sz w:val="26"/>
                  <w:szCs w:val="26"/>
                  <w:u w:val="none"/>
                  <w:lang w:val="ru-RU" w:eastAsia="en-US" w:bidi="ar-SA"/>
                </w:rPr>
                <w:t>sherbakova-tv@drsk.ru</w:t>
              </w:r>
            </w:hyperlink>
          </w:p>
          <w:p>
            <w:pPr>
              <w:pStyle w:val="Tableheader"/>
              <w:widowControl w:val="false"/>
              <w:suppressAutoHyphens w:val="true"/>
              <w:spacing w:before="0" w:after="60"/>
              <w:jc w:val="left"/>
              <w:rPr/>
            </w:pPr>
            <w:r>
              <w:rPr>
                <w:rStyle w:val="Style8"/>
                <w:rFonts w:eastAsia="Calibri" w:cs=""/>
                <w:b w:val="false"/>
                <w:i w:val="false"/>
                <w:iCs w:val="false"/>
                <w:kern w:val="0"/>
                <w:sz w:val="26"/>
                <w:szCs w:val="26"/>
                <w:shd w:fill="FFFFFF" w:val="clear"/>
                <w:lang w:val="ru-RU" w:eastAsia="en-US" w:bidi="ar-SA"/>
              </w:rPr>
              <w:t>Контактный телефон: 8 (4162) 397-284</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2" w:name="_Ref125360954"/>
            <w:bookmarkStart w:id="23" w:name="_Ref125360954"/>
            <w:bookmarkEnd w:id="23"/>
          </w:p>
        </w:tc>
        <w:tc>
          <w:tcPr>
            <w:tcW w:w="2968"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Организатор:</w:t>
            </w:r>
          </w:p>
        </w:tc>
        <w:tc>
          <w:tcPr>
            <w:tcW w:w="5818" w:type="dxa"/>
            <w:tcBorders/>
          </w:tcPr>
          <w:p>
            <w:pPr>
              <w:pStyle w:val="Tableheader"/>
              <w:widowControl w:val="false"/>
              <w:suppressAutoHyphens w:val="true"/>
              <w:snapToGrid w:val="false"/>
              <w:spacing w:before="0" w:after="60"/>
              <w:jc w:val="left"/>
              <w:rPr>
                <w:b w:val="false"/>
                <w:sz w:val="26"/>
                <w:szCs w:val="26"/>
              </w:rPr>
            </w:pPr>
            <w:r>
              <w:rPr>
                <w:rFonts w:eastAsia="Calibri" w:cs=""/>
                <w:b w:val="false"/>
                <w:kern w:val="0"/>
                <w:sz w:val="26"/>
                <w:szCs w:val="26"/>
                <w:lang w:val="ru-RU" w:eastAsia="en-US" w:bidi="ar-SA"/>
              </w:rPr>
              <w:t xml:space="preserve">Наименование (полное и сокращенное): </w:t>
            </w:r>
            <w:r>
              <w:rPr>
                <w:rFonts w:eastAsia="Calibri" w:cs=""/>
                <w:i/>
                <w:kern w:val="0"/>
                <w:sz w:val="26"/>
                <w:szCs w:val="26"/>
                <w:lang w:val="ru-RU" w:eastAsia="en-US" w:bidi="ar-SA"/>
              </w:rPr>
              <w:t>АО «Дальневосточная распределительная сетевая компания»</w:t>
            </w:r>
            <w:r>
              <w:rPr>
                <w:rFonts w:eastAsia="Calibri" w:cs=""/>
                <w:kern w:val="0"/>
                <w:sz w:val="26"/>
                <w:szCs w:val="26"/>
                <w:lang w:val="ru-RU" w:eastAsia="en-US" w:bidi="ar-SA"/>
              </w:rPr>
              <w:t xml:space="preserve"> </w:t>
            </w:r>
            <w:r>
              <w:rPr>
                <w:rFonts w:eastAsia="Calibri" w:cs=""/>
                <w:b w:val="false"/>
                <w:kern w:val="0"/>
                <w:sz w:val="26"/>
                <w:szCs w:val="26"/>
                <w:lang w:val="ru-RU" w:eastAsia="en-US" w:bidi="ar-SA"/>
              </w:rPr>
              <w:t>(далее – АО «ДРСК»)</w:t>
            </w:r>
          </w:p>
          <w:p>
            <w:pPr>
              <w:pStyle w:val="Tableheader"/>
              <w:widowControl w:val="false"/>
              <w:suppressAutoHyphens w:val="true"/>
              <w:snapToGrid w:val="false"/>
              <w:spacing w:before="0" w:after="60"/>
              <w:jc w:val="left"/>
              <w:rPr>
                <w:b w:val="false"/>
                <w:sz w:val="26"/>
                <w:szCs w:val="26"/>
              </w:rPr>
            </w:pPr>
            <w:r>
              <w:rPr>
                <w:rFonts w:eastAsia="Calibri" w:cs=""/>
                <w:b w:val="false"/>
                <w:kern w:val="0"/>
                <w:sz w:val="26"/>
                <w:szCs w:val="26"/>
                <w:lang w:val="ru-RU" w:eastAsia="en-US" w:bidi="ar-SA"/>
              </w:rPr>
              <w:t>Почтовый адрес/Место нахождения: 675004, Амурская обл., г. Благовещенск, ул. Шевченко, 32</w:t>
            </w:r>
          </w:p>
          <w:p>
            <w:pPr>
              <w:pStyle w:val="Tableheader"/>
              <w:widowControl w:val="false"/>
              <w:suppressAutoHyphens w:val="true"/>
              <w:snapToGrid w:val="false"/>
              <w:spacing w:before="0" w:after="60"/>
              <w:jc w:val="left"/>
              <w:rPr>
                <w:b w:val="false"/>
                <w:sz w:val="26"/>
                <w:szCs w:val="26"/>
              </w:rPr>
            </w:pPr>
            <w:r>
              <w:rPr>
                <w:rFonts w:eastAsia="Calibri" w:cs=""/>
                <w:b w:val="false"/>
                <w:kern w:val="0"/>
                <w:sz w:val="26"/>
                <w:szCs w:val="26"/>
                <w:lang w:val="ru-RU" w:eastAsia="en-US" w:bidi="ar-SA"/>
              </w:rPr>
              <w:t xml:space="preserve">Адрес электронной почты: </w:t>
            </w:r>
            <w:hyperlink r:id="rId5">
              <w:r>
                <w:rPr>
                  <w:rStyle w:val="Hyperlink"/>
                  <w:rFonts w:eastAsia="Calibri" w:cs="" w:cstheme="minorBidi" w:eastAsiaTheme="minorHAnsi"/>
                  <w:b w:val="false"/>
                  <w:color w:val="auto"/>
                  <w:kern w:val="0"/>
                  <w:sz w:val="26"/>
                  <w:szCs w:val="26"/>
                  <w:u w:val="none"/>
                  <w:lang w:val="ru-RU" w:eastAsia="en-US" w:bidi="ar-SA"/>
                </w:rPr>
                <w:t>sherbakova-tv@drsk.ru</w:t>
              </w:r>
            </w:hyperlink>
          </w:p>
          <w:p>
            <w:pPr>
              <w:pStyle w:val="Tableheader"/>
              <w:widowControl w:val="false"/>
              <w:suppressAutoHyphens w:val="true"/>
              <w:snapToGrid w:val="false"/>
              <w:spacing w:before="0" w:after="60"/>
              <w:jc w:val="left"/>
              <w:rPr>
                <w:b w:val="false"/>
                <w:sz w:val="26"/>
                <w:szCs w:val="26"/>
              </w:rPr>
            </w:pPr>
            <w:r>
              <w:rPr>
                <w:rStyle w:val="Style8"/>
                <w:rFonts w:eastAsia="Calibri" w:cs=""/>
                <w:b w:val="false"/>
                <w:i w:val="false"/>
                <w:iCs w:val="false"/>
                <w:kern w:val="0"/>
                <w:sz w:val="26"/>
                <w:szCs w:val="26"/>
                <w:shd w:fill="FFFFFF" w:val="clear"/>
                <w:lang w:val="ru-RU" w:eastAsia="en-US" w:bidi="ar-SA"/>
              </w:rPr>
              <w:t>Контактный телефон: 8 (4162) 397-284</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4" w:name="_Ref125361238"/>
            <w:bookmarkStart w:id="25" w:name="_Ref125361238"/>
            <w:bookmarkEnd w:id="25"/>
          </w:p>
        </w:tc>
        <w:tc>
          <w:tcPr>
            <w:tcW w:w="2968"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Представитель Организатора:</w:t>
            </w:r>
          </w:p>
        </w:tc>
        <w:tc>
          <w:tcPr>
            <w:tcW w:w="5818" w:type="dxa"/>
            <w:tcBorders/>
          </w:tcPr>
          <w:p>
            <w:pPr>
              <w:pStyle w:val="Tableheader"/>
              <w:widowControl w:val="false"/>
              <w:suppressAutoHyphens w:val="true"/>
              <w:snapToGrid w:val="false"/>
              <w:spacing w:before="0" w:after="60"/>
              <w:jc w:val="left"/>
              <w:rPr>
                <w:b w:val="false"/>
                <w:sz w:val="26"/>
                <w:szCs w:val="26"/>
              </w:rPr>
            </w:pPr>
            <w:r>
              <w:rPr>
                <w:rFonts w:eastAsia="Calibri" w:cs=""/>
                <w:b w:val="false"/>
                <w:kern w:val="0"/>
                <w:sz w:val="26"/>
                <w:szCs w:val="26"/>
                <w:lang w:val="ru-RU" w:eastAsia="en-US" w:bidi="ar-SA"/>
              </w:rPr>
              <w:t>Контактное лицо (Ф.И.О.): Щербакова Татьяна Викторовна, специалист отдела организации и проведения закупочных процедур</w:t>
            </w:r>
          </w:p>
          <w:p>
            <w:pPr>
              <w:pStyle w:val="Tableheader"/>
              <w:widowControl w:val="false"/>
              <w:suppressAutoHyphens w:val="true"/>
              <w:snapToGrid w:val="false"/>
              <w:spacing w:before="0" w:after="60"/>
              <w:jc w:val="left"/>
              <w:rPr>
                <w:b w:val="false"/>
                <w:sz w:val="26"/>
                <w:szCs w:val="26"/>
              </w:rPr>
            </w:pPr>
            <w:r>
              <w:rPr>
                <w:rFonts w:eastAsia="Calibri" w:cs=""/>
                <w:b w:val="false"/>
                <w:kern w:val="0"/>
                <w:sz w:val="26"/>
                <w:szCs w:val="26"/>
                <w:lang w:val="ru-RU" w:eastAsia="en-US" w:bidi="ar-SA"/>
              </w:rPr>
              <w:t xml:space="preserve">Контактный телефон: </w:t>
            </w:r>
            <w:hyperlink r:id="rId6">
              <w:r>
                <w:rPr>
                  <w:rStyle w:val="Hyperlink"/>
                  <w:rFonts w:eastAsia="Calibri" w:cs="" w:cstheme="minorBidi" w:eastAsiaTheme="minorHAnsi"/>
                  <w:b w:val="false"/>
                  <w:color w:val="auto"/>
                  <w:kern w:val="0"/>
                  <w:sz w:val="26"/>
                  <w:szCs w:val="26"/>
                  <w:u w:val="none"/>
                  <w:lang w:val="ru-RU" w:eastAsia="en-US" w:bidi="ar-SA"/>
                </w:rPr>
                <w:t>sherbakova-tv@drsk.ru</w:t>
              </w:r>
            </w:hyperlink>
          </w:p>
          <w:p>
            <w:pPr>
              <w:pStyle w:val="Tableheader"/>
              <w:widowControl w:val="false"/>
              <w:suppressAutoHyphens w:val="true"/>
              <w:snapToGrid w:val="false"/>
              <w:spacing w:before="0" w:after="60"/>
              <w:jc w:val="left"/>
              <w:rPr>
                <w:b w:val="false"/>
                <w:sz w:val="26"/>
                <w:szCs w:val="26"/>
              </w:rPr>
            </w:pPr>
            <w:r>
              <w:rPr>
                <w:rStyle w:val="Style8"/>
                <w:rFonts w:eastAsia="Calibri" w:cs=""/>
                <w:b w:val="false"/>
                <w:i w:val="false"/>
                <w:iCs w:val="false"/>
                <w:color w:val="000000"/>
                <w:kern w:val="0"/>
                <w:sz w:val="26"/>
                <w:szCs w:val="26"/>
                <w:u w:val="none"/>
                <w:shd w:fill="FFFFFF" w:val="clear"/>
                <w:lang w:val="ru-RU" w:eastAsia="en-US" w:bidi="ar-SA"/>
              </w:rPr>
              <w:t>Контактный телефон: 8 (4162) 397-284</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6" w:name="_Ref125362694"/>
            <w:bookmarkStart w:id="27" w:name="_Ref125362694"/>
            <w:bookmarkEnd w:id="27"/>
          </w:p>
        </w:tc>
        <w:tc>
          <w:tcPr>
            <w:tcW w:w="2968"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Официальный источник размещения информации о проведении закупки / срок, место и порядок предоставления Документации о закупке:</w:t>
            </w:r>
          </w:p>
        </w:tc>
        <w:tc>
          <w:tcPr>
            <w:tcW w:w="5818"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Документация о закупке официально размещена в ЕИС и доступна на Официальном сайте для ознакомления любым заинтересованным лицам. Официальным источником информации о ходе проведения закупки является Официальный сайт (zakupki.gov.ru).</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Документация о закупке доступна (без взимания платы) в форме электронного документа в любое время с момента официального размещения Извещения. Предоставление Документации о закупке на бумажном носителе не предусмотрено.</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8" w:name="_Ref125360963"/>
            <w:bookmarkStart w:id="29" w:name="_Ref125360963"/>
            <w:bookmarkEnd w:id="29"/>
          </w:p>
        </w:tc>
        <w:tc>
          <w:tcPr>
            <w:tcW w:w="2968"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размещения Извещения о проведении закупки:</w:t>
            </w:r>
          </w:p>
        </w:tc>
        <w:tc>
          <w:tcPr>
            <w:tcW w:w="5818"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«12» августа 2026 г.</w:t>
            </w:r>
          </w:p>
          <w:p>
            <w:pPr>
              <w:pStyle w:val="Style28"/>
              <w:widowControl w:val="false"/>
              <w:suppressAutoHyphens w:val="true"/>
              <w:spacing w:before="60" w:after="60"/>
              <w:rPr>
                <w:rStyle w:val="Style8"/>
              </w:rPr>
            </w:pPr>
            <w:r>
              <w:rPr/>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0" w:name="_Ref125362837"/>
            <w:bookmarkStart w:id="31" w:name="_Ref125362837"/>
            <w:bookmarkEnd w:id="31"/>
          </w:p>
        </w:tc>
        <w:tc>
          <w:tcPr>
            <w:tcW w:w="2968"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Начальная (максимальная) цена договора (цена лота):</w:t>
            </w:r>
          </w:p>
        </w:tc>
        <w:tc>
          <w:tcPr>
            <w:tcW w:w="5818"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НМЦ составляет 5 159 046,33 руб., без учета НДС.</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p>
            <w:pPr>
              <w:pStyle w:val="Style28"/>
              <w:widowControl w:val="false"/>
              <w:suppressAutoHyphens w:val="true"/>
              <w:spacing w:before="60" w:after="60"/>
              <w:rPr/>
            </w:pPr>
            <w:r>
              <w:rPr>
                <w:rFonts w:eastAsia="Calibri" w:cs=""/>
                <w:kern w:val="0"/>
                <w:sz w:val="26"/>
                <w:szCs w:val="22"/>
                <w:lang w:val="ru-RU" w:eastAsia="en-US" w:bidi="ar-SA"/>
              </w:rPr>
              <w:t xml:space="preserve">Обоснование НМЦ представлено в </w:t>
            </w:r>
            <w:hyperlink w:anchor="Прил09_ОбоснованиеНМЦ">
              <w:r>
                <w:rPr>
                  <w:rStyle w:val="Style11"/>
                  <w:rFonts w:eastAsia="Calibri" w:cs=""/>
                  <w:kern w:val="0"/>
                  <w:sz w:val="26"/>
                  <w:szCs w:val="22"/>
                  <w:lang w:val="ru-RU" w:eastAsia="en-US" w:bidi="ar-SA"/>
                </w:rPr>
                <w:t>Приложении № 9</w:t>
              </w:r>
            </w:hyperlink>
            <w:r>
              <w:rPr>
                <w:rFonts w:eastAsia="Calibri" w:cs=""/>
                <w:kern w:val="0"/>
                <w:sz w:val="26"/>
                <w:szCs w:val="22"/>
                <w:lang w:val="ru-RU" w:eastAsia="en-US" w:bidi="ar-SA"/>
              </w:rPr>
              <w:t>.</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2" w:name="_Ref125363076"/>
            <w:bookmarkStart w:id="33" w:name="_Ref125363076"/>
            <w:bookmarkEnd w:id="33"/>
          </w:p>
        </w:tc>
        <w:tc>
          <w:tcPr>
            <w:tcW w:w="2968"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Обеспечение заявки на участие в закупке:</w:t>
            </w:r>
          </w:p>
        </w:tc>
        <w:tc>
          <w:tcPr>
            <w:tcW w:w="5818"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требуется.</w:t>
            </w:r>
          </w:p>
          <w:p>
            <w:pPr>
              <w:pStyle w:val="Style28"/>
              <w:widowControl w:val="false"/>
              <w:suppressAutoHyphens w:val="true"/>
              <w:spacing w:before="60" w:after="60"/>
              <w:rPr/>
            </w:pPr>
            <w:r>
              <w:rPr>
                <w:rStyle w:val="Style8"/>
                <w:rFonts w:eastAsia="Calibri" w:cs=""/>
                <w:i w:val="false"/>
                <w:iCs w:val="false"/>
                <w:kern w:val="0"/>
                <w:sz w:val="26"/>
                <w:szCs w:val="22"/>
                <w:shd w:fill="auto" w:val="clear"/>
                <w:lang w:val="ru-RU" w:eastAsia="en-US" w:bidi="ar-SA"/>
              </w:rPr>
              <w:t>Внимание! Для того, чтобы иметь возможность подать заявку на участие в закупке, в соответствии с Регламентом ЭП на счете Участника, открытом ему Оператором ЭП, должна быть внесена сумма в размере не менее установленной платы в соответствии с тарифами Оператора ЭП.</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 w:name="_Ref125362995"/>
            <w:bookmarkStart w:id="35" w:name="_Ref125362995"/>
            <w:bookmarkEnd w:id="35"/>
          </w:p>
        </w:tc>
        <w:tc>
          <w:tcPr>
            <w:tcW w:w="2968"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Требования</w:t>
              <w:br/>
              <w:t>к описанию продукции:</w:t>
            </w:r>
          </w:p>
        </w:tc>
        <w:tc>
          <w:tcPr>
            <w:tcW w:w="5818" w:type="dxa"/>
            <w:tcBorders/>
          </w:tcPr>
          <w:p>
            <w:pPr>
              <w:pStyle w:val="Style28"/>
              <w:widowControl w:val="false"/>
              <w:suppressAutoHyphens w:val="true"/>
              <w:spacing w:before="60" w:after="60"/>
              <w:rPr/>
            </w:pPr>
            <w:r>
              <w:rPr>
                <w:rFonts w:eastAsia="Calibri" w:cs=""/>
                <w:kern w:val="0"/>
                <w:sz w:val="26"/>
                <w:szCs w:val="22"/>
                <w:lang w:val="ru-RU" w:eastAsia="en-US" w:bidi="ar-SA"/>
              </w:rPr>
              <w:t>Согласие (декларация) Участника на поставку продукции по установленной форме Технического предложения (форма 4)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на условиях, указанных в Документации о закупке и не подлежащих изменению по результатам проведения закупки, без направления Участником собственных подробных предложений.</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68"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Применение законодательства о национальном режиме:</w:t>
            </w:r>
          </w:p>
        </w:tc>
        <w:tc>
          <w:tcPr>
            <w:tcW w:w="5818"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Национальный режим предоставляется.</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6" w:name="_Ref125475086"/>
            <w:bookmarkStart w:id="37" w:name="_Ref125475086"/>
            <w:bookmarkEnd w:id="37"/>
          </w:p>
        </w:tc>
        <w:tc>
          <w:tcPr>
            <w:tcW w:w="2968"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Место и порядок</w:t>
              <w:br/>
              <w:t>подачи заявок:</w:t>
            </w:r>
          </w:p>
        </w:tc>
        <w:tc>
          <w:tcPr>
            <w:tcW w:w="5818"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Заявки подаются посредством функционала ЭП, по адресу ЭП, указанному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_Ref125360764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Заявка должна состоять из двух частей и ценового предложения.</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8" w:name="_Ref125360779"/>
            <w:bookmarkStart w:id="39" w:name="_Ref125360779"/>
            <w:bookmarkEnd w:id="39"/>
          </w:p>
        </w:tc>
        <w:tc>
          <w:tcPr>
            <w:tcW w:w="2968"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начала; дата и время окончания срока подачи заявок:</w:t>
            </w:r>
          </w:p>
        </w:tc>
        <w:tc>
          <w:tcPr>
            <w:tcW w:w="5818"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начала подачи заявок:</w:t>
            </w:r>
          </w:p>
          <w:p>
            <w:pPr>
              <w:pStyle w:val="Style28"/>
              <w:widowControl w:val="false"/>
              <w:suppressAutoHyphens w:val="true"/>
              <w:spacing w:before="60" w:after="60"/>
              <w:rPr/>
            </w:pPr>
            <w:r>
              <w:rPr>
                <w:rFonts w:eastAsia="Calibri" w:cs=""/>
                <w:kern w:val="0"/>
                <w:sz w:val="26"/>
                <w:szCs w:val="22"/>
                <w:lang w:val="ru-RU" w:eastAsia="en-US" w:bidi="ar-SA"/>
              </w:rPr>
              <w:t>«12» августа 2026 г.</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и время окончания срока подачи заявок:</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«20» августа 2026 г. в 09 ч. 00 мин.</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 московскому времени).</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68"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Срок предоставления Участникам разъяснений Документации о закупке:</w:t>
            </w:r>
          </w:p>
        </w:tc>
        <w:tc>
          <w:tcPr>
            <w:tcW w:w="5818"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и время окончания срока предоставления разъяснений:</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«20» августа 2026 г. в 09 ч. 00 мин.</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 московскому времени).</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Организатор вправе не предоставлять разъяснение если запрос от Участника поступил позднее чем за 3 (три) рабочих дня до даты окончания срока подачи заявок, установленной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_Ref125360779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1.2.17</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0" w:name="_Ref125476197"/>
            <w:bookmarkStart w:id="41" w:name="_Ref125476197"/>
            <w:bookmarkEnd w:id="41"/>
          </w:p>
        </w:tc>
        <w:tc>
          <w:tcPr>
            <w:tcW w:w="2968"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Место открытия</w:t>
              <w:br/>
              <w:t>доступа к заявкам:</w:t>
            </w:r>
          </w:p>
        </w:tc>
        <w:tc>
          <w:tcPr>
            <w:tcW w:w="5818"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Открытие доступа к заявкам осуществляется автоматически на ЭП, расположенной по адресу согласно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_Ref125360764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2" w:name="_Ref125362733"/>
            <w:bookmarkStart w:id="43" w:name="_Ref125362733"/>
            <w:bookmarkEnd w:id="43"/>
          </w:p>
        </w:tc>
        <w:tc>
          <w:tcPr>
            <w:tcW w:w="2968"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окончания рассмотрения первых частей заявок:</w:t>
            </w:r>
          </w:p>
        </w:tc>
        <w:tc>
          <w:tcPr>
            <w:tcW w:w="5818"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«28» августа 2026 г.</w:t>
            </w:r>
          </w:p>
          <w:p>
            <w:pPr>
              <w:pStyle w:val="Style28"/>
              <w:widowControl w:val="false"/>
              <w:suppressAutoHyphens w:val="true"/>
              <w:spacing w:before="60" w:after="60"/>
              <w:rPr>
                <w:rStyle w:val="Style8"/>
              </w:rPr>
            </w:pPr>
            <w:r>
              <w:rPr/>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68"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Срок направления Оператором ЭП вторых частей заявок и ценовых предложений в адрес Организатора</w:t>
            </w:r>
          </w:p>
        </w:tc>
        <w:tc>
          <w:tcPr>
            <w:tcW w:w="5818"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позднее 1 (одного) рабочего дня, следующего за днем официального размещения на Официальном сайте (ЕИС) протокола рассмотрения первых частей заявок.</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4" w:name="_Ref132898515"/>
            <w:bookmarkStart w:id="45" w:name="_Ref132898515"/>
            <w:bookmarkEnd w:id="45"/>
          </w:p>
        </w:tc>
        <w:tc>
          <w:tcPr>
            <w:tcW w:w="2968"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окончания рассмотрения вторых частей заявок и ценовых предложений:</w:t>
            </w:r>
          </w:p>
        </w:tc>
        <w:tc>
          <w:tcPr>
            <w:tcW w:w="5818"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«15» сентября 2026 г.</w:t>
            </w:r>
          </w:p>
          <w:p>
            <w:pPr>
              <w:pStyle w:val="Style28"/>
              <w:widowControl w:val="false"/>
              <w:suppressAutoHyphens w:val="true"/>
              <w:spacing w:before="60" w:after="60"/>
              <w:rPr>
                <w:rStyle w:val="Style8"/>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6" w:name="_Ref125362757"/>
            <w:bookmarkStart w:id="47" w:name="_Ref125362757"/>
            <w:bookmarkEnd w:id="47"/>
          </w:p>
        </w:tc>
        <w:tc>
          <w:tcPr>
            <w:tcW w:w="2968"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подведения</w:t>
              <w:br/>
              <w:t>итогов закупки:</w:t>
            </w:r>
          </w:p>
        </w:tc>
        <w:tc>
          <w:tcPr>
            <w:tcW w:w="5818"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«16» сентября 2026 г.</w:t>
            </w:r>
          </w:p>
          <w:p>
            <w:pPr>
              <w:pStyle w:val="Style28"/>
              <w:widowControl w:val="false"/>
              <w:suppressAutoHyphens w:val="true"/>
              <w:spacing w:before="60" w:after="60"/>
              <w:rPr>
                <w:rStyle w:val="Style8"/>
              </w:rPr>
            </w:pPr>
            <w:r>
              <w:rPr/>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8" w:name="_Ref125366047"/>
            <w:bookmarkStart w:id="49" w:name="_Ref125366047"/>
            <w:bookmarkEnd w:id="49"/>
          </w:p>
        </w:tc>
        <w:tc>
          <w:tcPr>
            <w:tcW w:w="2968"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Преференция продукции, изготовленной с использованием российского алюминия и (или) алюминиевых полуфабрикатов:</w:t>
            </w:r>
          </w:p>
        </w:tc>
        <w:tc>
          <w:tcPr>
            <w:tcW w:w="5818"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предоставляется.</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0" w:name="_Ref125361769"/>
            <w:bookmarkStart w:id="51" w:name="_Ref125361769"/>
            <w:bookmarkEnd w:id="51"/>
          </w:p>
        </w:tc>
        <w:tc>
          <w:tcPr>
            <w:tcW w:w="2968"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Рассмотрение, оценка и сопоставление заявок Участников с учетом привлекаемых субподрядчиков:</w:t>
            </w:r>
          </w:p>
        </w:tc>
        <w:tc>
          <w:tcPr>
            <w:tcW w:w="5818"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предусмотрено.</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68"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Порядок подведения итогов закупки:</w:t>
            </w:r>
          </w:p>
        </w:tc>
        <w:tc>
          <w:tcPr>
            <w:tcW w:w="5818"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Победителем закупки признается Участник, заявка которого соответствует требованиям Документации о закупке и содержит лучшие условия исполнения Договора на основании установленных критериев оценки согласно Документации о закупке.</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2" w:name="_Ref125366606"/>
            <w:bookmarkStart w:id="53" w:name="_Ref125366606"/>
            <w:bookmarkEnd w:id="53"/>
          </w:p>
        </w:tc>
        <w:tc>
          <w:tcPr>
            <w:tcW w:w="2968"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Количество победителей закупки (в рамках одного лота):</w:t>
            </w:r>
          </w:p>
        </w:tc>
        <w:tc>
          <w:tcPr>
            <w:tcW w:w="5818"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Один победитель.</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4" w:name="_Ref125366813"/>
            <w:bookmarkStart w:id="55" w:name="_Ref125366813"/>
            <w:bookmarkEnd w:id="55"/>
          </w:p>
        </w:tc>
        <w:tc>
          <w:tcPr>
            <w:tcW w:w="2968"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Место подачи документов в отношении цепочки собственников, включая конечных бенефициаров:</w:t>
            </w:r>
          </w:p>
        </w:tc>
        <w:tc>
          <w:tcPr>
            <w:tcW w:w="5818" w:type="dxa"/>
            <w:tcBorders/>
          </w:tcPr>
          <w:p>
            <w:pPr>
              <w:pStyle w:val="Tableheader"/>
              <w:widowControl w:val="false"/>
              <w:suppressAutoHyphens w:val="true"/>
              <w:snapToGrid w:val="false"/>
              <w:spacing w:before="0" w:after="60"/>
              <w:jc w:val="left"/>
              <w:rPr>
                <w:b w:val="false"/>
                <w:sz w:val="26"/>
                <w:szCs w:val="26"/>
              </w:rPr>
            </w:pPr>
            <w:r>
              <w:rPr>
                <w:rFonts w:eastAsia="Calibri" w:cs=""/>
                <w:b w:val="false"/>
                <w:kern w:val="0"/>
                <w:sz w:val="26"/>
                <w:szCs w:val="26"/>
                <w:lang w:val="ru-RU" w:eastAsia="en-US" w:bidi="ar-SA"/>
              </w:rPr>
              <w:t xml:space="preserve">Почтовый адрес: 675004, г. Благовещенск, ул. Шевченко, 32, каб. 214. </w:t>
            </w:r>
          </w:p>
          <w:p>
            <w:pPr>
              <w:pStyle w:val="Tableheader"/>
              <w:widowControl w:val="false"/>
              <w:suppressAutoHyphens w:val="true"/>
              <w:spacing w:before="0" w:after="60"/>
              <w:jc w:val="left"/>
              <w:rPr/>
            </w:pPr>
            <w:r>
              <w:rPr>
                <w:rStyle w:val="Style8"/>
                <w:rFonts w:eastAsia="Calibri" w:cs=""/>
                <w:b w:val="false"/>
                <w:i w:val="false"/>
                <w:iCs w:val="false"/>
                <w:kern w:val="0"/>
                <w:sz w:val="26"/>
                <w:szCs w:val="26"/>
                <w:shd w:fill="FFFFFF" w:val="clear"/>
                <w:lang w:val="ru-RU" w:eastAsia="en-US" w:bidi="ar-SA"/>
              </w:rPr>
              <w:t xml:space="preserve">Контактное лицо для приема документов (Ф.И.О.): Ярый Виталий Сергеевич </w:t>
            </w:r>
            <w:r>
              <w:rPr>
                <w:rStyle w:val="Style19"/>
                <w:rFonts w:eastAsia="Calibri" w:cs=""/>
                <w:b w:val="false"/>
                <w:i w:val="false"/>
                <w:iCs w:val="false"/>
                <w:kern w:val="0"/>
                <w:sz w:val="26"/>
                <w:szCs w:val="26"/>
                <w:shd w:fill="FFFFFF" w:val="clear"/>
                <w:lang w:val="ru-RU" w:eastAsia="en-US" w:bidi="ar-SA"/>
              </w:rPr>
              <w:t xml:space="preserve">- </w:t>
            </w:r>
            <w:r>
              <w:rPr>
                <w:rStyle w:val="Style8"/>
                <w:rFonts w:eastAsia="Calibri" w:cs=""/>
                <w:b w:val="false"/>
                <w:i w:val="false"/>
                <w:iCs w:val="false"/>
                <w:kern w:val="0"/>
                <w:sz w:val="26"/>
                <w:szCs w:val="26"/>
                <w:shd w:fill="FFFFFF" w:val="clear"/>
                <w:lang w:val="ru-RU" w:eastAsia="en-US" w:bidi="ar-SA"/>
              </w:rPr>
              <w:t>ведущий специалист СЭБ АО «ДРСК»,Телефон: (4162) 397-7325</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Для подачи документов в электронной форме:</w:t>
            </w:r>
          </w:p>
          <w:p>
            <w:pPr>
              <w:pStyle w:val="Style28"/>
              <w:widowControl w:val="false"/>
              <w:suppressAutoHyphens w:val="true"/>
              <w:spacing w:before="60" w:after="60"/>
              <w:rPr>
                <w:rFonts w:ascii="Times New Roman" w:hAnsi="Times New Roman" w:eastAsia="Calibri" w:cs=""/>
                <w:kern w:val="0"/>
                <w:sz w:val="26"/>
                <w:szCs w:val="22"/>
                <w:lang w:eastAsia="en-US" w:bidi="ar-SA"/>
              </w:rPr>
            </w:pPr>
            <w:r>
              <w:rPr>
                <w:rFonts w:eastAsia="Calibri" w:cs=""/>
                <w:kern w:val="0"/>
                <w:sz w:val="26"/>
                <w:szCs w:val="22"/>
                <w:lang w:val="ru-RU" w:eastAsia="en-US" w:bidi="ar-SA"/>
              </w:rPr>
              <w:t>Корпоративный сайт ПАО</w:t>
            </w:r>
            <w:r>
              <w:rPr>
                <w:rFonts w:eastAsia="Calibri" w:cs=""/>
                <w:kern w:val="0"/>
                <w:sz w:val="26"/>
                <w:szCs w:val="22"/>
                <w:lang w:val="en-US" w:eastAsia="en-US" w:bidi="ar-SA"/>
              </w:rPr>
              <w:t> </w:t>
            </w:r>
            <w:r>
              <w:rPr>
                <w:rFonts w:eastAsia="Calibri" w:cs=""/>
                <w:kern w:val="0"/>
                <w:sz w:val="26"/>
                <w:szCs w:val="22"/>
                <w:lang w:val="ru-RU" w:eastAsia="en-US" w:bidi="ar-SA"/>
              </w:rPr>
              <w:t>«РусГидро», через специально созданную учетную запись (подробный порядок содержится в разделе</w:t>
            </w:r>
            <w:r>
              <w:rPr>
                <w:rFonts w:eastAsia="Calibri" w:cs=""/>
                <w:kern w:val="0"/>
                <w:sz w:val="26"/>
                <w:szCs w:val="22"/>
                <w:lang w:val="en-US" w:eastAsia="en-US" w:bidi="ar-SA"/>
              </w:rPr>
              <w:t> </w:t>
            </w:r>
            <w:r>
              <w:rPr>
                <w:rFonts w:eastAsia="Calibri" w:cs=""/>
                <w:kern w:val="0"/>
                <w:sz w:val="26"/>
                <w:szCs w:val="22"/>
                <w:lang w:val="en-US" w:eastAsia="en-US" w:bidi="ar-SA"/>
              </w:rPr>
              <w:fldChar w:fldCharType="begin"/>
            </w:r>
            <w:r>
              <w:rPr>
                <w:sz w:val="26"/>
                <w:kern w:val="0"/>
                <w:szCs w:val="22"/>
                <w:rFonts w:eastAsia="Calibri" w:cs=""/>
                <w:lang w:val="en-US" w:eastAsia="en-US" w:bidi="ar-SA"/>
              </w:rPr>
              <w:instrText xml:space="preserve"> REF _Ref126142429 \r \h </w:instrText>
            </w:r>
            <w:r>
              <w:rPr>
                <w:sz w:val="26"/>
                <w:kern w:val="0"/>
                <w:szCs w:val="22"/>
                <w:rFonts w:eastAsia="Calibri" w:cs=""/>
                <w:lang w:val="en-US" w:eastAsia="en-US" w:bidi="ar-SA"/>
              </w:rPr>
              <w:fldChar w:fldCharType="separate"/>
            </w:r>
            <w:r>
              <w:rPr>
                <w:sz w:val="26"/>
                <w:kern w:val="0"/>
                <w:szCs w:val="22"/>
                <w:rFonts w:eastAsia="Calibri" w:cs=""/>
                <w:lang w:val="en-US" w:eastAsia="en-US" w:bidi="ar-SA"/>
              </w:rPr>
              <w:t>5</w:t>
            </w:r>
            <w:r>
              <w:rPr>
                <w:sz w:val="26"/>
                <w:kern w:val="0"/>
                <w:szCs w:val="22"/>
                <w:rFonts w:eastAsia="Calibri" w:cs=""/>
                <w:lang w:val="en-US" w:eastAsia="en-US" w:bidi="ar-SA"/>
              </w:rPr>
              <w:fldChar w:fldCharType="end"/>
            </w:r>
            <w:r>
              <w:rPr>
                <w:rFonts w:eastAsia="Calibri" w:cs=""/>
                <w:kern w:val="0"/>
                <w:sz w:val="26"/>
                <w:szCs w:val="22"/>
                <w:lang w:val="ru-RU" w:eastAsia="en-US" w:bidi="ar-SA"/>
              </w:rPr>
              <w:t>).</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6" w:name="_Ref125368490"/>
            <w:bookmarkStart w:id="57" w:name="_Ref125368490"/>
            <w:bookmarkEnd w:id="57"/>
          </w:p>
        </w:tc>
        <w:tc>
          <w:tcPr>
            <w:tcW w:w="2968"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Некритичные пункты Проекта договора:</w:t>
            </w:r>
          </w:p>
        </w:tc>
        <w:tc>
          <w:tcPr>
            <w:tcW w:w="5818"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Отсутствуют.</w:t>
            </w:r>
          </w:p>
          <w:p>
            <w:pPr>
              <w:pStyle w:val="Style28"/>
              <w:widowControl w:val="false"/>
              <w:suppressAutoHyphens w:val="true"/>
              <w:spacing w:before="60" w:after="60"/>
              <w:rPr/>
            </w:pPr>
            <w:r>
              <w:rPr>
                <w:rFonts w:eastAsia="Calibri" w:cs=""/>
                <w:b/>
                <w:bCs/>
                <w:kern w:val="0"/>
                <w:sz w:val="26"/>
                <w:szCs w:val="22"/>
                <w:lang w:val="ru-RU" w:eastAsia="en-US" w:bidi="ar-SA"/>
              </w:rPr>
              <w:t xml:space="preserve">Внимание! Корректировка пунктов Проекта договора, не указанных в настоящем разделе, не допускается. Договор заключается в редакции </w:t>
            </w:r>
            <w:hyperlink w:anchor="Прил02_ПроектДоговора">
              <w:r>
                <w:rPr>
                  <w:rStyle w:val="Style11"/>
                  <w:rFonts w:eastAsia="Calibri" w:cs=""/>
                  <w:b/>
                  <w:bCs/>
                  <w:kern w:val="0"/>
                  <w:sz w:val="26"/>
                  <w:szCs w:val="22"/>
                  <w:lang w:val="ru-RU" w:eastAsia="en-US" w:bidi="ar-SA"/>
                </w:rPr>
                <w:t>Приложения № 2</w:t>
              </w:r>
            </w:hyperlink>
            <w:r>
              <w:rPr>
                <w:rFonts w:eastAsia="Calibri" w:cs=""/>
                <w:b/>
                <w:bCs/>
                <w:kern w:val="0"/>
                <w:sz w:val="26"/>
                <w:szCs w:val="22"/>
                <w:lang w:val="ru-RU" w:eastAsia="en-US" w:bidi="ar-SA"/>
              </w:rPr>
              <w:t>.</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68"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Обеспечение</w:t>
              <w:br/>
              <w:t>исполнения Договора:</w:t>
            </w:r>
          </w:p>
        </w:tc>
        <w:tc>
          <w:tcPr>
            <w:tcW w:w="5818"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требуется.</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bl>
    <w:p>
      <w:pPr>
        <w:pStyle w:val="Style22"/>
        <w:rPr/>
      </w:pPr>
      <w:bookmarkStart w:id="58" w:name="_Ref125360073"/>
      <w:bookmarkStart w:id="59" w:name="_Ref125360337"/>
      <w:bookmarkStart w:id="60" w:name="_Toc228877673"/>
      <w:r>
        <w:rPr/>
        <w:t>Общие положения</w:t>
      </w:r>
      <w:bookmarkEnd w:id="58"/>
      <w:bookmarkEnd w:id="59"/>
      <w:bookmarkEnd w:id="60"/>
    </w:p>
    <w:p>
      <w:pPr>
        <w:pStyle w:val="Style23"/>
        <w:rPr/>
      </w:pPr>
      <w:bookmarkStart w:id="61" w:name="_Toc228877674"/>
      <w:r>
        <w:rPr/>
        <w:t>Общие сведения о закупке</w:t>
      </w:r>
      <w:bookmarkEnd w:id="61"/>
    </w:p>
    <w:p>
      <w:pPr>
        <w:pStyle w:val="Style24"/>
        <w:rPr/>
      </w:pPr>
      <w:r>
        <w:rPr/>
        <w:t>Организатор официально размещенным Извещением приглашает лиц, указанных в подразделе </w:t>
      </w:r>
      <w:r>
        <w:rPr/>
        <w:fldChar w:fldCharType="begin"/>
      </w:r>
      <w:r>
        <w:rPr/>
        <w:instrText xml:space="preserve"> REF _Ref125359973 \r \h </w:instrText>
      </w:r>
      <w:r>
        <w:rPr/>
        <w:fldChar w:fldCharType="separate"/>
      </w:r>
      <w:r>
        <w:rPr/>
        <w:t>1.2</w:t>
      </w:r>
      <w:r>
        <w:rPr/>
        <w:fldChar w:fldCharType="end"/>
      </w:r>
      <w:r>
        <w:rPr/>
        <w:t>, к участию в закупке на право заключения договора, предмет которого указан в том же подразделе.</w:t>
      </w:r>
    </w:p>
    <w:p>
      <w:pPr>
        <w:pStyle w:val="Style24"/>
        <w:rPr/>
      </w:pPr>
      <w:r>
        <w:rPr/>
        <w:t>Требования к Участникам, а также к документам, подтверждающим соответствие установленным требованиям, приведены в разделе </w:t>
      </w:r>
      <w:r>
        <w:rPr/>
        <w:fldChar w:fldCharType="begin"/>
      </w:r>
      <w:r>
        <w:rPr/>
        <w:instrText xml:space="preserve"> REF _Ref125361210 \r \h </w:instrText>
      </w:r>
      <w:r>
        <w:rPr/>
        <w:fldChar w:fldCharType="separate"/>
      </w:r>
      <w:r>
        <w:rPr/>
        <w:t>3</w:t>
      </w:r>
      <w:r>
        <w:rPr/>
        <w:fldChar w:fldCharType="end"/>
      </w:r>
      <w:r>
        <w:rPr/>
        <w:t xml:space="preserve"> Документации о закупке.</w:t>
      </w:r>
    </w:p>
    <w:p>
      <w:pPr>
        <w:pStyle w:val="Style24"/>
        <w:rPr/>
      </w:pPr>
      <w:r>
        <w:rPr/>
        <w:t xml:space="preserve">Требования к поставляемой продукции, включая срок, объем и место поставки продукции, изложены в </w:t>
      </w:r>
      <w:hyperlink w:anchor="Прил01_ТехТребования">
        <w:r>
          <w:rPr>
            <w:rStyle w:val="Style11"/>
          </w:rPr>
          <w:t>Технических требованиях (Приложение № 1)</w:t>
        </w:r>
      </w:hyperlink>
      <w:r>
        <w:rPr/>
        <w:t xml:space="preserve">. </w:t>
      </w:r>
      <w:hyperlink w:anchor="Прил02_ПроектДоговора">
        <w:r>
          <w:rPr>
            <w:rStyle w:val="Style11"/>
          </w:rPr>
          <w:t>Проект договора</w:t>
        </w:r>
      </w:hyperlink>
      <w:r>
        <w:rPr/>
        <w:t>, который планируется заключить по результатам закупки, в том числе содержащий условия по форме, срокам и порядку оплаты, приведен в </w:t>
      </w:r>
      <w:hyperlink w:anchor="Прил02_ПроектДоговора">
        <w:r>
          <w:rPr>
            <w:rStyle w:val="Style11"/>
          </w:rPr>
          <w:t>Приложении № 2</w:t>
        </w:r>
      </w:hyperlink>
      <w:r>
        <w:rPr/>
        <w:t>. 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национальный режим не предоставляется, то требования к закупаемой продукции (в части страны происхождения товара) также могут быть установлены в Структуре НМЦ (в составе Коммерческого предложения (форма 3) (</w:t>
      </w:r>
      <w:hyperlink w:anchor="Прил04_ФормыЗаявки">
        <w:r>
          <w:rPr>
            <w:rStyle w:val="Style11"/>
          </w:rPr>
          <w:t>Приложение № 4</w:t>
        </w:r>
      </w:hyperlink>
      <w:r>
        <w:rPr/>
        <w:t>)).</w:t>
      </w:r>
    </w:p>
    <w:p>
      <w:pPr>
        <w:pStyle w:val="Style24"/>
        <w:rPr/>
      </w:pPr>
      <w:r>
        <w:rPr/>
        <w:t>Подробная информация о порядке проведения закупки и участия в ней, а также о порядке заключения Договора, приведены в разделах </w:t>
      </w:r>
      <w:r>
        <w:rPr/>
        <w:fldChar w:fldCharType="begin"/>
      </w:r>
      <w:r>
        <w:rPr/>
        <w:instrText xml:space="preserve"> REF _Ref125361211 \r \h </w:instrText>
      </w:r>
      <w:r>
        <w:rPr/>
        <w:fldChar w:fldCharType="separate"/>
      </w:r>
      <w:r>
        <w:rPr/>
        <w:t>4</w:t>
      </w:r>
      <w:r>
        <w:rPr/>
        <w:fldChar w:fldCharType="end"/>
      </w:r>
      <w:r>
        <w:rPr/>
        <w:t xml:space="preserve">, </w:t>
      </w:r>
      <w:r>
        <w:rPr/>
        <w:fldChar w:fldCharType="begin"/>
      </w:r>
      <w:r>
        <w:rPr/>
        <w:instrText xml:space="preserve"> REF _Ref126142429 \r \h </w:instrText>
      </w:r>
      <w:r>
        <w:rPr/>
        <w:fldChar w:fldCharType="separate"/>
      </w:r>
      <w:r>
        <w:rPr/>
        <w:t>5</w:t>
      </w:r>
      <w:r>
        <w:rPr/>
        <w:fldChar w:fldCharType="end"/>
      </w:r>
      <w:r>
        <w:rPr/>
        <w:t xml:space="preserve">, образцы основных форм документов, включаемых в заявку или предоставляемых Победителем, приведены в Приложениях </w:t>
      </w:r>
      <w:hyperlink w:anchor="Прил04_ФормыЗаявки">
        <w:r>
          <w:rPr>
            <w:rStyle w:val="Style11"/>
          </w:rPr>
          <w:t>№ 4</w:t>
        </w:r>
      </w:hyperlink>
      <w:r>
        <w:rPr/>
        <w:t xml:space="preserve">, </w:t>
      </w:r>
      <w:hyperlink w:anchor="Прил05_ФормыПобедителя">
        <w:r>
          <w:rPr>
            <w:rStyle w:val="Style11"/>
          </w:rPr>
          <w:t>№ 5</w:t>
        </w:r>
      </w:hyperlink>
      <w:r>
        <w:rPr/>
        <w:t>.</w:t>
      </w:r>
    </w:p>
    <w:p>
      <w:pPr>
        <w:pStyle w:val="Style23"/>
        <w:rPr/>
      </w:pPr>
      <w:bookmarkStart w:id="62" w:name="_Toc228877675"/>
      <w:r>
        <w:rPr/>
        <w:t>Правовой статус документов</w:t>
      </w:r>
      <w:bookmarkEnd w:id="62"/>
    </w:p>
    <w:p>
      <w:pPr>
        <w:pStyle w:val="Style24"/>
        <w:rPr/>
      </w:pPr>
      <w:r>
        <w:rPr/>
        <w:t>Документация о закупке вместе с Извещением, являющимся ее неотъемлемой частью, являются публичной офертой Организатора в соответствии со статьей 437 ГК РФ и должны рассматриваться Участниками в соответствии с этим до подведения итогов закупки. При наличии противоречий между положениями Извещения и Документации о закупке применяются положения Извещения.</w:t>
      </w:r>
    </w:p>
    <w:p>
      <w:pPr>
        <w:pStyle w:val="Style24"/>
        <w:rPr/>
      </w:pPr>
      <w:r>
        <w:rPr/>
        <w:t>Заявка Участника имеет правовой статус оферты и будет рассматриваться Организатором в течение указанного в ней срока ее действия.</w:t>
      </w:r>
    </w:p>
    <w:p>
      <w:pPr>
        <w:pStyle w:val="Style24"/>
        <w:keepNext w:val="true"/>
        <w:rPr/>
      </w:pPr>
      <w:bookmarkStart w:id="63" w:name="_Ref125366985"/>
      <w:r>
        <w:rPr/>
        <w:t>При определении условий Договора по результатам закупки используется иерархия документов, установленная в пункте </w:t>
      </w:r>
      <w:r>
        <w:rPr/>
        <w:fldChar w:fldCharType="begin"/>
      </w:r>
      <w:r>
        <w:rPr/>
        <w:instrText xml:space="preserve"> REF _Ref132288402 \r \h </w:instrText>
      </w:r>
      <w:r>
        <w:rPr/>
        <w:fldChar w:fldCharType="separate"/>
      </w:r>
      <w:r>
        <w:rPr/>
        <w:t>5.2.9</w:t>
      </w:r>
      <w:r>
        <w:rPr/>
        <w:fldChar w:fldCharType="end"/>
      </w:r>
      <w:bookmarkEnd w:id="63"/>
      <w:r>
        <w:rPr/>
        <w:t>.</w:t>
      </w:r>
    </w:p>
    <w:p>
      <w:pPr>
        <w:pStyle w:val="Style24"/>
        <w:rPr/>
      </w:pPr>
      <w:r>
        <w:rPr/>
        <w:t>Заключенный по результатам закупки Договор, в том числе, фиксирует все достигнутые сторонами договоренности.</w:t>
      </w:r>
    </w:p>
    <w:p>
      <w:pPr>
        <w:pStyle w:val="Style24"/>
        <w:rPr/>
      </w:pPr>
      <w:r>
        <w:rPr/>
        <w:t>Во всем, что не урегулировано Извещением и Документацией о закупке, стороны руководствуются Законом 223-ФЗ и Положением о закупке (в редакции, действующей на дату официального размещения Извещения).</w:t>
      </w:r>
    </w:p>
    <w:p>
      <w:pPr>
        <w:pStyle w:val="Style24"/>
        <w:rPr/>
      </w:pPr>
      <w:r>
        <w:rPr/>
        <w:t>Если в отношении сторон Договора, заключаемого по результатам закупки, действуют также специальные нормативные правовые акты, зарегистрированные в установленном порядке, Документация о закупке и заявка Победителя будут считаться приоритетными по отношению к диспозитивным нормам указанных документов.</w:t>
      </w:r>
    </w:p>
    <w:p>
      <w:pPr>
        <w:pStyle w:val="Style24"/>
        <w:rPr/>
      </w:pPr>
      <w:r>
        <w:rPr/>
        <w:t>Иные документы Организатора и Участников не определяют права и обязанности сторон в связи с данной закупкой.</w:t>
      </w:r>
    </w:p>
    <w:p>
      <w:pPr>
        <w:pStyle w:val="Style24"/>
        <w:rPr/>
      </w:pPr>
      <w:r>
        <w:rPr/>
        <w:t>Любые уведомления, письма, предложения, иная переписка и действия председателя, заместителя председателя, членов, секретаря Закупочной комиссии и иных работников Заказчика и Организатора относительно условий, сроков проведения, предмета настоящей закупки (за исключением информации, представляемой Участникам в соответствии с Положением о закупке), носят исключительно информационный характер и не являются офертой либо акцептом Организатора или Заказчика.</w:t>
      </w:r>
    </w:p>
    <w:p>
      <w:pPr>
        <w:pStyle w:val="Style23"/>
        <w:rPr/>
      </w:pPr>
      <w:bookmarkStart w:id="64" w:name="_Ref125363536"/>
      <w:bookmarkStart w:id="65" w:name="_Toc228877676"/>
      <w:r>
        <w:rPr/>
        <w:t>Обжалование</w:t>
      </w:r>
      <w:bookmarkEnd w:id="64"/>
      <w:bookmarkEnd w:id="65"/>
    </w:p>
    <w:p>
      <w:pPr>
        <w:pStyle w:val="Style24"/>
        <w:rPr/>
      </w:pPr>
      <w:r>
        <w:rPr/>
        <w:t>Любой Участник, который заявляет, что понес или может понести убытки в результате нарушения его прав Заказчиком и (или) Организатором, отдельными членами Закупочной комиссии или Оператором ЭП, имеет право подать заявление о рассмотрении разногласий, связанных с проведением закупки.</w:t>
      </w:r>
    </w:p>
    <w:p>
      <w:pPr>
        <w:pStyle w:val="Style24"/>
        <w:rPr/>
      </w:pPr>
      <w:r>
        <w:rPr/>
        <w:t>До заключения Договора с Победителем заявления о рассмотрении разногласий направляются Участниками через круглосуточную «Линию доверия», посредством заполнения специальной формы на корпоративном сайте ПАО «РусГидро» (вкладка «Линия доверия»), или сообщения информации по указанному на корпоративном сайте телефону. На время рассмотрения разногласий процедура проведения закупки приостанавливается до вынесения решения, если тому нет явных препятствий юридического или экономического характера.</w:t>
      </w:r>
    </w:p>
    <w:p>
      <w:pPr>
        <w:pStyle w:val="Style24"/>
        <w:keepNext w:val="true"/>
        <w:rPr/>
      </w:pPr>
      <w:r>
        <w:rPr/>
        <w:t>Если разногласия не разрешены по взаимному согласию представившего их Участника и Заказчика, может быть принято одно из следующих решений:</w:t>
      </w:r>
    </w:p>
    <w:p>
      <w:pPr>
        <w:pStyle w:val="Style25"/>
        <w:rPr/>
      </w:pPr>
      <w:r>
        <w:rPr/>
        <w:t>обязать Заказчика, Организатора, членов Закупочной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и Положению о закупке (в том числе, но не ограничиваясь, отменить составленные в ходе закупки протоколы, повторно рассмотреть заявки Участников);</w:t>
      </w:r>
    </w:p>
    <w:p>
      <w:pPr>
        <w:pStyle w:val="Style25"/>
        <w:rPr/>
      </w:pPr>
      <w:r>
        <w:rPr/>
        <w:t>признать заявление Участника необоснованным.</w:t>
      </w:r>
    </w:p>
    <w:p>
      <w:pPr>
        <w:pStyle w:val="Style24"/>
        <w:rPr/>
      </w:pPr>
      <w:r>
        <w:rPr/>
        <w:t>Участник вправе обжаловать действия (бездействие) Заказчика и (или) Организатора, Закупочной комиссии, Оператора ЭП при проведении настоящей закупки в антимонопольном органе в порядке, установленном законодательством. Если обжалуемые действия (бездействие) совершены после окончания установленного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обжалование таких действий (бездействия) может осуществляться только Участником, подавшим заявку на участие в такой закупке.</w:t>
      </w:r>
    </w:p>
    <w:p>
      <w:pPr>
        <w:pStyle w:val="Style24"/>
        <w:rPr/>
      </w:pPr>
      <w:r>
        <w:rPr/>
        <w:t>Все споры и разногласия, возникающие в связи с проведением закупки, касающиеся исполнения Организатором, Заказчиком и Участниками своих обязательств, в том числе не урегулированные путем обращения на «Линию доверия» и (или) антимонопольные органы, подлежат разрешению следующим образом:</w:t>
      </w:r>
    </w:p>
    <w:p>
      <w:pPr>
        <w:pStyle w:val="Style25"/>
        <w:rPr/>
      </w:pPr>
      <w:r>
        <w:rPr/>
        <w:t>по закупкам, проводимым закупочными комиссиями 1-го уровня – в Арбитражном суде по месту нахождения Заказчика (либо соответствующего филиала Заказчика, для нужд которого проводится настоящая закупка);</w:t>
      </w:r>
    </w:p>
    <w:p>
      <w:pPr>
        <w:pStyle w:val="Style25"/>
        <w:rPr/>
      </w:pPr>
      <w:r>
        <w:rPr/>
        <w:t xml:space="preserve">по закупкам, проводимым закупочными комиссиями 2-го уровня, специальными закупочными комиссиями, закупочными комиссиями исполнительного аппарата ПАО «РусГидро» – в Арбитражном суде </w:t>
      </w:r>
      <w:bookmarkStart w:id="66" w:name="_Hlk219296876"/>
      <w:bookmarkStart w:id="67" w:name="_Hlk219301278"/>
      <w:r>
        <w:rPr/>
        <w:t>Красноярского края</w:t>
      </w:r>
      <w:bookmarkEnd w:id="66"/>
      <w:bookmarkEnd w:id="67"/>
      <w:r>
        <w:rPr/>
        <w:t>.</w:t>
      </w:r>
    </w:p>
    <w:p>
      <w:pPr>
        <w:pStyle w:val="Style28"/>
        <w:ind w:left="1134" w:hanging="0"/>
        <w:rPr/>
      </w:pPr>
      <w:r>
        <w:rPr/>
        <w:t>Закупочная комиссия определяется в соответствии с Положением о закупке.</w:t>
      </w:r>
    </w:p>
    <w:p>
      <w:pPr>
        <w:pStyle w:val="Style23"/>
        <w:rPr/>
      </w:pPr>
      <w:bookmarkStart w:id="68" w:name="_Toc228877677"/>
      <w:r>
        <w:rPr/>
        <w:t>Особые положения при проведении закупки с использованием ЭП</w:t>
      </w:r>
      <w:bookmarkEnd w:id="68"/>
    </w:p>
    <w:p>
      <w:pPr>
        <w:pStyle w:val="Style24"/>
        <w:rPr/>
      </w:pPr>
      <w:r>
        <w:rPr/>
        <w:t>Наименование ЭП, посредством которой проводится закупка, указано в подразделе </w:t>
      </w:r>
      <w:r>
        <w:rPr/>
        <w:fldChar w:fldCharType="begin"/>
      </w:r>
      <w:r>
        <w:rPr/>
        <w:instrText xml:space="preserve"> REF _Ref125359973 \r \h </w:instrText>
      </w:r>
      <w:r>
        <w:rPr/>
        <w:fldChar w:fldCharType="separate"/>
      </w:r>
      <w:r>
        <w:rPr/>
        <w:t>1.2</w:t>
      </w:r>
      <w:r>
        <w:rPr/>
        <w:fldChar w:fldCharType="end"/>
      </w:r>
      <w:r>
        <w:rPr/>
        <w:t>. До подачи заявки Участник обязан ознакомиться с Регламентом ЭП, опубликованными на сайте соответствующей ЭП.</w:t>
      </w:r>
    </w:p>
    <w:p>
      <w:pPr>
        <w:pStyle w:val="Style24"/>
        <w:rPr/>
      </w:pPr>
      <w:r>
        <w:rPr/>
        <w:t>Для участия в закупке Участник должен пройти процедуру регистрации в Едином реестре участников закупок в ЕИС в порядке, предусмотренным Законом 44-ФЗ, т.е. быть зарегистрированным на ЭП. Регистрация осуществляется Федеральным Казначейством, и Организатор (Заказчик) не несет ответственности за результат ее прохождения Участником, в том числе понесенные им затраты.</w:t>
      </w:r>
    </w:p>
    <w:p>
      <w:pPr>
        <w:pStyle w:val="Style24"/>
        <w:rPr/>
      </w:pPr>
      <w:r>
        <w:rPr/>
        <w:t>Правила проведения закупки в том числе определяются Регламентом ЭП.</w:t>
      </w:r>
    </w:p>
    <w:p>
      <w:pPr>
        <w:pStyle w:val="Style24"/>
        <w:rPr/>
      </w:pPr>
      <w:r>
        <w:rPr/>
        <w:t>Обмен всей информацией, связанной с проведением закупки (между Участником, Организатором (Заказчиком) и Оператором ЭП) осуществляется на ЭП в форме электронных документов, подписанных усиленной квалифицированной электронной подписью уполномоченного лица.</w:t>
      </w:r>
    </w:p>
    <w:p>
      <w:pPr>
        <w:pStyle w:val="Style24"/>
        <w:rPr/>
      </w:pPr>
      <w:r>
        <w:rPr/>
        <w:t>Стоимость заявки (цена Договора) и иные условия закупки, указанные Участниками в специальных электронных формах на ЭП, имеют преимущество перед сведениями, указанными в загруженных на ЭП электронных документах.</w:t>
      </w:r>
    </w:p>
    <w:p>
      <w:pPr>
        <w:pStyle w:val="Style23"/>
        <w:rPr/>
      </w:pPr>
      <w:bookmarkStart w:id="69" w:name="_Toc228877678"/>
      <w:r>
        <w:rPr/>
        <w:t>Прочие положения</w:t>
      </w:r>
      <w:bookmarkEnd w:id="69"/>
    </w:p>
    <w:p>
      <w:pPr>
        <w:pStyle w:val="Style24"/>
        <w:rPr/>
      </w:pPr>
      <w:r>
        <w:rPr/>
        <w:t>Заказчик, Организатор и Оператор ЭП обеспечивают 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законодательством или Документацией о закупке.</w:t>
      </w:r>
    </w:p>
    <w:p>
      <w:pPr>
        <w:pStyle w:val="Style24"/>
        <w:rPr/>
      </w:pPr>
      <w:r>
        <w:rPr/>
        <w:t>Организатор (по решению Закупочной комиссии), вправе отклонить заявку, если будет установлено, что Участник каким-либо способом повлиял на рассмотрение заявок, их оценку и сопоставление, подведение итогов закупки (определение Победителя), в том числе прямо или косвенно дал, согласился дать или предложил работнику Организатора, Заказчика, члену Закупочной комиссии или эксперту, осуществлявшему экспертизу заявок, вознаграждение в любой форме: работу, услугу, какую-либо ценность в качестве стимула, и (или) оказал каким-либо иным образом давление на указанных лиц.</w:t>
      </w:r>
    </w:p>
    <w:p>
      <w:pPr>
        <w:pStyle w:val="Style24"/>
        <w:rPr/>
      </w:pPr>
      <w:r>
        <w:rPr/>
        <w:t>С целью предупреждения и противодействия противоправным действиям в Группе РусГидро организована круглосуточная «Линия доверия», обратиться на которую можно по телефону +7 (495) 785 09 37 (круглосуточно), или заполнив соответствующую форму на корпоративном сайте ПАО «РусГидро», вкладка «Линия доверия».</w:t>
      </w:r>
    </w:p>
    <w:p>
      <w:pPr>
        <w:pStyle w:val="Style22"/>
        <w:rPr/>
      </w:pPr>
      <w:bookmarkStart w:id="70" w:name="_Ref125361210"/>
      <w:bookmarkStart w:id="71" w:name="_Toc228877679"/>
      <w:r>
        <w:rPr/>
        <w:t>Требования к Участникам</w:t>
      </w:r>
      <w:bookmarkEnd w:id="70"/>
      <w:bookmarkEnd w:id="71"/>
    </w:p>
    <w:p>
      <w:pPr>
        <w:pStyle w:val="Style23"/>
        <w:rPr/>
      </w:pPr>
      <w:bookmarkStart w:id="72" w:name="_Ref127524530"/>
      <w:bookmarkStart w:id="73" w:name="_Toc228877680"/>
      <w:r>
        <w:rPr/>
        <w:t>Общие требования к Участникам</w:t>
      </w:r>
      <w:bookmarkEnd w:id="72"/>
      <w:bookmarkEnd w:id="73"/>
    </w:p>
    <w:p>
      <w:pPr>
        <w:pStyle w:val="Style24"/>
        <w:rPr/>
      </w:pPr>
      <w:bookmarkStart w:id="74" w:name="_Ref125361514"/>
      <w:r>
        <w:rPr/>
        <w:t>Из лиц, указанных в подразделе </w:t>
      </w:r>
      <w:r>
        <w:rPr/>
        <w:fldChar w:fldCharType="begin"/>
      </w:r>
      <w:r>
        <w:rPr/>
        <w:instrText xml:space="preserve"> REF _Ref125359973 \r \h </w:instrText>
      </w:r>
      <w:r>
        <w:rPr/>
        <w:fldChar w:fldCharType="separate"/>
      </w:r>
      <w:r>
        <w:rPr/>
        <w:t>1.2</w:t>
      </w:r>
      <w:r>
        <w:rPr/>
        <w:fldChar w:fldCharType="end"/>
      </w:r>
      <w:r>
        <w:rPr/>
        <w:t>, участвовать в закупке может любое юридическое / физическое лицо (в том числе индивидуальный предприниматель), независимо от их организационно-правовой формы, формы собственности, места нахождения и места происхождения капитала. Исключение составляют юридические / физические лица, являющиеся иностранным агентом в соответствии с Законом 255-ФЗ – они не могут быть Участником.</w:t>
      </w:r>
      <w:bookmarkEnd w:id="74"/>
    </w:p>
    <w:p>
      <w:pPr>
        <w:pStyle w:val="Style24"/>
        <w:rPr/>
      </w:pPr>
      <w:r>
        <w:rPr/>
        <w:t>Однако, чтобы претендовать на победу в закупке Участник должен отвечать требованиям, установленным в Документации о закупке.</w:t>
      </w:r>
    </w:p>
    <w:p>
      <w:pPr>
        <w:pStyle w:val="Style24"/>
        <w:rPr/>
      </w:pPr>
      <w:r>
        <w:rPr/>
        <w:t xml:space="preserve">Требования к Участникам установлены с учетом предмета договора, </w:t>
      </w:r>
      <w:hyperlink w:anchor="Прил01_ТехТребования">
        <w:r>
          <w:rPr>
            <w:rStyle w:val="Style11"/>
          </w:rPr>
          <w:t>Технических требований (Приложение № 1)</w:t>
        </w:r>
      </w:hyperlink>
      <w:r>
        <w:rPr/>
        <w:t xml:space="preserve"> и </w:t>
      </w:r>
      <w:hyperlink w:anchor="Прил02_ПроектДоговора">
        <w:r>
          <w:rPr>
            <w:rStyle w:val="Style11"/>
          </w:rPr>
          <w:t>Проекта договора (Приложение № 2)</w:t>
        </w:r>
      </w:hyperlink>
      <w:r>
        <w:rPr/>
        <w:t>. 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национальный режим не предоставляется, то требования к Участникам (в части страны его регистрации) также могут быть установлены в Структуре НМЦ (в составе Коммерческого предложения (форма 3) (</w:t>
      </w:r>
      <w:hyperlink w:anchor="Прил04_ФормыЗаявки">
        <w:r>
          <w:rPr>
            <w:rStyle w:val="Style11"/>
          </w:rPr>
          <w:t>Приложение № 4</w:t>
        </w:r>
      </w:hyperlink>
      <w:r>
        <w:rPr/>
        <w:t>)).</w:t>
      </w:r>
    </w:p>
    <w:p>
      <w:pPr>
        <w:pStyle w:val="Style24"/>
        <w:keepNext w:val="true"/>
        <w:rPr/>
      </w:pPr>
      <w:r>
        <w:rPr/>
        <w:t>Установлены следующие требования к Участникам, которые приведены в </w:t>
      </w:r>
      <w:hyperlink w:anchor="Прил03_ТребованияУчастникам">
        <w:r>
          <w:rPr>
            <w:rStyle w:val="Style11"/>
          </w:rPr>
          <w:t>Приложении № 3</w:t>
        </w:r>
      </w:hyperlink>
      <w:r>
        <w:rPr/>
        <w:t>:</w:t>
      </w:r>
    </w:p>
    <w:p>
      <w:pPr>
        <w:pStyle w:val="Style25"/>
        <w:rPr/>
      </w:pPr>
      <w:r>
        <w:rPr/>
        <w:t>обязательные требования (подраздел </w:t>
      </w:r>
      <w:r>
        <w:rPr/>
        <w:fldChar w:fldCharType="begin"/>
      </w:r>
      <w:r>
        <w:rPr/>
        <w:instrText xml:space="preserve"> REF _Ref125361435 \r \h </w:instrText>
      </w:r>
      <w:r>
        <w:rPr/>
        <w:fldChar w:fldCharType="separate"/>
      </w:r>
      <w:r>
        <w:rPr/>
        <w:t>8.2</w:t>
      </w:r>
      <w:r>
        <w:rPr/>
        <w:fldChar w:fldCharType="end"/>
      </w:r>
      <w:r>
        <w:rPr/>
        <w:t>) – Участники должны им соответствовать;</w:t>
      </w:r>
    </w:p>
    <w:p>
      <w:pPr>
        <w:pStyle w:val="Style25"/>
        <w:rPr/>
      </w:pPr>
      <w:r>
        <w:rPr/>
        <w:t>специальные требования – Участники должны им соответствовать, если они установлены (подраздел </w:t>
      </w:r>
      <w:r>
        <w:rPr/>
        <w:fldChar w:fldCharType="begin"/>
      </w:r>
      <w:r>
        <w:rPr/>
        <w:instrText xml:space="preserve"> REF _Ref125709153 \r \h </w:instrText>
      </w:r>
      <w:r>
        <w:rPr/>
        <w:fldChar w:fldCharType="separate"/>
      </w:r>
      <w:r>
        <w:rPr/>
        <w:t>8.3</w:t>
      </w:r>
      <w:r>
        <w:rPr/>
        <w:fldChar w:fldCharType="end"/>
      </w:r>
      <w:r>
        <w:rPr/>
        <w:t>).</w:t>
      </w:r>
    </w:p>
    <w:p>
      <w:pPr>
        <w:pStyle w:val="Style24"/>
        <w:keepNext w:val="true"/>
        <w:rPr/>
      </w:pPr>
      <w:r>
        <w:rPr/>
        <w:t>В рамках требований к Участникам могут быть установлены дополнительные требования к Генеральным подрядчикам (подраздел </w:t>
      </w:r>
      <w:r>
        <w:rPr/>
        <w:fldChar w:fldCharType="begin"/>
      </w:r>
      <w:r>
        <w:rPr/>
        <w:instrText xml:space="preserve"> REF _Ref125361702 \r \h </w:instrText>
      </w:r>
      <w:r>
        <w:rPr/>
        <w:fldChar w:fldCharType="separate"/>
      </w:r>
      <w:r>
        <w:rPr/>
        <w:t>3.2</w:t>
      </w:r>
      <w:r>
        <w:rPr/>
        <w:fldChar w:fldCharType="end"/>
      </w:r>
      <w:r>
        <w:rPr/>
        <w:t>).</w:t>
      </w:r>
    </w:p>
    <w:p>
      <w:pPr>
        <w:pStyle w:val="Style24"/>
        <w:rPr/>
      </w:pPr>
      <w:bookmarkStart w:id="75" w:name="_Ref125361969"/>
      <w:bookmarkStart w:id="76" w:name="_Ref125361976"/>
      <w:bookmarkEnd w:id="75"/>
      <w:bookmarkEnd w:id="76"/>
      <w:r>
        <w:rPr/>
        <w:t xml:space="preserve">Для подтверждения соответствия установленным требованиям Участник обязан приложить в составе заявки документы, перечисленные в </w:t>
      </w:r>
      <w:hyperlink w:anchor="Прил03_ТребованияУчастникам">
        <w:r>
          <w:rPr>
            <w:rStyle w:val="Style11"/>
          </w:rPr>
          <w:t>Требованиях к Участникам (Приложение № 3)</w:t>
        </w:r>
      </w:hyperlink>
      <w:r>
        <w:rPr/>
        <w:t xml:space="preserve">, </w:t>
      </w:r>
      <w:bookmarkStart w:id="77" w:name="_Hlk132706049"/>
      <w:r>
        <w:rPr/>
        <w:t>если иное не установлено в Документации о закупке</w:t>
      </w:r>
      <w:bookmarkEnd w:id="77"/>
      <w:r>
        <w:rPr/>
        <w:t>.</w:t>
      </w:r>
    </w:p>
    <w:p>
      <w:pPr>
        <w:pStyle w:val="Style23"/>
        <w:rPr/>
      </w:pPr>
      <w:bookmarkStart w:id="78" w:name="_Ref125361702"/>
      <w:bookmarkStart w:id="79" w:name="_Toc228877681"/>
      <w:bookmarkStart w:id="80" w:name="_Toc224743781"/>
      <w:bookmarkStart w:id="81" w:name="_Toc224743782"/>
      <w:bookmarkStart w:id="82" w:name="_Toc224743783"/>
      <w:bookmarkStart w:id="83" w:name="_Toc224743784"/>
      <w:bookmarkStart w:id="84" w:name="_Toc224743785"/>
      <w:bookmarkStart w:id="85" w:name="_Toc224743786"/>
      <w:bookmarkStart w:id="86" w:name="_Toc224743787"/>
      <w:bookmarkStart w:id="87" w:name="_Toc224743788"/>
      <w:bookmarkStart w:id="88" w:name="_Toc224743789"/>
      <w:bookmarkStart w:id="89" w:name="_Toc224743790"/>
      <w:bookmarkStart w:id="90" w:name="_Toc224743791"/>
      <w:bookmarkStart w:id="91" w:name="_Toc224743792"/>
      <w:bookmarkStart w:id="92" w:name="_Toc224743793"/>
      <w:bookmarkStart w:id="93" w:name="_Toc224743794"/>
      <w:bookmarkStart w:id="94" w:name="_Toc224743795"/>
      <w:bookmarkStart w:id="95" w:name="_Toc224743796"/>
      <w:bookmarkStart w:id="96" w:name="_Toc224743797"/>
      <w:bookmarkStart w:id="97" w:name="_Toc224743798"/>
      <w:bookmarkStart w:id="98" w:name="_Toc224743799"/>
      <w:bookmarkStart w:id="99" w:name="_Toc224743800"/>
      <w:bookmarkStart w:id="100" w:name="_Toc224743801"/>
      <w:bookmarkStart w:id="101" w:name="_Ref125361969_Копия_1"/>
      <w:bookmarkStart w:id="102" w:name="_Ref125361976_Копия_1"/>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Pr/>
        <w:t>Генеральные подрядчики</w:t>
      </w:r>
      <w:bookmarkEnd w:id="78"/>
      <w:bookmarkEnd w:id="79"/>
    </w:p>
    <w:p>
      <w:pPr>
        <w:pStyle w:val="Style24"/>
        <w:rPr/>
      </w:pPr>
      <w:r>
        <w:rPr/>
        <w:t>Нормы настоящего подраздела применяются только,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предусмотрены рассмотрение и оценка заявок Участников с учетом привлекаемых субподрядчиков.</w:t>
      </w:r>
    </w:p>
    <w:p>
      <w:pPr>
        <w:pStyle w:val="Style24"/>
        <w:rPr/>
      </w:pPr>
      <w:r>
        <w:rPr/>
        <w:t>Если заявка подается Участником от лица Генерального подрядчика, дополнительно должны быть выполнены требования настоящего подраздела, а также требования к дополнительным документам, предоставляемым таким Участником в составе заявки, установленные в подразделе </w:t>
      </w:r>
      <w:r>
        <w:rPr/>
        <w:fldChar w:fldCharType="begin"/>
      </w:r>
      <w:r>
        <w:rPr/>
        <w:instrText xml:space="preserve"> REF _Ref125709777 \r \h </w:instrText>
      </w:r>
      <w:r>
        <w:rPr/>
        <w:fldChar w:fldCharType="separate"/>
      </w:r>
      <w:r>
        <w:rPr/>
        <w:t>8.4</w:t>
      </w:r>
      <w:r>
        <w:rPr/>
        <w:fldChar w:fldCharType="end"/>
      </w:r>
      <w:r>
        <w:rPr/>
        <w:t xml:space="preserve"> </w:t>
      </w:r>
      <w:hyperlink w:anchor="Прил03_ТребованияУчастникам">
        <w:r>
          <w:rPr>
            <w:rStyle w:val="Style11"/>
          </w:rPr>
          <w:t>Требований к Участникам (Приложение № 3)</w:t>
        </w:r>
      </w:hyperlink>
      <w:r>
        <w:rPr/>
        <w:t>.</w:t>
      </w:r>
    </w:p>
    <w:p>
      <w:pPr>
        <w:pStyle w:val="Style24"/>
        <w:keepNext w:val="true"/>
        <w:rPr/>
      </w:pPr>
      <w:r>
        <w:rPr/>
        <w:t>Генеральный подрядчик:</w:t>
      </w:r>
    </w:p>
    <w:p>
      <w:pPr>
        <w:pStyle w:val="Style25"/>
        <w:rPr/>
      </w:pPr>
      <w:r>
        <w:rPr/>
        <w:t>должен самостоятельно отвечать всем обязательным требованиям к Участникам (подраздел </w:t>
      </w:r>
      <w:r>
        <w:rPr/>
        <w:fldChar w:fldCharType="begin"/>
      </w:r>
      <w:r>
        <w:rPr/>
        <w:instrText xml:space="preserve"> REF _Ref125361435 \r \h </w:instrText>
      </w:r>
      <w:r>
        <w:rPr/>
        <w:fldChar w:fldCharType="separate"/>
      </w:r>
      <w:r>
        <w:rPr/>
        <w:t>8.2</w:t>
      </w:r>
      <w:r>
        <w:rPr/>
        <w:fldChar w:fldCharType="end"/>
      </w:r>
      <w:r>
        <w:rPr/>
        <w:t>);</w:t>
      </w:r>
    </w:p>
    <w:p>
      <w:pPr>
        <w:pStyle w:val="Style25"/>
        <w:rPr/>
      </w:pPr>
      <w:r>
        <w:rPr/>
        <w:t>в рамках специальных требований (подраздел </w:t>
      </w:r>
      <w:r>
        <w:rPr/>
        <w:fldChar w:fldCharType="begin"/>
      </w:r>
      <w:r>
        <w:rPr/>
        <w:instrText xml:space="preserve"> REF _Ref125709153 \r \h </w:instrText>
      </w:r>
      <w:r>
        <w:rPr/>
        <w:fldChar w:fldCharType="separate"/>
      </w:r>
      <w:r>
        <w:rPr/>
        <w:t>8.3</w:t>
      </w:r>
      <w:r>
        <w:rPr/>
        <w:fldChar w:fldCharType="end"/>
      </w:r>
      <w:r>
        <w:rPr/>
        <w:t>), касающихся членства в саморегулируемых организациях (в случае их установления), должен иметь соответствующее членство с учетом требований законодательства к такому членству;</w:t>
      </w:r>
    </w:p>
    <w:p>
      <w:pPr>
        <w:pStyle w:val="Style25"/>
        <w:rPr/>
      </w:pPr>
      <w:r>
        <w:rPr/>
        <w:t>в рамках остальных специальных требований (в случае их установления) должен отвечать им только в части объема поставки продукции, который ему предполагается поручить в соответствии с представленным в Техническом предложении Планом распределения объемов поставки продукции (форма 4) (</w:t>
      </w:r>
      <w:hyperlink w:anchor="Прил04_ФормыЗаявки">
        <w:r>
          <w:rPr>
            <w:rStyle w:val="Style11"/>
          </w:rPr>
          <w:t>Приложение № 4</w:t>
        </w:r>
      </w:hyperlink>
      <w:r>
        <w:rPr/>
        <w:t>).</w:t>
      </w:r>
    </w:p>
    <w:p>
      <w:pPr>
        <w:pStyle w:val="Style24"/>
        <w:keepNext w:val="true"/>
        <w:rPr/>
      </w:pPr>
      <w:r>
        <w:rPr/>
        <w:t>Каждый субподрядчик из привлекаемых Генеральным подрядчиком должен отвечать:</w:t>
      </w:r>
    </w:p>
    <w:p>
      <w:pPr>
        <w:pStyle w:val="Style25"/>
        <w:rPr/>
      </w:pPr>
      <w:r>
        <w:rPr/>
        <w:t>обязательным требованиям (подраздел </w:t>
      </w:r>
      <w:r>
        <w:rPr/>
        <w:fldChar w:fldCharType="begin"/>
      </w:r>
      <w:r>
        <w:rPr/>
        <w:instrText xml:space="preserve"> REF _Ref125361435 \r \h </w:instrText>
      </w:r>
      <w:r>
        <w:rPr/>
        <w:fldChar w:fldCharType="separate"/>
      </w:r>
      <w:r>
        <w:rPr/>
        <w:t>8.2</w:t>
      </w:r>
      <w:r>
        <w:rPr/>
        <w:fldChar w:fldCharType="end"/>
      </w:r>
      <w:r>
        <w:rPr/>
        <w:t>);</w:t>
      </w:r>
    </w:p>
    <w:p>
      <w:pPr>
        <w:pStyle w:val="Style25"/>
        <w:rPr/>
      </w:pPr>
      <w:r>
        <w:rPr/>
        <w:t>специальным требованиям (подраздел </w:t>
      </w:r>
      <w:r>
        <w:rPr/>
        <w:fldChar w:fldCharType="begin"/>
      </w:r>
      <w:r>
        <w:rPr/>
        <w:instrText xml:space="preserve"> REF _Ref125709153 \r \h </w:instrText>
      </w:r>
      <w:r>
        <w:rPr/>
        <w:fldChar w:fldCharType="separate"/>
      </w:r>
      <w:r>
        <w:rPr/>
        <w:t>8.3</w:t>
      </w:r>
      <w:r>
        <w:rPr/>
        <w:fldChar w:fldCharType="end"/>
      </w:r>
      <w:r>
        <w:rPr/>
        <w:t>) (в случае их установления), за исключением требования о наличии членства в саморегулируемых организациях.</w:t>
      </w:r>
    </w:p>
    <w:p>
      <w:pPr>
        <w:pStyle w:val="Style28"/>
        <w:ind w:left="1134" w:hanging="0"/>
        <w:rPr/>
      </w:pPr>
      <w:bookmarkStart w:id="103" w:name="_Ref125368863"/>
      <w:r>
        <w:rPr/>
        <w:t xml:space="preserve">При этом соответствовать специальным требованиям субподрядчик должен только в части объема поставки продукции, который ему </w:t>
      </w:r>
      <w:bookmarkEnd w:id="103"/>
      <w:r>
        <w:rPr/>
        <w:t>поручен в соответствии с представленным в Техническом предложении Планом распределения объемов поставки продукции (форма 4) (</w:t>
      </w:r>
      <w:hyperlink w:anchor="Прил04_ФормыЗаявки">
        <w:r>
          <w:rPr>
            <w:rStyle w:val="Style11"/>
          </w:rPr>
          <w:t>Приложение № 4</w:t>
        </w:r>
      </w:hyperlink>
      <w:r>
        <w:rPr/>
        <w:t>).</w:t>
      </w:r>
    </w:p>
    <w:p>
      <w:pPr>
        <w:pStyle w:val="Style24"/>
        <w:rPr/>
      </w:pPr>
      <w:r>
        <w:rPr/>
        <w:t xml:space="preserve">При оценке и сопоставлении заявки Генерального подрядчика по квалификационным критериям (если они установлены в </w:t>
      </w:r>
      <w:hyperlink w:anchor="Прил08_ПорядокОценки">
        <w:r>
          <w:rPr>
            <w:rStyle w:val="Style11"/>
          </w:rPr>
          <w:t>Порядке и критериях оценки и сопоставления заявок (Приложение № 8)</w:t>
        </w:r>
      </w:hyperlink>
      <w:r>
        <w:rPr/>
        <w:t>) количественные параметры деятельности Генерального подрядчика и субподрядчиков суммируются (наличие требуемого опыта, обеспеченность материально-техническими ресурсами и кадровыми ресурсами).</w:t>
      </w:r>
    </w:p>
    <w:p>
      <w:pPr>
        <w:pStyle w:val="Style24"/>
        <w:rPr/>
      </w:pPr>
      <w:bookmarkStart w:id="104" w:name="_Ref125361799"/>
      <w:r>
        <w:rPr/>
        <w:t>Любое юридическое или физическое лицо (в том числе индивидуальный предприниматель) может являться субподрядчиком у произвольного числа Генеральных подрядчиков, а также имеет право самостоятельно принимать участие в закупке. Каждый Генеральный подрядчик может подать только одну заявку и не может быть субподрядчиком у других Генеральных подрядчиков. В случае невыполнения этих требований заявки с участием таких лиц будут отклонены.</w:t>
      </w:r>
      <w:bookmarkEnd w:id="104"/>
    </w:p>
    <w:p>
      <w:pPr>
        <w:sectPr>
          <w:headerReference w:type="default" r:id="rId7"/>
          <w:footerReference w:type="default" r:id="rId8"/>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4"/>
        <w:rPr/>
      </w:pPr>
      <w:r>
        <w:rPr/>
        <w:t>Если подразделом </w:t>
      </w:r>
      <w:r>
        <w:rPr/>
        <w:fldChar w:fldCharType="begin"/>
      </w:r>
      <w:r>
        <w:rPr/>
        <w:instrText xml:space="preserve"> REF _Ref125359973 \r \h </w:instrText>
      </w:r>
      <w:r>
        <w:rPr/>
        <w:fldChar w:fldCharType="separate"/>
      </w:r>
      <w:r>
        <w:rPr/>
        <w:t>1.2</w:t>
      </w:r>
      <w:r>
        <w:rPr/>
        <w:fldChar w:fldCharType="end"/>
      </w:r>
      <w:r>
        <w:rPr/>
        <w:t xml:space="preserve"> не предусмотрены рассмотрение и оценка заявок Участников с учетом привлекаемых субподрядчиков, то при рассмотрении и оценке заявок к учету принимаются исключительно сведения о самом Участнике, в связи с чем Участник не обязан предоставлять документы на привлекаемых им субподрядчиков, указанные в подразделе </w:t>
      </w:r>
      <w:r>
        <w:rPr/>
        <w:fldChar w:fldCharType="begin"/>
      </w:r>
      <w:r>
        <w:rPr/>
        <w:instrText xml:space="preserve"> REF _Ref125709973 \r \h </w:instrText>
      </w:r>
      <w:r>
        <w:rPr/>
        <w:fldChar w:fldCharType="separate"/>
      </w:r>
      <w:r>
        <w:rPr/>
        <w:t>8.4</w:t>
      </w:r>
      <w:r>
        <w:rPr/>
        <w:fldChar w:fldCharType="end"/>
      </w:r>
      <w:r>
        <w:rPr/>
        <w:t xml:space="preserve"> </w:t>
      </w:r>
      <w:hyperlink w:anchor="Прил03_ТребованияУчастникам">
        <w:r>
          <w:rPr>
            <w:rStyle w:val="Style11"/>
          </w:rPr>
          <w:t>Требований к Участникам (Приложение № 3)</w:t>
        </w:r>
      </w:hyperlink>
      <w:r>
        <w:rPr/>
        <w:t>. Ответственность за соответствие в ходе исполнения обязательств по Договору привлекаемых субподрядчиков требованиям Документации о закупке в этом случае возлагается на самого Участника.</w:t>
      </w:r>
    </w:p>
    <w:p>
      <w:pPr>
        <w:pStyle w:val="Style22"/>
        <w:rPr/>
      </w:pPr>
      <w:bookmarkStart w:id="105" w:name="_Ref125361211"/>
      <w:bookmarkStart w:id="106" w:name="_Ref125367098"/>
      <w:bookmarkStart w:id="107" w:name="_Ref125367107"/>
      <w:bookmarkStart w:id="108" w:name="_Ref125367974"/>
      <w:bookmarkStart w:id="109" w:name="_Toc228877682"/>
      <w:r>
        <w:rPr/>
        <w:t>Порядок проведения закупки</w:t>
      </w:r>
      <w:bookmarkEnd w:id="105"/>
      <w:bookmarkEnd w:id="106"/>
      <w:bookmarkEnd w:id="107"/>
      <w:bookmarkEnd w:id="108"/>
      <w:bookmarkEnd w:id="109"/>
    </w:p>
    <w:p>
      <w:pPr>
        <w:pStyle w:val="Style23"/>
        <w:rPr/>
      </w:pPr>
      <w:bookmarkStart w:id="110" w:name="_Ref126141932"/>
      <w:bookmarkStart w:id="111" w:name="_Toc228877683"/>
      <w:r>
        <w:rPr/>
        <w:t>Общий порядок проведения закупки</w:t>
      </w:r>
      <w:bookmarkEnd w:id="110"/>
      <w:bookmarkEnd w:id="111"/>
    </w:p>
    <w:p>
      <w:pPr>
        <w:pStyle w:val="Style24"/>
        <w:keepNext w:val="true"/>
        <w:spacing w:before="120" w:after="120"/>
        <w:rPr/>
      </w:pPr>
      <w:r>
        <w:rPr/>
        <w:t>Закупка проводится в следующем порядке:</w:t>
      </w:r>
    </w:p>
    <w:tbl>
      <w:tblPr>
        <w:tblStyle w:val="af9"/>
        <w:tblW w:w="14007" w:type="dxa"/>
        <w:jc w:val="left"/>
        <w:tblInd w:w="1129" w:type="dxa"/>
        <w:tblLayout w:type="fixed"/>
        <w:tblCellMar>
          <w:top w:w="0" w:type="dxa"/>
          <w:left w:w="0" w:type="dxa"/>
          <w:bottom w:w="0" w:type="dxa"/>
          <w:right w:w="5" w:type="dxa"/>
        </w:tblCellMar>
        <w:tblLook w:val="04a0" w:noVBand="1" w:noHBand="0" w:lastColumn="0" w:firstColumn="1" w:lastRow="0" w:firstRow="1"/>
      </w:tblPr>
      <w:tblGrid>
        <w:gridCol w:w="372"/>
        <w:gridCol w:w="2042"/>
        <w:gridCol w:w="1166"/>
        <w:gridCol w:w="3228"/>
        <w:gridCol w:w="2694"/>
        <w:gridCol w:w="2269"/>
        <w:gridCol w:w="2235"/>
      </w:tblGrid>
      <w:tr>
        <w:trPr>
          <w:cnfStyle w:val="100000000000" w:firstRow="1" w:lastRow="0" w:firstColumn="0" w:lastColumn="0" w:oddVBand="0" w:evenVBand="0" w:oddHBand="0" w:evenHBand="0" w:firstRowFirstColumn="0" w:firstRowLastColumn="0" w:lastRowFirstColumn="0" w:lastRowLastColumn="0"/>
        </w:trPr>
        <w:tc>
          <w:tcPr>
            <w:tcW w:w="372" w:type="dxa"/>
            <w:tcBorders>
              <w:left w:val="nil"/>
            </w:tcBorders>
            <w:vAlign w:val="bottom"/>
          </w:tcPr>
          <w:p>
            <w:pPr>
              <w:pStyle w:val="Style28"/>
              <w:keepNext w:val="true"/>
              <w:keepLines w:val="false"/>
              <w:widowControl w:val="false"/>
              <w:suppressAutoHyphens w:val="true"/>
              <w:spacing w:before="40" w:after="40"/>
              <w:jc w:val="center"/>
              <w:rPr>
                <w:b w:val="false"/>
                <w:bCs/>
                <w:sz w:val="24"/>
                <w:szCs w:val="24"/>
              </w:rPr>
            </w:pPr>
            <w:r>
              <w:rPr>
                <w:rFonts w:eastAsia="Wingdings 3" w:cs="Wingdings 3" w:ascii="Wingdings 3" w:hAnsi="Wingdings 3"/>
                <w:b w:val="false"/>
                <w:bCs/>
                <w:kern w:val="0"/>
                <w:sz w:val="24"/>
                <w:szCs w:val="24"/>
                <w:lang w:val="ru-RU" w:eastAsia="en-US" w:bidi="ar-SA"/>
              </w:rPr>
              <w:sym w:font="Wingdings 3" w:char="f0d4"/>
            </w:r>
          </w:p>
        </w:tc>
        <w:tc>
          <w:tcPr>
            <w:tcW w:w="13634" w:type="dxa"/>
            <w:gridSpan w:val="6"/>
            <w:tcBorders>
              <w:right w:val="nil"/>
            </w:tcBorders>
          </w:tcPr>
          <w:p>
            <w:pPr>
              <w:pStyle w:val="Style28"/>
              <w:keepNext w:val="true"/>
              <w:keepLines w:val="false"/>
              <w:widowControl w:val="false"/>
              <w:suppressAutoHyphens w:val="true"/>
              <w:spacing w:before="40" w:after="40"/>
              <w:jc w:val="center"/>
              <w:rPr>
                <w:b w:val="false"/>
                <w:bCs/>
                <w:sz w:val="24"/>
                <w:szCs w:val="24"/>
              </w:rPr>
            </w:pPr>
            <w:r>
              <w:rPr>
                <w:rFonts w:eastAsia="Calibri" w:cs=""/>
                <w:b/>
                <w:bCs/>
                <w:kern w:val="0"/>
                <w:sz w:val="24"/>
                <w:szCs w:val="24"/>
                <w:lang w:val="ru-RU" w:eastAsia="en-US" w:bidi="ar-SA"/>
              </w:rPr>
              <w:t>Официальное размещение Извещения и Документации о закупке (подраздел </w:t>
            </w:r>
            <w:r>
              <w:rPr>
                <w:rFonts w:eastAsia="Calibri" w:cs=""/>
                <w:b/>
                <w:bCs/>
                <w:kern w:val="0"/>
                <w:sz w:val="24"/>
                <w:szCs w:val="24"/>
                <w:lang w:val="ru-RU" w:eastAsia="en-US" w:bidi="ar-SA"/>
              </w:rPr>
              <w:fldChar w:fldCharType="begin"/>
            </w:r>
            <w:r>
              <w:rPr>
                <w:sz w:val="24"/>
                <w:b/>
                <w:kern w:val="0"/>
                <w:szCs w:val="24"/>
                <w:bCs/>
                <w:rFonts w:eastAsia="Calibri" w:cs=""/>
                <w:lang w:val="ru-RU" w:eastAsia="en-US" w:bidi="ar-SA"/>
              </w:rPr>
              <w:instrText xml:space="preserve"> REF _Ref130286532 \r \h </w:instrText>
            </w:r>
            <w:r>
              <w:rPr>
                <w:sz w:val="24"/>
                <w:b/>
                <w:kern w:val="0"/>
                <w:szCs w:val="24"/>
                <w:bCs/>
                <w:rFonts w:eastAsia="Calibri" w:cs=""/>
                <w:lang w:val="ru-RU" w:eastAsia="en-US" w:bidi="ar-SA"/>
              </w:rPr>
              <w:fldChar w:fldCharType="separate"/>
            </w:r>
            <w:r>
              <w:rPr>
                <w:sz w:val="24"/>
                <w:b/>
                <w:kern w:val="0"/>
                <w:szCs w:val="24"/>
                <w:bCs/>
                <w:rFonts w:eastAsia="Calibri" w:cs=""/>
                <w:lang w:val="ru-RU" w:eastAsia="en-US" w:bidi="ar-SA"/>
              </w:rPr>
              <w:t>4.2</w:t>
            </w:r>
            <w:r>
              <w:rPr>
                <w:sz w:val="24"/>
                <w:b/>
                <w:kern w:val="0"/>
                <w:szCs w:val="24"/>
                <w:bCs/>
                <w:rFonts w:eastAsia="Calibri" w:cs=""/>
                <w:lang w:val="ru-RU" w:eastAsia="en-US" w:bidi="ar-SA"/>
              </w:rPr>
              <w:fldChar w:fldCharType="end"/>
            </w:r>
            <w:r>
              <w:rPr>
                <w:rFonts w:eastAsia="Calibri" w:cs=""/>
                <w:b/>
                <w:bCs/>
                <w:kern w:val="0"/>
                <w:sz w:val="24"/>
                <w:szCs w:val="24"/>
                <w:lang w:val="ru-RU" w:eastAsia="en-US" w:bidi="ar-SA"/>
              </w:rPr>
              <w:t>)</w:t>
            </w:r>
          </w:p>
        </w:tc>
      </w:tr>
      <w:tr>
        <w:trPr/>
        <w:tc>
          <w:tcPr>
            <w:tcW w:w="372" w:type="dxa"/>
            <w:tcBorders>
              <w:left w:val="nil"/>
            </w:tcBorders>
            <w:vAlign w:val="bottom"/>
          </w:tcPr>
          <w:p>
            <w:pPr>
              <w:pStyle w:val="Style28"/>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6436" w:type="dxa"/>
            <w:gridSpan w:val="3"/>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Подготовка заявки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_Ref130281199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94" w:type="dxa"/>
            <w:vMerge w:val="restart"/>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Предоставление разъяснений положений Документации о закупке</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_Ref130394205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69" w:type="dxa"/>
            <w:vMerge w:val="restart"/>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Внесение изменений в Извещение и (или) Документацию о закупке</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_Ref125362076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4.5</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35" w:type="dxa"/>
            <w:vMerge w:val="restart"/>
            <w:tcBorders>
              <w:right w:val="nil"/>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Отказ от проведения закупки (отмена закупки)</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_Ref132816134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4.17</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r>
        <w:trPr/>
        <w:tc>
          <w:tcPr>
            <w:tcW w:w="372" w:type="dxa"/>
            <w:tcBorders>
              <w:left w:val="nil"/>
            </w:tcBorders>
            <w:vAlign w:val="bottom"/>
          </w:tcPr>
          <w:p>
            <w:pPr>
              <w:pStyle w:val="Style28"/>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2042" w:type="dxa"/>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Подача заявок и их прием</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_Ref125362119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4.6</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4394" w:type="dxa"/>
            <w:gridSpan w:val="2"/>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Изменение и отзыв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_Ref125362130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4.7</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694" w:type="dxa"/>
            <w:vMerge w:val="continue"/>
            <w:tcBorders/>
          </w:tcPr>
          <w:p>
            <w:pPr>
              <w:pStyle w:val="Style28"/>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8"/>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8"/>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8"/>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11399" w:type="dxa"/>
            <w:gridSpan w:val="5"/>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Открытие доступа к первым частям заявок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_Ref132816188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4.8</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35" w:type="dxa"/>
            <w:tcBorders>
              <w:bottom w:val="nil"/>
              <w:right w:val="nil"/>
            </w:tcBorders>
          </w:tcPr>
          <w:p>
            <w:pPr>
              <w:pStyle w:val="Style28"/>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8"/>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6436" w:type="dxa"/>
            <w:gridSpan w:val="3"/>
            <w:tcBorders/>
            <w:vAlign w:val="center"/>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Рассмотрение первых частей заявок (отборочная стадия)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_Ref125362364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4.9</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p>
            <w:pPr>
              <w:pStyle w:val="Style28"/>
              <w:widowControl w:val="false"/>
              <w:suppressAutoHyphens w:val="true"/>
              <w:spacing w:before="40" w:after="40"/>
              <w:jc w:val="center"/>
              <w:rPr>
                <w:bCs/>
                <w:sz w:val="24"/>
                <w:szCs w:val="24"/>
              </w:rPr>
            </w:pPr>
            <w:r>
              <w:rPr>
                <w:bCs/>
                <w:sz w:val="24"/>
                <w:szCs w:val="24"/>
              </w:rPr>
            </w:r>
          </w:p>
        </w:tc>
        <w:tc>
          <w:tcPr>
            <w:tcW w:w="2694" w:type="dxa"/>
            <w:vMerge w:val="restart"/>
            <w:tcBorders/>
            <w:vAlign w:val="center"/>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Направление дополнительных запросов разъяснений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_Ref125362381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4.12</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69" w:type="dxa"/>
            <w:vMerge w:val="restart"/>
            <w:tcBorders>
              <w:top w:val="nil"/>
            </w:tcBorders>
            <w:vAlign w:val="center"/>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Признание закупки</w:t>
              <w:br/>
              <w:t>несостоявшейся</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_Ref125364149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4.16</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35" w:type="dxa"/>
            <w:vMerge w:val="restart"/>
            <w:tcBorders>
              <w:top w:val="nil"/>
              <w:right w:val="nil"/>
            </w:tcBorders>
            <w:vAlign w:val="center"/>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Отказ от проведения закупки (отмена закупки) по обстоятельствам непреодолимой силы в соответствии с гражданским законодательством</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_Ref132816141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4.17</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r>
        <w:trPr/>
        <w:tc>
          <w:tcPr>
            <w:tcW w:w="372" w:type="dxa"/>
            <w:tcBorders>
              <w:left w:val="nil"/>
            </w:tcBorders>
            <w:vAlign w:val="bottom"/>
          </w:tcPr>
          <w:p>
            <w:pPr>
              <w:pStyle w:val="Style28"/>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6436" w:type="dxa"/>
            <w:gridSpan w:val="3"/>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Открытие доступа ко вторым частям заявок</w:t>
              <w:br/>
              <w:t>и ценовым предложениям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_Ref132801184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4.10</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94" w:type="dxa"/>
            <w:vMerge w:val="continue"/>
            <w:tcBorders/>
          </w:tcPr>
          <w:p>
            <w:pPr>
              <w:pStyle w:val="Style28"/>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8"/>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8"/>
              <w:widowControl w:val="false"/>
              <w:suppressAutoHyphens w:val="true"/>
              <w:spacing w:before="40" w:after="40"/>
              <w:jc w:val="center"/>
              <w:rPr>
                <w:bCs/>
                <w:sz w:val="24"/>
                <w:szCs w:val="24"/>
              </w:rPr>
            </w:pPr>
            <w:r>
              <w:rPr>
                <w:bCs/>
                <w:sz w:val="24"/>
                <w:szCs w:val="24"/>
              </w:rPr>
            </w:r>
          </w:p>
        </w:tc>
      </w:tr>
      <w:tr>
        <w:trPr>
          <w:trHeight w:val="2376" w:hRule="atLeast"/>
        </w:trPr>
        <w:tc>
          <w:tcPr>
            <w:tcW w:w="372" w:type="dxa"/>
            <w:tcBorders>
              <w:left w:val="nil"/>
            </w:tcBorders>
            <w:vAlign w:val="bottom"/>
          </w:tcPr>
          <w:p>
            <w:pPr>
              <w:pStyle w:val="Style28"/>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3208" w:type="dxa"/>
            <w:gridSpan w:val="2"/>
            <w:tcBorders>
              <w:right w:val="single" w:sz="4" w:space="0" w:color="000000"/>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Рассмотрение вторых частей заявок (отборочная стадия), в том числе (при необходимости) проведение аккредитации,</w:t>
              <w:br/>
              <w:t>и ценовых предложений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_Ref132797154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4.11</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228" w:type="dxa"/>
            <w:tcBorders>
              <w:left w:val="single" w:sz="4" w:space="0" w:color="000000"/>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w:t>
            </w:r>
            <w:r>
              <w:rPr>
                <w:rFonts w:eastAsia="Calibri" w:cs=""/>
                <w:bCs/>
                <w:kern w:val="0"/>
                <w:sz w:val="24"/>
                <w:szCs w:val="24"/>
                <w:u w:val="single"/>
                <w:lang w:val="ru-RU" w:eastAsia="en-US" w:bidi="ar-SA"/>
              </w:rPr>
              <w:t>предоставление национального режима / запрета, ограничения</w:t>
            </w:r>
            <w:r>
              <w:rPr>
                <w:rFonts w:eastAsia="Calibri" w:cs=""/>
                <w:bCs/>
                <w:kern w:val="0"/>
                <w:sz w:val="24"/>
                <w:szCs w:val="24"/>
                <w:lang w:val="ru-RU" w:eastAsia="en-US" w:bidi="ar-SA"/>
              </w:rPr>
              <w:t>)</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_Ref186219943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94" w:type="dxa"/>
            <w:vMerge w:val="continue"/>
            <w:tcBorders/>
          </w:tcPr>
          <w:p>
            <w:pPr>
              <w:pStyle w:val="Style28"/>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8"/>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8"/>
              <w:widowControl w:val="false"/>
              <w:suppressAutoHyphens w:val="true"/>
              <w:spacing w:before="40" w:after="40"/>
              <w:jc w:val="center"/>
              <w:rPr>
                <w:bCs/>
                <w:sz w:val="24"/>
                <w:szCs w:val="24"/>
              </w:rPr>
            </w:pPr>
            <w:r>
              <w:rPr>
                <w:bCs/>
                <w:sz w:val="24"/>
                <w:szCs w:val="24"/>
              </w:rPr>
            </w:r>
          </w:p>
        </w:tc>
      </w:tr>
      <w:tr>
        <w:trPr>
          <w:trHeight w:val="627" w:hRule="atLeast"/>
        </w:trPr>
        <w:tc>
          <w:tcPr>
            <w:tcW w:w="372" w:type="dxa"/>
            <w:tcBorders>
              <w:left w:val="nil"/>
            </w:tcBorders>
            <w:vAlign w:val="bottom"/>
          </w:tcPr>
          <w:p>
            <w:pPr>
              <w:pStyle w:val="Style28"/>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2042" w:type="dxa"/>
            <w:vMerge w:val="restart"/>
            <w:tcBorders/>
            <w:vAlign w:val="center"/>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Оценка и сопоставление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_Ref125362626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4394" w:type="dxa"/>
            <w:gridSpan w:val="2"/>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(в части учета установленного преимущества в цене предложения, если применимо)</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_Ref132816300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94" w:type="dxa"/>
            <w:vMerge w:val="continue"/>
            <w:tcBorders/>
          </w:tcPr>
          <w:p>
            <w:pPr>
              <w:pStyle w:val="Style28"/>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8"/>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8"/>
              <w:widowControl w:val="false"/>
              <w:suppressAutoHyphens w:val="true"/>
              <w:spacing w:before="40" w:after="40"/>
              <w:jc w:val="center"/>
              <w:rPr>
                <w:bCs/>
                <w:sz w:val="24"/>
                <w:szCs w:val="24"/>
              </w:rPr>
            </w:pPr>
            <w:r>
              <w:rPr>
                <w:bCs/>
                <w:sz w:val="24"/>
                <w:szCs w:val="24"/>
              </w:rPr>
            </w:r>
          </w:p>
        </w:tc>
      </w:tr>
      <w:tr>
        <w:trPr>
          <w:trHeight w:val="982" w:hRule="atLeast"/>
        </w:trPr>
        <w:tc>
          <w:tcPr>
            <w:tcW w:w="372" w:type="dxa"/>
            <w:tcBorders>
              <w:left w:val="nil"/>
            </w:tcBorders>
            <w:vAlign w:val="bottom"/>
          </w:tcPr>
          <w:p>
            <w:pPr>
              <w:pStyle w:val="Style28"/>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2042" w:type="dxa"/>
            <w:vMerge w:val="continue"/>
            <w:tcBorders/>
          </w:tcPr>
          <w:p>
            <w:pPr>
              <w:pStyle w:val="Style28"/>
              <w:widowControl w:val="false"/>
              <w:suppressAutoHyphens w:val="true"/>
              <w:spacing w:before="40" w:after="40"/>
              <w:jc w:val="center"/>
              <w:rPr>
                <w:bCs/>
                <w:sz w:val="24"/>
                <w:szCs w:val="24"/>
              </w:rPr>
            </w:pPr>
            <w:r>
              <w:rPr>
                <w:bCs/>
                <w:sz w:val="24"/>
                <w:szCs w:val="24"/>
              </w:rPr>
            </w:r>
          </w:p>
        </w:tc>
        <w:tc>
          <w:tcPr>
            <w:tcW w:w="4394" w:type="dxa"/>
            <w:gridSpan w:val="2"/>
            <w:tcBorders/>
          </w:tcPr>
          <w:p>
            <w:pPr>
              <w:pStyle w:val="Style31"/>
              <w:widowControl w:val="false"/>
              <w:suppressAutoHyphens w:val="true"/>
              <w:spacing w:before="60" w:after="60"/>
              <w:jc w:val="center"/>
              <w:rPr>
                <w:sz w:val="24"/>
                <w:szCs w:val="24"/>
              </w:rPr>
            </w:pPr>
            <w:r>
              <w:rPr>
                <w:sz w:val="24"/>
                <w:szCs w:val="24"/>
              </w:rPr>
            </w:r>
          </w:p>
        </w:tc>
        <w:tc>
          <w:tcPr>
            <w:tcW w:w="2694" w:type="dxa"/>
            <w:vMerge w:val="continue"/>
            <w:tcBorders/>
          </w:tcPr>
          <w:p>
            <w:pPr>
              <w:pStyle w:val="Style28"/>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8"/>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8"/>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8"/>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9130" w:type="dxa"/>
            <w:gridSpan w:val="4"/>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Подведение итогов закупки (определение Победителя)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_Ref125362658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4.15</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69" w:type="dxa"/>
            <w:vMerge w:val="continue"/>
            <w:tcBorders/>
          </w:tcPr>
          <w:p>
            <w:pPr>
              <w:pStyle w:val="Style28"/>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8"/>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8"/>
              <w:widowControl w:val="false"/>
              <w:suppressAutoHyphens w:val="true"/>
              <w:spacing w:before="40" w:after="40"/>
              <w:jc w:val="center"/>
              <w:rPr>
                <w:bCs/>
                <w:sz w:val="24"/>
                <w:szCs w:val="24"/>
              </w:rPr>
            </w:pPr>
            <w:r>
              <w:rPr>
                <w:rFonts w:eastAsia="Wingdings 3" w:cs="Wingdings 3" w:ascii="Wingdings 3" w:hAnsi="Wingdings 3"/>
                <w:bCs/>
                <w:kern w:val="0"/>
                <w:sz w:val="24"/>
                <w:szCs w:val="24"/>
                <w:u w:val="single"/>
                <w:lang w:val="ru-RU" w:eastAsia="en-US" w:bidi="ar-SA"/>
              </w:rPr>
              <w:sym w:font="Wingdings 3" w:char="f0d4"/>
            </w:r>
          </w:p>
        </w:tc>
        <w:tc>
          <w:tcPr>
            <w:tcW w:w="6436" w:type="dxa"/>
            <w:gridSpan w:val="3"/>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Заключение Договора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_Ref138341423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5.2</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p>
            <w:pPr>
              <w:pStyle w:val="Style28"/>
              <w:widowControl w:val="false"/>
              <w:suppressAutoHyphens w:val="true"/>
              <w:spacing w:before="40" w:after="40"/>
              <w:jc w:val="center"/>
              <w:rPr>
                <w:bCs/>
                <w:sz w:val="24"/>
                <w:szCs w:val="24"/>
              </w:rPr>
            </w:pPr>
            <w:r>
              <w:rPr>
                <w:bCs/>
                <w:sz w:val="24"/>
                <w:szCs w:val="24"/>
              </w:rPr>
            </w:r>
          </w:p>
        </w:tc>
        <w:tc>
          <w:tcPr>
            <w:tcW w:w="7198" w:type="dxa"/>
            <w:gridSpan w:val="3"/>
            <w:tcBorders>
              <w:right w:val="nil"/>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Уклонение Победителя от заключения Договора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_Ref125367068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5.3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bl>
    <w:p>
      <w:pPr>
        <w:sectPr>
          <w:headerReference w:type="default" r:id="rId9"/>
          <w:headerReference w:type="first" r:id="rId10"/>
          <w:footerReference w:type="default" r:id="rId11"/>
          <w:footerReference w:type="first" r:id="rId12"/>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pStyle w:val="Style23"/>
        <w:rPr/>
      </w:pPr>
      <w:bookmarkStart w:id="112" w:name="_Ref130286532"/>
      <w:bookmarkStart w:id="113" w:name="_Toc228877684"/>
      <w:r>
        <w:rPr/>
        <w:t>Официальное размещение Извещения и Документации о закупке</w:t>
      </w:r>
      <w:bookmarkEnd w:id="112"/>
      <w:bookmarkEnd w:id="113"/>
    </w:p>
    <w:p>
      <w:pPr>
        <w:pStyle w:val="Style24"/>
        <w:rPr/>
      </w:pPr>
      <w:r>
        <w:rPr/>
        <w:t>Извещение и Документация о закупке официально размещены на Официальном сайте (ЕИС) и доступны для ознакомления без взимания платы. Иные публикации не влекут для Организатора никаких последствий.</w:t>
      </w:r>
    </w:p>
    <w:p>
      <w:pPr>
        <w:pStyle w:val="Style24"/>
        <w:rPr/>
      </w:pPr>
      <w:r>
        <w:rPr/>
        <w:t>При возникновении технических или иных неполадок, блокирующих доступ к Официальному сайту (ЕИС) в течение более чем 1 (одного) рабочего дня, информация размещается на официальном сайте Заказчика с последующим размещением ее на Официальном сайте (ЕИС) в течение 1 (одного) рабочего дня со дня устранения указанных неполадок.</w:t>
      </w:r>
    </w:p>
    <w:p>
      <w:pPr>
        <w:pStyle w:val="Style24"/>
        <w:rPr/>
      </w:pPr>
      <w:bookmarkStart w:id="114" w:name="_Ref125362785"/>
      <w:r>
        <w:rPr/>
        <w:t>Участники могут получить Документацию о закупке также через ЭП. Порядок получения информации через ЭП определяется Регламентом ЭП, с использованием которой проводится закупка.</w:t>
      </w:r>
      <w:bookmarkEnd w:id="114"/>
    </w:p>
    <w:p>
      <w:pPr>
        <w:pStyle w:val="Style24"/>
        <w:rPr/>
      </w:pPr>
      <w:r>
        <w:rPr/>
        <w:t>Участники обязаны самостоятельно отслеживать официально размещенные разъяснения и изменения Извещения, Документации о закупке, а также информацию о принятых в ходе проведения закупки решениях.</w:t>
      </w:r>
    </w:p>
    <w:p>
      <w:pPr>
        <w:pStyle w:val="Style23"/>
        <w:rPr/>
      </w:pPr>
      <w:bookmarkStart w:id="115" w:name="_Ref130281199"/>
      <w:bookmarkStart w:id="116" w:name="_Ref130394681"/>
      <w:bookmarkStart w:id="117" w:name="_Toc228877685"/>
      <w:r>
        <w:rPr/>
        <w:t>Подготовка заявки</w:t>
      </w:r>
      <w:bookmarkEnd w:id="115"/>
      <w:bookmarkEnd w:id="116"/>
      <w:bookmarkEnd w:id="117"/>
    </w:p>
    <w:p>
      <w:pPr>
        <w:pStyle w:val="Style24"/>
        <w:rPr/>
      </w:pPr>
      <w:r>
        <w:rPr/>
        <w:t>Участник должен подготовить заявку с учетом требований Документации о закупке.</w:t>
      </w:r>
    </w:p>
    <w:p>
      <w:pPr>
        <w:pStyle w:val="Style24"/>
        <w:rPr/>
      </w:pPr>
      <w:r>
        <w:rPr/>
        <w:t>Участник самостоятельно несет все расходы, связанные с подготовкой и подачей заявки (подраздел </w:t>
      </w:r>
      <w:r>
        <w:rPr/>
        <w:fldChar w:fldCharType="begin"/>
      </w:r>
      <w:r>
        <w:rPr/>
        <w:instrText xml:space="preserve"> REF _Ref125362119 \r \h </w:instrText>
      </w:r>
      <w:r>
        <w:rPr/>
        <w:fldChar w:fldCharType="separate"/>
      </w:r>
      <w:r>
        <w:rPr/>
        <w:t>4.6</w:t>
      </w:r>
      <w:r>
        <w:rPr/>
        <w:fldChar w:fldCharType="end"/>
      </w:r>
      <w:r>
        <w:rPr/>
        <w:t>), а Организатор (Заказчик) по этим расходам не отвечает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p>
    <w:p>
      <w:pPr>
        <w:pStyle w:val="Style24"/>
        <w:rPr/>
      </w:pPr>
      <w:r>
        <w:rPr/>
        <w:t xml:space="preserve">Участник должен подготовить заявку, включающую в себя полный комплект документов согласно перечню, определенному </w:t>
      </w:r>
      <w:hyperlink w:anchor="Прил06_СоставЗаявки">
        <w:r>
          <w:rPr>
            <w:rStyle w:val="Style11"/>
          </w:rPr>
          <w:t>Приложением № 6 – Состав заявки</w:t>
        </w:r>
      </w:hyperlink>
      <w:r>
        <w:rPr/>
        <w:t xml:space="preserve">. Образцы форм документов, включаемых в состав заявки, а также инструкции по их подготовке, приведены в </w:t>
      </w:r>
      <w:hyperlink w:anchor="Прил04_ФормыЗаявки">
        <w:r>
          <w:rPr>
            <w:rStyle w:val="Style11"/>
          </w:rPr>
          <w:t>Приложение № 4</w:t>
        </w:r>
      </w:hyperlink>
      <w:r>
        <w:rPr/>
        <w:t>.</w:t>
      </w:r>
    </w:p>
    <w:p>
      <w:pPr>
        <w:pStyle w:val="Style24"/>
        <w:rPr/>
      </w:pPr>
      <w:r>
        <w:rPr/>
        <w:t xml:space="preserve">Непосредственно перед подачей заявки Участник должен разделить подготовленные документы на отдельные части: </w:t>
      </w:r>
      <w:bookmarkStart w:id="118" w:name="_Hlk132886098"/>
      <w:r>
        <w:rPr/>
        <w:t>первую часть, вторую часть и ценовое предложение</w:t>
      </w:r>
      <w:bookmarkEnd w:id="118"/>
      <w:r>
        <w:rPr/>
        <w:t xml:space="preserve"> в соответствии с перечнем документов, входящих в каждую из частей, определенному </w:t>
      </w:r>
      <w:hyperlink w:anchor="Прил06_СоставЗаявки">
        <w:r>
          <w:rPr>
            <w:rStyle w:val="Style11"/>
          </w:rPr>
          <w:t>Приложением № 6 – Состав заявки</w:t>
        </w:r>
      </w:hyperlink>
      <w:r>
        <w:rPr/>
        <w:t>.</w:t>
      </w:r>
    </w:p>
    <w:p>
      <w:pPr>
        <w:pStyle w:val="Style24"/>
        <w:rPr/>
      </w:pPr>
      <w:r>
        <w:rPr/>
        <w:t>В первую часть заявки должны входить документы, содержащие исключительно описание предлагаемой к поставке продукции, которая является предметом настоящей закупки (без указания сведений об Участнике и (или) о его ценовом предложении), а также информация и документы, необходимые для осуществления оценки заявки в отношении предлагаемой к поставке продукции (в случае установления соответствующих критериев оценки в </w:t>
      </w:r>
      <w:hyperlink w:anchor="Прил08_ПорядокОценки">
        <w:r>
          <w:rPr>
            <w:rStyle w:val="Style11"/>
          </w:rPr>
          <w:t>Порядке и критериях оценки и сопоставления заявок (Приложение № 8)</w:t>
        </w:r>
      </w:hyperlink>
      <w:r>
        <w:rPr/>
        <w:t>).</w:t>
      </w:r>
    </w:p>
    <w:p>
      <w:pPr>
        <w:pStyle w:val="Style24"/>
        <w:rPr/>
      </w:pPr>
      <w:r>
        <w:rPr/>
        <w:t xml:space="preserve">Во вторую часть заявки должны входить документы, содержащие сведения об Участнике и информацию о его соответствии требованиям Документации о закупке, копии документов, подтверждающих соответствие поставляемой продукции, требованиям Документации о закупке, установленным в соответствии с законодательством (в случае установления таких требований в Документации о закупке), а также информация и документы, необходимые для осуществления оценки заявки в отношении Участника (в случае установления соответствующих критериев оценки в </w:t>
      </w:r>
      <w:hyperlink w:anchor="Прил08_ПорядокОценки">
        <w:r>
          <w:rPr>
            <w:rStyle w:val="Style11"/>
          </w:rPr>
          <w:t>Порядке и критериях оценки и сопоставления заявок (Приложение № 8)</w:t>
        </w:r>
      </w:hyperlink>
      <w:r>
        <w:rPr/>
        <w:t>).</w:t>
      </w:r>
    </w:p>
    <w:p>
      <w:pPr>
        <w:pStyle w:val="Style24"/>
        <w:rPr/>
      </w:pPr>
      <w:r>
        <w:rPr/>
        <w:t>При этом документы, входящие в состав первой части заявки, не должны подаваться на фирменном бланке Участника или иным образом содержать сведения, идентифицирующие его (наименование, адрес местонахождения, номер контактного телефона, адрес электронной почты, сайт в информационно-телекоммуникационной сети «Интернет» и т.п.).</w:t>
      </w:r>
    </w:p>
    <w:p>
      <w:pPr>
        <w:pStyle w:val="Style24"/>
        <w:rPr/>
      </w:pPr>
      <w:r>
        <w:rPr/>
        <w:t>В случае обнаружения в первой части заявки сведений об Участнике и (или) его ценовом предложении, такая заявка подлежит отклонению.</w:t>
      </w:r>
    </w:p>
    <w:p>
      <w:pPr>
        <w:pStyle w:val="Style24"/>
        <w:rPr/>
      </w:pPr>
      <w:bookmarkStart w:id="119" w:name="_Ref130394854"/>
      <w:bookmarkStart w:id="120" w:name="_Ref125365866"/>
      <w:r>
        <w:rPr/>
        <w:t>Участник имеет право подать только одну заявку. При этом не допускается подача заявки на часть лота по отдельным видам или объемам продукции. В случае нарушения этого требования (при получении заявки на часть лота и (или) при получении двух и более заявок от одного Участника в рамках одного лота) все поданные им заявки подлежат отклонению.</w:t>
      </w:r>
      <w:bookmarkEnd w:id="119"/>
      <w:bookmarkEnd w:id="120"/>
    </w:p>
    <w:p>
      <w:pPr>
        <w:pStyle w:val="Style24"/>
        <w:rPr/>
      </w:pPr>
      <w:r>
        <w:rPr/>
        <w:t>Заявка должна быть действительна в течение срока проведения закупки и до истечения срока, отведенного на заключение Договора (пункт </w:t>
      </w:r>
      <w:r>
        <w:rPr/>
        <w:fldChar w:fldCharType="begin"/>
      </w:r>
      <w:r>
        <w:rPr/>
        <w:instrText xml:space="preserve"> REF _Ref130293821 \r \h </w:instrText>
      </w:r>
      <w:r>
        <w:rPr/>
        <w:fldChar w:fldCharType="separate"/>
      </w:r>
      <w:r>
        <w:rPr/>
        <w:t>5.2.1</w:t>
      </w:r>
      <w:r>
        <w:rPr/>
        <w:fldChar w:fldCharType="end"/>
      </w:r>
      <w:r>
        <w:rPr/>
        <w:t>). В любом случае этот срок должен быть не менее чем 90 (девяносто) календарных дней с даты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Указание меньшего срока действия заявки в Письме о подаче оферты (форма 2) (</w:t>
      </w:r>
      <w:hyperlink w:anchor="Прил04_ФормыЗаявки">
        <w:r>
          <w:rPr>
            <w:rStyle w:val="Style11"/>
          </w:rPr>
          <w:t>Приложение № 4</w:t>
        </w:r>
      </w:hyperlink>
      <w:r>
        <w:rPr/>
        <w:t>) может служить основанием для отклонения заявки.</w:t>
      </w:r>
    </w:p>
    <w:p>
      <w:pPr>
        <w:pStyle w:val="Style24"/>
        <w:rPr/>
      </w:pPr>
      <w:r>
        <w:rPr/>
        <w:t>Все документы, входящие в состав заявки, должны быть подготовлены на русском языке. Исключение составляют документы, оригиналы которых выданы Участнику третьими лицами на ином языке: они могут быть представлены на языке оригинала при условии, что к ним приложен перевод этих документов на русский язык (в специально оговоренных случаях – с апостилем согласно Гаагской конвенции 1961 года).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 рассматривать документы, не переведенные на русский язык.</w:t>
      </w:r>
    </w:p>
    <w:p>
      <w:pPr>
        <w:pStyle w:val="Style24"/>
        <w:rPr/>
      </w:pPr>
      <w:r>
        <w:rPr/>
        <w:t>Все суммы денежных средств в документах, входящих в состав заявки, должны быть выражены в российских рублях. Исключение составляют документы, оригиналы которых выданы Участнику третьими лицами с выражением сумм денежных средств в иных валютах: они могут быть представлены в валюте оригинала при условии, что к ним будут приложены комментарии с переводом этих сумм в российские рубли (по официальному курсу валюты, установленному Центральным банком Российской Федерации на дату выдачи документа, с указанием такого курса).</w:t>
      </w:r>
    </w:p>
    <w:p>
      <w:pPr>
        <w:pStyle w:val="Style24"/>
        <w:rPr/>
      </w:pPr>
      <w:bookmarkStart w:id="121" w:name="_Ref125370700"/>
      <w:bookmarkStart w:id="122" w:name="_Ref125370708"/>
      <w:r>
        <w:rPr/>
        <w:t>Итоговая стоимость заявки (цена Договора) без учета НДС не должна превышать установленную Заказчиком НМЦ (подраздел </w:t>
      </w:r>
      <w:r>
        <w:rPr/>
        <w:fldChar w:fldCharType="begin"/>
      </w:r>
      <w:r>
        <w:rPr/>
        <w:instrText xml:space="preserve"> REF _Ref125359973 \r \h </w:instrText>
      </w:r>
      <w:r>
        <w:rPr/>
        <w:fldChar w:fldCharType="separate"/>
      </w:r>
      <w:r>
        <w:rPr/>
        <w:t>1.2</w:t>
      </w:r>
      <w:r>
        <w:rPr/>
        <w:fldChar w:fldCharType="end"/>
      </w:r>
      <w:r>
        <w:rPr/>
        <w:t>), в противном случае заявка будет отклонена.</w:t>
      </w:r>
    </w:p>
    <w:p>
      <w:pPr>
        <w:pStyle w:val="Style24"/>
        <w:rPr/>
      </w:pPr>
      <w:r>
        <w:rPr/>
        <w:t xml:space="preserve">Итоговая стоимость заявки (цена Договора) должна включать в себя сумму всех расходов, предусмотренных </w:t>
      </w:r>
      <w:hyperlink w:anchor="Прил01_ТехТребования">
        <w:r>
          <w:rPr>
            <w:rStyle w:val="Style11"/>
          </w:rPr>
          <w:t>Техническими требованиями (Приложение № 1)</w:t>
        </w:r>
      </w:hyperlink>
      <w:r>
        <w:rPr/>
        <w:t xml:space="preserve"> и </w:t>
      </w:r>
      <w:hyperlink w:anchor="Прил02_ПроектДоговора">
        <w:r>
          <w:rPr>
            <w:rStyle w:val="Style11"/>
          </w:rPr>
          <w:t>Проектом договора (Приложение № 2)</w:t>
        </w:r>
      </w:hyperlink>
      <w:r>
        <w:rPr/>
        <w:t>, а также сумму налогов (</w:t>
      </w:r>
      <w:r>
        <w:rPr>
          <w:rFonts w:cs="Times New Roman"/>
        </w:rPr>
        <w:t>за исключением НДС, в случае его уплаты)</w:t>
      </w:r>
      <w:r>
        <w:rPr/>
        <w:t xml:space="preserve"> и других обязательных платежей, подлежащих уплате в соответствии с нормами законодательства (если иное не установлено Документацией о закупке). При этом сумма НДС (в случае его уплаты) выделяется отдельно и не входит в итоговую стоимость заявки Участника, являющегося плательщиком НДС.</w:t>
      </w:r>
      <w:bookmarkEnd w:id="121"/>
      <w:bookmarkEnd w:id="122"/>
    </w:p>
    <w:p>
      <w:pPr>
        <w:pStyle w:val="Style24"/>
        <w:rPr/>
      </w:pPr>
      <w:r>
        <w:rPr/>
        <w:t xml:space="preserve">В качестве Технического предложения Участник в составе заявки предоставляет по установленной форме (форма 4; </w:t>
      </w:r>
      <w:hyperlink w:anchor="Прил04_ФормыЗаявки">
        <w:r>
          <w:rPr>
            <w:rStyle w:val="Style11"/>
          </w:rPr>
          <w:t>Приложение № 4</w:t>
        </w:r>
      </w:hyperlink>
      <w:r>
        <w:rPr/>
        <w:t xml:space="preserve">) согласие (декларацию) на поставку продукции на условиях, указанных в Документации о закупке, в том числе в </w:t>
      </w:r>
      <w:hyperlink w:anchor="Прил01_ТехТребования">
        <w:r>
          <w:rPr>
            <w:rStyle w:val="Style11"/>
          </w:rPr>
          <w:t>Технических требованиях (Приложение № 1)</w:t>
        </w:r>
      </w:hyperlink>
      <w:r>
        <w:rPr/>
        <w:t>, и не подлежащих изменению по результатам проведения закупки (без подробных предложений). В случае нарушения Участником требований к описанию продукции Организатор вправе отклонить заявку такого Участника от дальнейшего участия в закупке.</w:t>
      </w:r>
    </w:p>
    <w:p>
      <w:pPr>
        <w:pStyle w:val="Style24"/>
        <w:rPr/>
      </w:pPr>
      <w:r>
        <w:rPr/>
        <w:t xml:space="preserve">Если в </w:t>
      </w:r>
      <w:hyperlink w:anchor="Прил01_ТехТребования">
        <w:r>
          <w:rPr>
            <w:rStyle w:val="Style11"/>
          </w:rPr>
          <w:t>Технических требованиях (Приложение № 1)</w:t>
        </w:r>
      </w:hyperlink>
      <w:r>
        <w:rPr/>
        <w:t xml:space="preserve"> указаны товарные знаки, знаки обслуживания, фирменные наименования, патенты, полезные модели, промышленные образцы, наименование страны происхождения товара или наименование производителя, сопровождаемые словами «или эквивалент», и Участник предлагает продукцию, являющуюся эквивалентом требуемой, то он при описании продукции обязан подтвердить соответствие предлагаемой продукции показателям эквивалентности, установленным в </w:t>
      </w:r>
      <w:hyperlink w:anchor="Прил01_ТехТребования">
        <w:r>
          <w:rPr>
            <w:rStyle w:val="Style11"/>
          </w:rPr>
          <w:t>Технических требованиях (Приложение № 1)</w:t>
        </w:r>
      </w:hyperlink>
      <w:r>
        <w:rPr/>
        <w:t>.</w:t>
      </w:r>
    </w:p>
    <w:p>
      <w:pPr>
        <w:pStyle w:val="Style24"/>
        <w:rPr/>
      </w:pPr>
      <w:bookmarkStart w:id="123" w:name="_Ref130379876"/>
      <w:r>
        <w:rPr/>
        <w:t xml:space="preserve">При описании продукции Участник должен использовать общеизвестные (стандартные) показатели, термины и сокращения в соответствии с законодательством и </w:t>
      </w:r>
      <w:hyperlink w:anchor="Прил01_ТехТребования">
        <w:r>
          <w:rPr>
            <w:rStyle w:val="Style11"/>
          </w:rPr>
          <w:t>Техническими требованиями (Приложение № 1)</w:t>
        </w:r>
      </w:hyperlink>
      <w:r>
        <w:rPr/>
        <w:t>.</w:t>
      </w:r>
      <w:bookmarkEnd w:id="123"/>
    </w:p>
    <w:p>
      <w:pPr>
        <w:pStyle w:val="Style24"/>
        <w:rPr/>
      </w:pPr>
      <w:bookmarkStart w:id="124" w:name="_Ref130455500"/>
      <w:r>
        <w:rPr/>
        <w:t xml:space="preserve">В случае нарушения Участником требований к описанию продукции (пункт – </w:t>
      </w:r>
      <w:r>
        <w:rPr/>
        <w:fldChar w:fldCharType="begin"/>
      </w:r>
      <w:r>
        <w:rPr/>
        <w:instrText xml:space="preserve"> REF _Ref130379876 \r \h </w:instrText>
      </w:r>
      <w:r>
        <w:rPr/>
        <w:fldChar w:fldCharType="separate"/>
      </w:r>
      <w:r>
        <w:rPr/>
        <w:t>4.3.17</w:t>
      </w:r>
      <w:r>
        <w:rPr/>
        <w:fldChar w:fldCharType="end"/>
      </w:r>
      <w:r>
        <w:rPr/>
        <w:t>) Организатор вправе отклонить заявку такого Участника от дальнейшего участия в закупке.</w:t>
      </w:r>
      <w:bookmarkEnd w:id="124"/>
    </w:p>
    <w:p>
      <w:pPr>
        <w:pStyle w:val="Style24"/>
        <w:keepNext w:val="true"/>
        <w:rPr/>
      </w:pPr>
      <w:r>
        <w:rPr/>
        <w:t>При подготовке заявки необходимо также учитывать требования в отношении применения законодательства о национальном режиме (подраздел </w:t>
      </w:r>
      <w:r>
        <w:rPr/>
        <w:fldChar w:fldCharType="begin"/>
      </w:r>
      <w:r>
        <w:rPr/>
        <w:instrText xml:space="preserve"> REF _Ref125359973 \r \h </w:instrText>
      </w:r>
      <w:r>
        <w:rPr/>
        <w:fldChar w:fldCharType="separate"/>
      </w:r>
      <w:r>
        <w:rPr/>
        <w:t>1.2</w:t>
      </w:r>
      <w:r>
        <w:rPr/>
        <w:fldChar w:fldCharType="end"/>
      </w:r>
      <w:r>
        <w:rPr/>
        <w:t>).</w:t>
      </w:r>
    </w:p>
    <w:p>
      <w:pPr>
        <w:pStyle w:val="Style24"/>
        <w:keepNext w:val="true"/>
        <w:rPr/>
      </w:pPr>
      <w:r>
        <w:rPr/>
        <w:t>Документы, входящие в заявку, не должны содержать недостоверные сведения или намеренно искаженную информацию. Также должны отсутствовать:</w:t>
      </w:r>
    </w:p>
    <w:p>
      <w:pPr>
        <w:pStyle w:val="Style25"/>
        <w:rPr/>
      </w:pPr>
      <w:r>
        <w:rPr/>
        <w:t>внутренние противоречия между различными частями и (или) документами заявки, в том числе по тексту внутри одного документа;</w:t>
      </w:r>
    </w:p>
    <w:p>
      <w:pPr>
        <w:pStyle w:val="Style25"/>
        <w:rPr/>
      </w:pPr>
      <w:bookmarkStart w:id="125" w:name="_Ref125370398"/>
      <w:bookmarkStart w:id="126" w:name="_Ref125714384"/>
      <w:r>
        <w:rPr/>
        <w:t>противоречия между документами заявки и сведениями, указанными Участником в структурированных формах на ЭП.</w:t>
      </w:r>
      <w:bookmarkEnd w:id="125"/>
      <w:bookmarkEnd w:id="126"/>
    </w:p>
    <w:p>
      <w:pPr>
        <w:pStyle w:val="Style24"/>
        <w:rPr/>
      </w:pPr>
      <w:r>
        <w:rPr/>
        <w:t>Представленные в составе заявки документы, оформленные / выданные государственными, лицензирующими, сертификационными, аккредитационными органами и (или) саморегулируемыми организациями, должны соответствовать императивным требованиям (при наличии) законодательства в отношении:</w:t>
      </w:r>
    </w:p>
    <w:p>
      <w:pPr>
        <w:pStyle w:val="Style25"/>
        <w:rPr/>
      </w:pPr>
      <w:r>
        <w:rPr/>
        <w:t>полномочий таких органов / лиц на оформление этих документов;</w:t>
      </w:r>
    </w:p>
    <w:p>
      <w:pPr>
        <w:pStyle w:val="Style25"/>
        <w:rPr/>
      </w:pPr>
      <w:r>
        <w:rPr/>
        <w:t>формы, объема и содержания этих документов.</w:t>
      </w:r>
    </w:p>
    <w:p>
      <w:pPr>
        <w:pStyle w:val="Style24"/>
        <w:keepNext w:val="true"/>
        <w:rPr/>
      </w:pPr>
      <w:r>
        <w:rPr/>
        <w:t>Участник должен подготовить заявку с соблюдением следующих условий:</w:t>
      </w:r>
    </w:p>
    <w:p>
      <w:pPr>
        <w:pStyle w:val="Style25"/>
        <w:rPr/>
      </w:pPr>
      <w:r>
        <w:rPr/>
        <w:t>документы заявки могут предоставляться как в графическом виде (в том числе в виде скан-копии, рекомендуемый формат: Portable Document Format (*.</w:t>
      </w:r>
      <w:r>
        <w:rPr>
          <w:lang w:val="en-US"/>
        </w:rPr>
        <w:t>pdf</w:t>
      </w:r>
      <w:r>
        <w:rPr/>
        <w:t>)); так и в электронном виде (в формате Microsoft Word (*.doc</w:t>
      </w:r>
      <w:r>
        <w:rPr>
          <w:lang w:val="en-US"/>
        </w:rPr>
        <w:t>x</w:t>
      </w:r>
      <w:r>
        <w:rPr/>
        <w:t>), Microsoft Excel (*.xls</w:t>
      </w:r>
      <w:r>
        <w:rPr>
          <w:lang w:val="en-US"/>
        </w:rPr>
        <w:t>x</w:t>
      </w:r>
      <w:r>
        <w:rPr/>
        <w:t>), и других). Исключение составляют Письмо о подаче оферты, а также документы, выданные Участнику третьими лицами, которые должны быть предоставлены только в графическом виде (в том числе в виде скан-копии, рекомендуемый формат: Portable Document Format (*.</w:t>
      </w:r>
      <w:r>
        <w:rPr>
          <w:lang w:val="en-US"/>
        </w:rPr>
        <w:t>pdf</w:t>
      </w:r>
      <w:r>
        <w:rPr/>
        <w:t>));</w:t>
      </w:r>
    </w:p>
    <w:p>
      <w:pPr>
        <w:pStyle w:val="Style25"/>
        <w:rPr/>
      </w:pPr>
      <w:r>
        <w:rPr/>
        <w:t>электронные копии документов, заверенные третьей стороной,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pPr>
        <w:pStyle w:val="Style25"/>
        <w:rPr/>
      </w:pPr>
      <w:r>
        <w:rPr/>
        <w:t>все файлы не должны иметь защиты от их открытия, изменения, копирования их содержимого или их печати;</w:t>
      </w:r>
    </w:p>
    <w:p>
      <w:pPr>
        <w:pStyle w:val="Style25"/>
        <w:rPr/>
      </w:pPr>
      <w:r>
        <w:rPr/>
        <w:t>файлы электронной заявки рекомендуется именовать так, чтобы можно было идентифицировать содержание данного файла заявки (указать в названии файла содержащийся в нем документ). Каждый документ рекомендуется размещать в отдельном файле;</w:t>
      </w:r>
    </w:p>
    <w:p>
      <w:pPr>
        <w:pStyle w:val="Style25"/>
        <w:rPr/>
      </w:pPr>
      <w:r>
        <w:rPr/>
        <w:t>если какой-либо документ представлен в нечитаемом виде, данный документ считается непредставленным.</w:t>
      </w:r>
    </w:p>
    <w:p>
      <w:pPr>
        <w:pStyle w:val="Style24"/>
        <w:rPr/>
      </w:pPr>
      <w:r>
        <w:rPr/>
        <w:t>Никакие исправления в документах заявки не имеют силу, за исключением 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p>
    <w:p>
      <w:pPr>
        <w:pStyle w:val="Style23"/>
        <w:rPr/>
      </w:pPr>
      <w:bookmarkStart w:id="127" w:name="_Ref130394205"/>
      <w:bookmarkStart w:id="128" w:name="_Ref130394785"/>
      <w:bookmarkStart w:id="129" w:name="_Ref130394802"/>
      <w:bookmarkStart w:id="130" w:name="_Toc228877686"/>
      <w:bookmarkStart w:id="131" w:name="_Ref125361260"/>
      <w:bookmarkStart w:id="132" w:name="_Ref125362071"/>
      <w:bookmarkStart w:id="133" w:name="_Ref125366672"/>
      <w:r>
        <w:rPr/>
        <w:t>Разъяснение Документации о закупке</w:t>
      </w:r>
      <w:bookmarkEnd w:id="127"/>
      <w:bookmarkEnd w:id="128"/>
      <w:bookmarkEnd w:id="129"/>
      <w:bookmarkEnd w:id="130"/>
      <w:bookmarkEnd w:id="131"/>
      <w:bookmarkEnd w:id="132"/>
      <w:bookmarkEnd w:id="133"/>
    </w:p>
    <w:p>
      <w:pPr>
        <w:pStyle w:val="Style24"/>
        <w:rPr/>
      </w:pPr>
      <w:r>
        <w:rPr/>
        <w:t>Участники вправе обратиться к Организатору за разъяснениями Документации о закупке.</w:t>
      </w:r>
    </w:p>
    <w:p>
      <w:pPr>
        <w:pStyle w:val="Style24"/>
        <w:rPr/>
      </w:pPr>
      <w:r>
        <w:rPr/>
        <w:t>Запросы подаются в соответствии с Регламентами и инструкциями Оператора ЭП, опубликованными на сайте соответствующей ЭП.</w:t>
      </w:r>
    </w:p>
    <w:p>
      <w:pPr>
        <w:pStyle w:val="Style24"/>
        <w:rPr/>
      </w:pPr>
      <w:r>
        <w:rPr/>
        <w:t>Организатор обязуется ответить на любой вопрос, поступивший не позднее чем за 3 (три) рабочих дня до даты окончания срока подачи заявок. В случае поступления вопросов с нарушением установленного срока Организатор вправе не предоставлять разъяснения.</w:t>
      </w:r>
    </w:p>
    <w:p>
      <w:pPr>
        <w:pStyle w:val="Style24"/>
        <w:rPr/>
      </w:pPr>
      <w:r>
        <w:rPr/>
        <w:t>Ответы на поступившие вопросы официально размещаются (с указанием предмета запроса, но без указания Участника, от которого поступил вопрос) в сроки, установленные подразделом </w:t>
      </w:r>
      <w:r>
        <w:rPr/>
        <w:fldChar w:fldCharType="begin"/>
      </w:r>
      <w:r>
        <w:rPr/>
        <w:instrText xml:space="preserve"> REF _Ref125359973 \r \h </w:instrText>
      </w:r>
      <w:r>
        <w:rPr/>
        <w:fldChar w:fldCharType="separate"/>
      </w:r>
      <w:r>
        <w:rPr/>
        <w:t>1.2</w:t>
      </w:r>
      <w:r>
        <w:rPr/>
        <w:fldChar w:fldCharType="end"/>
      </w:r>
      <w:r>
        <w:rPr/>
        <w:t>, но в любом случае не позднее чем в течение 3 (трех) рабочих дней с даты поступления такого запроса. Копия ответа размещается Организатором на ЭП.</w:t>
      </w:r>
    </w:p>
    <w:p>
      <w:pPr>
        <w:pStyle w:val="Style24"/>
        <w:rPr/>
      </w:pPr>
      <w:r>
        <w:rPr/>
        <w:t>Организатор также вправе по собственной инициативе (без получения запросов от Участников) официально разместить разъяснения Документации о закупке.</w:t>
      </w:r>
    </w:p>
    <w:p>
      <w:pPr>
        <w:pStyle w:val="Style24"/>
        <w:rPr/>
      </w:pPr>
      <w:r>
        <w:rPr/>
        <w:t xml:space="preserve">Разъяснения Документации о закупке носят справочный характер и не могут изменять предмет закупки и условия </w:t>
      </w:r>
      <w:hyperlink w:anchor="Прил02_ПроектДоговора">
        <w:r>
          <w:rPr>
            <w:rStyle w:val="Style11"/>
          </w:rPr>
          <w:t>Проекта договора (Приложения № 2)</w:t>
        </w:r>
      </w:hyperlink>
      <w:r>
        <w:rPr>
          <w:rStyle w:val="Style11"/>
        </w:rPr>
        <w:t>,</w:t>
      </w:r>
      <w:r>
        <w:rPr/>
        <w:t xml:space="preserve"> в противном случае вносятся изменения в Документацию о закупке. При этом Участники обязаны учитывать разъяснения Организатора при подготовке своих заявок. Все риски и последствия за подачу заявки без учета официально размещенных разъяснений несет Участник.</w:t>
      </w:r>
    </w:p>
    <w:p>
      <w:pPr>
        <w:pStyle w:val="Style24"/>
        <w:rPr/>
      </w:pPr>
      <w:r>
        <w:rPr/>
        <w:t>В случае получения Участником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не вправе на нее ссылаться.</w:t>
      </w:r>
    </w:p>
    <w:p>
      <w:pPr>
        <w:pStyle w:val="Style23"/>
        <w:rPr/>
      </w:pPr>
      <w:bookmarkStart w:id="134" w:name="_Ref125362076"/>
      <w:bookmarkStart w:id="135" w:name="_Ref125363891"/>
      <w:bookmarkStart w:id="136" w:name="_Ref125364404"/>
      <w:bookmarkStart w:id="137" w:name="_Toc228877687"/>
      <w:r>
        <w:rPr/>
        <w:t>Изменения Извещения и (или) Документации о закупке</w:t>
      </w:r>
      <w:bookmarkEnd w:id="134"/>
      <w:bookmarkEnd w:id="135"/>
      <w:bookmarkEnd w:id="136"/>
      <w:bookmarkEnd w:id="137"/>
    </w:p>
    <w:p>
      <w:pPr>
        <w:pStyle w:val="Style24"/>
        <w:rPr/>
      </w:pPr>
      <w:r>
        <w:rPr/>
        <w:t>Организатор в любой момент до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вправе внести изменения в Извещение и (или) Документацию о закупке. При этом официальному размещению подлежит обновленная редакция Извещения и (или) Документации о закупке, а также перечень внесенных изменений в них.</w:t>
      </w:r>
    </w:p>
    <w:p>
      <w:pPr>
        <w:pStyle w:val="Style24"/>
        <w:keepNext w:val="true"/>
        <w:rPr/>
      </w:pPr>
      <w:r>
        <w:rPr/>
        <w:t>После окончания срока подачи заявок допускается изменение только в части установленных Документацией о закупке дат:</w:t>
      </w:r>
    </w:p>
    <w:p>
      <w:pPr>
        <w:pStyle w:val="Style25"/>
        <w:rPr/>
      </w:pPr>
      <w:r>
        <w:rPr/>
        <w:t>рассмотрения первых частей заявок;</w:t>
      </w:r>
    </w:p>
    <w:p>
      <w:pPr>
        <w:pStyle w:val="Style25"/>
        <w:rPr/>
      </w:pPr>
      <w:r>
        <w:rPr/>
        <w:t>рассмотрения вторых частей заявок и ценовых предложений;</w:t>
      </w:r>
    </w:p>
    <w:p>
      <w:pPr>
        <w:pStyle w:val="Style25"/>
        <w:rPr/>
      </w:pPr>
      <w:r>
        <w:rPr/>
        <w:t>подведения итогов закупки;</w:t>
      </w:r>
    </w:p>
    <w:p>
      <w:pPr>
        <w:pStyle w:val="Style28"/>
        <w:ind w:left="1134" w:hanging="0"/>
        <w:rPr/>
      </w:pPr>
      <w:bookmarkStart w:id="138" w:name="_Ref125550844"/>
      <w:r>
        <w:rPr/>
        <w:t>в пределах срока действия заявок и с уведомлением Участников, подавших заявки.</w:t>
      </w:r>
      <w:bookmarkEnd w:id="138"/>
    </w:p>
    <w:p>
      <w:pPr>
        <w:pStyle w:val="Style24"/>
        <w:rPr/>
      </w:pPr>
      <w:r>
        <w:rPr/>
        <w:t>Текст изменений официально размещается в течение 3 (трех) календарных дней со дня принятия решения о внесении указанных изменений. Все Участники, официально получившие Документацию о закупке через ЭП, получат соответствующие уведомления в порядке, установленном Регламентом ЭП.</w:t>
      </w:r>
    </w:p>
    <w:p>
      <w:pPr>
        <w:pStyle w:val="Style24"/>
        <w:rPr/>
      </w:pPr>
      <w:r>
        <w:rPr/>
        <w:t>При внесении изменений в Документацию о закупке (за исключением указанного в пункте </w:t>
      </w:r>
      <w:r>
        <w:rPr/>
        <w:fldChar w:fldCharType="begin"/>
      </w:r>
      <w:r>
        <w:rPr/>
        <w:instrText xml:space="preserve"> REF _Ref125550844 \r \h </w:instrText>
      </w:r>
      <w:r>
        <w:rPr/>
        <w:fldChar w:fldCharType="separate"/>
      </w:r>
      <w:r>
        <w:rPr/>
      </w:r>
      <w:r>
        <w:rPr/>
        <w:fldChar w:fldCharType="end"/>
      </w:r>
      <w:r>
        <w:rPr/>
        <w:t>), срок подачи заявок будет продлен таким образом, чтобы со дня официального размещения таких изменений до даты окончания подачи заявок оставалось не менее половины от минимального срока подачи заявок, установленного в Положении о закупке для данного способа, а именно не менее 3 (трех) рабочих дней.</w:t>
      </w:r>
    </w:p>
    <w:p>
      <w:pPr>
        <w:pStyle w:val="Style24"/>
        <w:rPr/>
      </w:pPr>
      <w:r>
        <w:rPr/>
        <w:t>Участники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Участник.</w:t>
      </w:r>
    </w:p>
    <w:p>
      <w:pPr>
        <w:pStyle w:val="Style23"/>
        <w:rPr/>
      </w:pPr>
      <w:bookmarkStart w:id="139" w:name="_Ref125362119"/>
      <w:bookmarkStart w:id="140" w:name="_Toc228877688"/>
      <w:r>
        <w:rPr/>
        <w:t>Подача заявок и их прием</w:t>
      </w:r>
      <w:bookmarkEnd w:id="139"/>
      <w:bookmarkEnd w:id="140"/>
    </w:p>
    <w:p>
      <w:pPr>
        <w:pStyle w:val="Style24"/>
        <w:rPr/>
      </w:pPr>
      <w:r>
        <w:rPr/>
        <w:t>Участник вправе подать одну подготовленную заявку на участие в закупке в любое время начиная с даты официального размещения Извещения и до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При этом все части заявок, включая ценовое предложение Участника, подаются им одновременно. Заявки, поданные позднее установленного срока, не могут быть приняты Организатором, независимо от причин опоздания.</w:t>
      </w:r>
    </w:p>
    <w:p>
      <w:pPr>
        <w:pStyle w:val="Style24"/>
        <w:rPr/>
      </w:pPr>
      <w:r>
        <w:rPr/>
        <w:t>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Документации о закупке (включая все приложения к ней).</w:t>
      </w:r>
    </w:p>
    <w:p>
      <w:pPr>
        <w:pStyle w:val="Style24"/>
        <w:rPr/>
      </w:pPr>
      <w:r>
        <w:rPr/>
        <w:t>Заявка должна быть подготовлена в форме электронного документа и подана с использованием функционала ЭП в доступном для прочтения формате. При этом Участник должен сканировать документы после того, как они будут оформлены в соответствии с требованиями Документации о закупке.</w:t>
      </w:r>
    </w:p>
    <w:p>
      <w:pPr>
        <w:pStyle w:val="Style24"/>
        <w:rPr/>
      </w:pPr>
      <w:r>
        <w:rPr/>
        <w:t xml:space="preserve">Заявка должна быть подписана </w:t>
      </w:r>
      <w:bookmarkStart w:id="141" w:name="_Hlk219296949"/>
      <w:r>
        <w:rPr/>
        <w:t xml:space="preserve">усиленной квалифицированной </w:t>
      </w:r>
      <w:bookmarkEnd w:id="141"/>
      <w:r>
        <w:rPr/>
        <w:t>электронной подписью лица, которое является уполномоченным представителем Участника.</w:t>
      </w:r>
    </w:p>
    <w:p>
      <w:pPr>
        <w:pStyle w:val="Style24"/>
        <w:rPr/>
      </w:pPr>
      <w:r>
        <w:rPr/>
        <w:t>Правила подачи заявок также определяются Регламентом ЭП. Заявки, поданные через ЭП, дублировать в адрес Организатора по почте, электронной почте и другими способами не требуется. Заявки, полученные Организатором не через ЭП, не рассматриваются.</w:t>
      </w:r>
    </w:p>
    <w:p>
      <w:pPr>
        <w:pStyle w:val="Style24"/>
        <w:rPr/>
      </w:pPr>
      <w:r>
        <w:rPr/>
        <w:t>Если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p>
    <w:p>
      <w:pPr>
        <w:pStyle w:val="Style24"/>
        <w:rPr/>
      </w:pPr>
      <w:r>
        <w:rPr/>
        <w:t>Оператор ЭП до окончания срока подачи заявок обеспечивает конфиденциальность информации, содержащейся в поданных заявках.</w:t>
      </w:r>
    </w:p>
    <w:p>
      <w:pPr>
        <w:pStyle w:val="Style23"/>
        <w:rPr/>
      </w:pPr>
      <w:bookmarkStart w:id="142" w:name="_Ref125362130"/>
      <w:bookmarkStart w:id="143" w:name="_Ref125362192"/>
      <w:bookmarkStart w:id="144" w:name="_Ref125363819"/>
      <w:bookmarkStart w:id="145" w:name="_Ref125365136"/>
      <w:bookmarkStart w:id="146" w:name="_Toc228877689"/>
      <w:r>
        <w:rPr/>
        <w:t>Изменение и отзыв заявок</w:t>
      </w:r>
      <w:bookmarkEnd w:id="142"/>
      <w:bookmarkEnd w:id="143"/>
      <w:bookmarkEnd w:id="144"/>
      <w:bookmarkEnd w:id="145"/>
      <w:bookmarkEnd w:id="146"/>
    </w:p>
    <w:p>
      <w:pPr>
        <w:pStyle w:val="Style24"/>
        <w:rPr/>
      </w:pPr>
      <w:r>
        <w:rPr/>
        <w:t>Участник вправе изменить или отозвать поданную им ранее заявку до момента окончания срока подачи заявок. Внесение изменений в заявку, отзыв заявки после этого времени не допускаются, кроме случаев, прямо предусмотренных Документацией о закупке.</w:t>
      </w:r>
    </w:p>
    <w:p>
      <w:pPr>
        <w:pStyle w:val="Style24"/>
        <w:rPr/>
      </w:pPr>
      <w:r>
        <w:rPr/>
        <w:t>Отзыв Участником ранее поданной заявки является отказом от участия в закупке, отозванные заявки не рассматриваются Организатором по существу.</w:t>
      </w:r>
    </w:p>
    <w:p>
      <w:pPr>
        <w:pStyle w:val="Style24"/>
        <w:rPr/>
      </w:pPr>
      <w:r>
        <w:rPr/>
        <w:t>Изменение и отзыв Участником ранее поданной заявки осуществляется в порядке, аналогичном порядку подачи и приема заявок, установленному в подразделе </w:t>
      </w:r>
      <w:r>
        <w:rPr/>
        <w:fldChar w:fldCharType="begin"/>
      </w:r>
      <w:r>
        <w:rPr/>
        <w:instrText xml:space="preserve"> REF _Ref125362119 \w \h </w:instrText>
      </w:r>
      <w:r>
        <w:rPr/>
        <w:fldChar w:fldCharType="separate"/>
      </w:r>
      <w:r>
        <w:rPr/>
        <w:t>4.6</w:t>
      </w:r>
      <w:r>
        <w:rPr/>
        <w:fldChar w:fldCharType="end"/>
      </w:r>
      <w:r>
        <w:rPr/>
        <w:t>.</w:t>
      </w:r>
    </w:p>
    <w:p>
      <w:pPr>
        <w:pStyle w:val="Style24"/>
        <w:rPr/>
      </w:pPr>
      <w:r>
        <w:rPr/>
        <w:t>Изменения и отзыв заявки осуществляется посредством функционала ЭП (подробный порядок определяется Регламентом ЭП).</w:t>
      </w:r>
    </w:p>
    <w:p>
      <w:pPr>
        <w:pStyle w:val="Style23"/>
        <w:rPr/>
      </w:pPr>
      <w:bookmarkStart w:id="147" w:name="_Ref132816188"/>
      <w:bookmarkStart w:id="148" w:name="_Toc228877690"/>
      <w:r>
        <w:rPr/>
        <w:t>Открытие доступа к первым частям заявок</w:t>
      </w:r>
      <w:bookmarkEnd w:id="147"/>
      <w:bookmarkEnd w:id="148"/>
    </w:p>
    <w:p>
      <w:pPr>
        <w:pStyle w:val="Style24"/>
        <w:rPr/>
      </w:pPr>
      <w:bookmarkStart w:id="149" w:name="_Hlk149310876"/>
      <w:r>
        <w:rPr/>
        <w:t>Оператор ЭП направляет в адрес Организатора первые части заявок в срок не позднее 1 (одного) дня, следующего за днем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w:t>
      </w:r>
      <w:bookmarkEnd w:id="149"/>
    </w:p>
    <w:p>
      <w:pPr>
        <w:pStyle w:val="Style24"/>
        <w:rPr/>
      </w:pPr>
      <w:bookmarkStart w:id="150" w:name="_Hlk149310910"/>
      <w:r>
        <w:rPr/>
        <w:t>Подробные правила открытия Организатору доступа к первым частям заявок определяются Регламентом ЭП, с использованием которой проводится закупка. При этом Оператор ЭП обеспечивает конфиденциальность сведений о наименовании Участников, в том числе сведений, указанных в сертификатах ключей электронной подписи, которой подписана заявка, а также обеспечивает конфиденциальность сведений, содержащихся в первых частях заявок, от Участников такой закупки.</w:t>
      </w:r>
      <w:bookmarkEnd w:id="150"/>
    </w:p>
    <w:p>
      <w:pPr>
        <w:pStyle w:val="Style23"/>
        <w:rPr/>
      </w:pPr>
      <w:bookmarkStart w:id="151" w:name="_Ref125362364"/>
      <w:bookmarkStart w:id="152" w:name="_Ref125366689"/>
      <w:bookmarkStart w:id="153" w:name="_Toc228877691"/>
      <w:r>
        <w:rPr/>
        <w:t>Рассмотрение первых частей заявок (отборочная стадия)</w:t>
      </w:r>
      <w:bookmarkEnd w:id="151"/>
      <w:bookmarkEnd w:id="152"/>
      <w:bookmarkEnd w:id="153"/>
    </w:p>
    <w:p>
      <w:pPr>
        <w:pStyle w:val="Style24"/>
        <w:rPr/>
      </w:pPr>
      <w:r>
        <w:rPr/>
        <w:t>Дата окончания срока рассмотрения первых частей заявок установлена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ее, официально разместив информацию об этом.</w:t>
      </w:r>
    </w:p>
    <w:p>
      <w:pPr>
        <w:pStyle w:val="Style24"/>
        <w:rPr/>
      </w:pPr>
      <w:r>
        <w:rPr/>
        <w:t xml:space="preserve">В рамках рассмотрения первых частей заявок (отборочной стадии) осуществляется проверка каждой заявки на предмет соответствия </w:t>
      </w:r>
      <w:hyperlink w:anchor="Прил07_ОтборочныеКритерии">
        <w:r>
          <w:rPr>
            <w:rStyle w:val="Style11"/>
          </w:rPr>
          <w:t>Отборочным критериям рассмотрения заявок (Приложение № 7)</w:t>
        </w:r>
      </w:hyperlink>
      <w:r>
        <w:rPr/>
        <w:t>.</w:t>
      </w:r>
    </w:p>
    <w:p>
      <w:pPr>
        <w:pStyle w:val="Style24"/>
        <w:rPr/>
      </w:pPr>
      <w:r>
        <w:rPr/>
        <w:t>Рассмотрение первых частей заявок проводится на основании представленных в составе заявки документов и сведений.</w:t>
      </w:r>
    </w:p>
    <w:p>
      <w:pPr>
        <w:pStyle w:val="Style24"/>
        <w:keepNext w:val="true"/>
        <w:rPr/>
      </w:pPr>
      <w:bookmarkStart w:id="154" w:name="_Ref125551456"/>
      <w:r>
        <w:rPr/>
        <w:t>По результатам рассмотрения первых частей заявок (проведения отборочной стадии) Закупочная комиссия отклоняет заявки по следующим основаниям:</w:t>
      </w:r>
      <w:bookmarkEnd w:id="154"/>
    </w:p>
    <w:p>
      <w:pPr>
        <w:pStyle w:val="Style25"/>
        <w:rPr/>
      </w:pPr>
      <w:r>
        <w:rPr/>
        <w:t>несоответствие первой части заявки по составу</w:t>
      </w:r>
      <w:r>
        <w:rPr>
          <w:rStyle w:val="FootnoteReference"/>
        </w:rPr>
        <w:footnoteReference w:id="3"/>
      </w:r>
      <w:r>
        <w:rPr/>
        <w:t>, содержанию и соблюдению требований Документации о закупке к подготовке (оформлению) заявки, в том числе наличие:</w:t>
      </w:r>
    </w:p>
    <w:p>
      <w:pPr>
        <w:pStyle w:val="Style26"/>
        <w:rPr/>
      </w:pPr>
      <w:r>
        <w:rPr/>
        <w:t>недостоверных сведений или намеренно искаженной информации или документов;</w:t>
      </w:r>
    </w:p>
    <w:p>
      <w:pPr>
        <w:pStyle w:val="Style26"/>
        <w:rPr/>
      </w:pPr>
      <w:r>
        <w:rPr/>
        <w:t>внутренних противоречий между различными частями и (или) документами первой части заявки, в том числе по тексту внутри одного документа;</w:t>
      </w:r>
    </w:p>
    <w:p>
      <w:pPr>
        <w:pStyle w:val="Style25"/>
        <w:rPr/>
      </w:pPr>
      <w:r>
        <w:rPr/>
        <w:t>несоответствие предлагаемой продукции требованиям Документации о закупке, в том числе порядка описания такой продукции;</w:t>
      </w:r>
    </w:p>
    <w:p>
      <w:pPr>
        <w:pStyle w:val="Style25"/>
        <w:rPr/>
      </w:pPr>
      <w:r>
        <w:rPr/>
        <w:t>несоответствие предлагаемых договорных условий требованиям Документации о закупке;</w:t>
      </w:r>
    </w:p>
    <w:p>
      <w:pPr>
        <w:pStyle w:val="Style25"/>
        <w:rPr/>
      </w:pPr>
      <w:r>
        <w:rPr/>
        <w:t>наличие в документах первой части заявки сведений об Участники и (или) о его ценовом предложении.</w:t>
      </w:r>
    </w:p>
    <w:p>
      <w:pPr>
        <w:pStyle w:val="Style24"/>
        <w:keepNext w:val="true"/>
        <w:rPr/>
      </w:pPr>
      <w:r>
        <w:rPr/>
        <w:t>Решение Закупочной комиссии по рассмотрению первых частей заявок оформляется протоколом, в котором, как минимум, указываются</w:t>
      </w:r>
      <w:r>
        <w:rPr>
          <w:rStyle w:val="FootnoteReference"/>
        </w:rPr>
        <w:footnoteReference w:id="4"/>
      </w:r>
      <w:r>
        <w:rPr/>
        <w:t>:</w:t>
      </w:r>
    </w:p>
    <w:p>
      <w:pPr>
        <w:pStyle w:val="Style25"/>
        <w:rPr/>
      </w:pPr>
      <w:r>
        <w:rPr/>
        <w:t>дата подписания протокола;</w:t>
      </w:r>
    </w:p>
    <w:p>
      <w:pPr>
        <w:pStyle w:val="Style25"/>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5"/>
        <w:rPr/>
      </w:pPr>
      <w:r>
        <w:rPr/>
        <w:t>идентификационные номера, присваиваемые Оператором ЭП;</w:t>
      </w:r>
    </w:p>
    <w:p>
      <w:pPr>
        <w:pStyle w:val="Style25"/>
        <w:keepNext w:val="true"/>
        <w:rPr/>
      </w:pPr>
      <w:r>
        <w:rPr/>
        <w:t>результаты рассмотрения первых частей заявок с указанием, в том числе:</w:t>
      </w:r>
    </w:p>
    <w:p>
      <w:pPr>
        <w:pStyle w:val="Style26"/>
        <w:rPr/>
      </w:pPr>
      <w:r>
        <w:rPr/>
        <w:t>количества заявок, которые были отклонены по результатам рассмотрения первых частей заявок;</w:t>
      </w:r>
    </w:p>
    <w:p>
      <w:pPr>
        <w:pStyle w:val="Style26"/>
        <w:rPr/>
      </w:pPr>
      <w:r>
        <w:rPr/>
        <w:t>оснований отклонения каждой заявки с указанием положений Документации о закупке, которым не соответствует первая часть такой заявка;</w:t>
      </w:r>
    </w:p>
    <w:p>
      <w:pPr>
        <w:pStyle w:val="Style25"/>
        <w:rPr/>
      </w:pPr>
      <w:r>
        <w:rPr/>
        <w:t>причины, по которым закупка признана несостоявшейся в соответствии с подразделом </w:t>
      </w:r>
      <w:r>
        <w:rPr/>
        <w:fldChar w:fldCharType="begin"/>
      </w:r>
      <w:r>
        <w:rPr/>
        <w:instrText xml:space="preserve"> REF _Ref125364149 \w \h </w:instrText>
      </w:r>
      <w:r>
        <w:rPr/>
        <w:fldChar w:fldCharType="separate"/>
      </w:r>
      <w:r>
        <w:rPr/>
        <w:t>4.16</w:t>
      </w:r>
      <w:r>
        <w:rPr/>
        <w:fldChar w:fldCharType="end"/>
      </w:r>
      <w:r>
        <w:rPr/>
        <w:t xml:space="preserve"> (в случае ее признания таковой).</w:t>
      </w:r>
    </w:p>
    <w:p>
      <w:pPr>
        <w:pStyle w:val="Style24"/>
        <w:rPr/>
      </w:pPr>
      <w:r>
        <w:rPr/>
        <w:t>Протокол рассмотрения первых частей заявок направляется Организатором Оператору ЭП не позднее 3 (трех) календарных дней с даты подписания такого протокола, после чего он официально размещается (подраздел </w:t>
      </w:r>
      <w:r>
        <w:rPr/>
        <w:fldChar w:fldCharType="begin"/>
      </w:r>
      <w:r>
        <w:rPr/>
        <w:instrText xml:space="preserve"> REF _Ref130286532 \r \h </w:instrText>
      </w:r>
      <w:r>
        <w:rPr/>
        <w:fldChar w:fldCharType="separate"/>
      </w:r>
      <w:r>
        <w:rPr/>
        <w:t>4.2</w:t>
      </w:r>
      <w:r>
        <w:rPr/>
        <w:fldChar w:fldCharType="end"/>
      </w:r>
      <w:r>
        <w:rPr/>
        <w:t>) Оператором ЭП в течение 1 (одного) часа с момента его получения от Организатора.</w:t>
      </w:r>
    </w:p>
    <w:p>
      <w:pPr>
        <w:pStyle w:val="Style23"/>
        <w:rPr/>
      </w:pPr>
      <w:bookmarkStart w:id="155" w:name="_Ref132801184"/>
      <w:bookmarkStart w:id="156" w:name="_Toc228877692"/>
      <w:r>
        <w:rPr/>
        <w:t>Открытие доступа ко вторым частям заявок и ценовым предложениям</w:t>
      </w:r>
      <w:bookmarkEnd w:id="155"/>
      <w:bookmarkEnd w:id="156"/>
    </w:p>
    <w:p>
      <w:pPr>
        <w:pStyle w:val="Style24"/>
        <w:rPr/>
      </w:pPr>
      <w:r>
        <w:rPr/>
        <w:t>Оператор ЭП направляет в адрес Организатора вторые части заявок и ценовые предложения в срок, установленный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4"/>
        <w:rPr/>
      </w:pPr>
      <w:r>
        <w:rPr/>
        <w:t>Подробные правила открытия Организатору доступа ко вторым частям заявок и ценовым предложениям определяются Регламентом ЭП, с использованием которой проводится закупка. Оператор ЭП обеспечивает конфиденциальность сведений содержащихся во вторых частях заявок и ценовых предложениях Участников такой закупки.</w:t>
      </w:r>
    </w:p>
    <w:p>
      <w:pPr>
        <w:pStyle w:val="Style23"/>
        <w:rPr/>
      </w:pPr>
      <w:bookmarkStart w:id="157" w:name="_Ref132797154"/>
      <w:bookmarkStart w:id="158" w:name="_Toc228877693"/>
      <w:r>
        <w:rPr/>
        <w:t>Рассмотрение вторых частей заявок (отборочная стадия), в том числе (при необходимости) проведение аккредитации, и ценовых предложений</w:t>
      </w:r>
      <w:bookmarkEnd w:id="157"/>
      <w:bookmarkEnd w:id="158"/>
    </w:p>
    <w:p>
      <w:pPr>
        <w:pStyle w:val="Style24"/>
        <w:rPr/>
      </w:pPr>
      <w:r>
        <w:rPr/>
        <w:t>Дата окончания срока рассмотрения вторых частей заявок и ценовых предложений установлена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ее, официально разместив информацию об этом.</w:t>
      </w:r>
    </w:p>
    <w:p>
      <w:pPr>
        <w:pStyle w:val="Style24"/>
        <w:rPr/>
      </w:pPr>
      <w:r>
        <w:rPr/>
        <w:t xml:space="preserve">В рамках рассмотрения вторых частей заявок и ценового предложения (отборочной стадии) осуществляется проверка каждой заявки, не отклоненной по результатам рассмотрения первых частей заявок, на предмет соответствия </w:t>
      </w:r>
      <w:hyperlink w:anchor="Прил07_ОтборочныеКритерии">
        <w:r>
          <w:rPr>
            <w:rStyle w:val="Style11"/>
          </w:rPr>
          <w:t>Отборочным критериям рассмотрения заявок (Приложение № 7)</w:t>
        </w:r>
      </w:hyperlink>
      <w:r>
        <w:rPr/>
        <w:t>, в том числе проводится процедура аккредитации Участников (при необходимости).</w:t>
      </w:r>
    </w:p>
    <w:p>
      <w:pPr>
        <w:pStyle w:val="Style24"/>
        <w:rPr/>
      </w:pPr>
      <w:r>
        <w:rPr/>
        <w:t>Рассмотрение вторых частей заявок и ценового предложения проводится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p>
    <w:p>
      <w:pPr>
        <w:pStyle w:val="Style24"/>
        <w:keepNext w:val="true"/>
        <w:rPr/>
      </w:pPr>
      <w:bookmarkStart w:id="159" w:name="_Ref224835594"/>
      <w:r>
        <w:rPr/>
        <w:t>При выявлении в рамках рассмотрения ценовых предложений наличия арифметических ошибок, в том числе:</w:t>
      </w:r>
      <w:bookmarkEnd w:id="159"/>
    </w:p>
    <w:p>
      <w:pPr>
        <w:pStyle w:val="Style25"/>
        <w:rPr/>
      </w:pPr>
      <w:r>
        <w:rPr/>
        <w:t>в результате суммирования единичных расценок;</w:t>
      </w:r>
    </w:p>
    <w:p>
      <w:pPr>
        <w:pStyle w:val="Style25"/>
        <w:rPr/>
      </w:pPr>
      <w:r>
        <w:rPr/>
        <w:t>в итогах умножения единичных расценок на объем продукции;</w:t>
      </w:r>
    </w:p>
    <w:p>
      <w:pPr>
        <w:pStyle w:val="Style25"/>
        <w:rPr/>
      </w:pPr>
      <w:r>
        <w:rPr/>
        <w:t>в вычислении суммы НДС и итоговой стоимости заявки с учетом НДС);</w:t>
      </w:r>
    </w:p>
    <w:p>
      <w:pPr>
        <w:pStyle w:val="Style25"/>
        <w:rPr/>
      </w:pPr>
      <w:r>
        <w:rPr/>
        <w:t>иных внутренних противоречий в составе заявки,</w:t>
      </w:r>
    </w:p>
    <w:p>
      <w:pPr>
        <w:pStyle w:val="Style28"/>
        <w:ind w:left="1134" w:hanging="0"/>
        <w:rPr/>
      </w:pPr>
      <w:r>
        <w:rPr/>
        <w:t>Организатор исходит из преимущества общей итоговой стоимости (без учета НДС), указанной в структурированных формах на ЭП (последней по времени подачи) и подписанной усиленной квалифицированной электронной подписью уполномоченного лица Участника. При уклонении Участника от заключения договора на вышеуказанных условиях заявка такого Участника подлежит отклонению решением Закупочной комиссии.</w:t>
      </w:r>
    </w:p>
    <w:p>
      <w:pPr>
        <w:pStyle w:val="Style24"/>
        <w:keepNext w:val="true"/>
        <w:rPr/>
      </w:pPr>
      <w:bookmarkStart w:id="160" w:name="_Ref132793926"/>
      <w:r>
        <w:rPr/>
        <w:t>По результатам рассмотрения вторых частей заявок и ценовых предложений (проведения отборочной стадии) Закупочная комиссия отклоняет заявки по следующим основаниям:</w:t>
      </w:r>
      <w:bookmarkEnd w:id="160"/>
    </w:p>
    <w:p>
      <w:pPr>
        <w:pStyle w:val="Style25"/>
        <w:rPr/>
      </w:pPr>
      <w:r>
        <w:rPr/>
        <w:t>несоответствие второй части заявки и (или) ценового предложения по составу</w:t>
      </w:r>
      <w:r>
        <w:rPr>
          <w:rStyle w:val="FootnoteReference"/>
        </w:rPr>
        <w:footnoteReference w:id="5"/>
      </w:r>
      <w:r>
        <w:rPr/>
        <w:t>, содержанию и соблюдению требований Документации о закупке к подготовке (оформлению) заявки, в том числе наличие:</w:t>
      </w:r>
    </w:p>
    <w:p>
      <w:pPr>
        <w:pStyle w:val="Style26"/>
        <w:rPr/>
      </w:pPr>
      <w:r>
        <w:rPr/>
        <w:t>недостоверных сведений или намеренно искаженной информации или документов;</w:t>
      </w:r>
    </w:p>
    <w:p>
      <w:pPr>
        <w:pStyle w:val="Style26"/>
        <w:rPr/>
      </w:pPr>
      <w:r>
        <w:rPr/>
        <w:t xml:space="preserve">внутренних противоречий между различными частями и (или) документами второй части заявки и (или) ценового предложения, в том числе по тексту внутри одного документа (за исключением ошибок, предусмотренных пунктом </w:t>
      </w:r>
      <w:r>
        <w:rPr/>
        <w:fldChar w:fldCharType="begin"/>
      </w:r>
      <w:r>
        <w:rPr/>
        <w:instrText xml:space="preserve"> REF _Ref224835594 \r \h </w:instrText>
      </w:r>
      <w:r>
        <w:rPr/>
        <w:fldChar w:fldCharType="separate"/>
      </w:r>
      <w:r>
        <w:rPr/>
        <w:t>4.11.4</w:t>
      </w:r>
      <w:r>
        <w:rPr/>
        <w:fldChar w:fldCharType="end"/>
      </w:r>
      <w:r>
        <w:rPr/>
        <w:t>);</w:t>
      </w:r>
    </w:p>
    <w:p>
      <w:pPr>
        <w:pStyle w:val="Style25"/>
        <w:rPr/>
      </w:pPr>
      <w:r>
        <w:rPr/>
        <w:t>несоответствие предлагаемой продукции требованиям Документации о закупке, с учетом представленных во второй части заявки соответствующих подтверждающих документов;</w:t>
      </w:r>
    </w:p>
    <w:p>
      <w:pPr>
        <w:pStyle w:val="Style25"/>
        <w:rPr/>
      </w:pPr>
      <w:r>
        <w:rPr/>
        <w:t>несоответствие Участников требованиям Документации о закупке;</w:t>
      </w:r>
    </w:p>
    <w:p>
      <w:pPr>
        <w:pStyle w:val="Style25"/>
        <w:rPr/>
      </w:pPr>
      <w:r>
        <w:rPr/>
        <w:t>несоответствие привлекаемых субподрядчиков (соисполнителей) требованиям Документации о закупке;</w:t>
      </w:r>
    </w:p>
    <w:p>
      <w:pPr>
        <w:pStyle w:val="Style25"/>
        <w:rPr/>
      </w:pPr>
      <w:r>
        <w:rPr/>
        <w:t>превышение ценового предложения над установленным размером НМЦ.</w:t>
      </w:r>
    </w:p>
    <w:p>
      <w:pPr>
        <w:pStyle w:val="Style24"/>
        <w:keepNext w:val="true"/>
        <w:rPr/>
      </w:pPr>
      <w:r>
        <w:rPr/>
        <w:t>Решение Закупочной комиссии по рассмотрению вторых частей заявок и ценового предложения оформляется протоколом, в котором, как минимум, указываются</w:t>
      </w:r>
      <w:r>
        <w:rPr>
          <w:rStyle w:val="FootnoteReference"/>
        </w:rPr>
        <w:footnoteReference w:id="6"/>
      </w:r>
      <w:r>
        <w:rPr/>
        <w:t>:</w:t>
      </w:r>
    </w:p>
    <w:p>
      <w:pPr>
        <w:pStyle w:val="Style25"/>
        <w:rPr/>
      </w:pPr>
      <w:r>
        <w:rPr/>
        <w:t>дата подписания протокола;</w:t>
      </w:r>
    </w:p>
    <w:p>
      <w:pPr>
        <w:pStyle w:val="Style25"/>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 с указанием ценового предложения такой заявки;</w:t>
      </w:r>
    </w:p>
    <w:p>
      <w:pPr>
        <w:pStyle w:val="Style25"/>
        <w:rPr/>
      </w:pPr>
      <w:r>
        <w:rPr/>
        <w:t>наименования Участников, заявки которых не были отклонены по результатам рассмотрения первых частей заявок, и (или) их идентификационные номера, присваиваемые Оператором ЭП;</w:t>
      </w:r>
    </w:p>
    <w:p>
      <w:pPr>
        <w:pStyle w:val="Style25"/>
        <w:keepNext w:val="true"/>
        <w:rPr/>
      </w:pPr>
      <w:r>
        <w:rPr/>
        <w:t>результаты рассмотрения вторых частей заявок и ценовых предложений с указанием, в том числе:</w:t>
      </w:r>
    </w:p>
    <w:p>
      <w:pPr>
        <w:pStyle w:val="Style26"/>
        <w:rPr/>
      </w:pPr>
      <w:r>
        <w:rPr/>
        <w:t>количества заявок, которые были отклонены по результатам рассмотрения вторых частей заявок и ценовых предложений;</w:t>
      </w:r>
    </w:p>
    <w:p>
      <w:pPr>
        <w:pStyle w:val="Style26"/>
        <w:rPr/>
      </w:pPr>
      <w:r>
        <w:rPr/>
        <w:t>оснований отклонения каждой заявки с указанием положений Документации о закупке, которым не соответствует вторая часть такой заявка и (или) ценовое предложение;</w:t>
      </w:r>
    </w:p>
    <w:p>
      <w:pPr>
        <w:pStyle w:val="Style25"/>
        <w:rPr/>
      </w:pPr>
      <w:r>
        <w:rPr/>
        <w:t>причины, по которым закупка признана несостоявшейся в соответствии с подразделом </w:t>
      </w:r>
      <w:r>
        <w:rPr/>
        <w:fldChar w:fldCharType="begin"/>
      </w:r>
      <w:r>
        <w:rPr/>
        <w:instrText xml:space="preserve"> REF _Ref125364149 \w \h </w:instrText>
      </w:r>
      <w:r>
        <w:rPr/>
        <w:fldChar w:fldCharType="separate"/>
      </w:r>
      <w:r>
        <w:rPr/>
        <w:t>4.16</w:t>
      </w:r>
      <w:r>
        <w:rPr/>
        <w:fldChar w:fldCharType="end"/>
      </w:r>
      <w:r>
        <w:rPr/>
        <w:t xml:space="preserve"> (в случае ее признания таковой).</w:t>
      </w:r>
    </w:p>
    <w:p>
      <w:pPr>
        <w:pStyle w:val="Style24"/>
        <w:rPr/>
      </w:pPr>
      <w:r>
        <w:rPr/>
        <w:t>Протокол рассмотрения вторых частей заявок и (или) ценовых предложений направляется Организатором Оператору ЭП не позднее 3 (трех) календарных дней с даты подписания такого протокола, после чего он официально размещается (подраздел </w:t>
      </w:r>
      <w:r>
        <w:rPr/>
        <w:fldChar w:fldCharType="begin"/>
      </w:r>
      <w:r>
        <w:rPr/>
        <w:instrText xml:space="preserve"> REF _Ref130286532 \r \h </w:instrText>
      </w:r>
      <w:r>
        <w:rPr/>
        <w:fldChar w:fldCharType="separate"/>
      </w:r>
      <w:r>
        <w:rPr/>
        <w:t>4.2</w:t>
      </w:r>
      <w:r>
        <w:rPr/>
        <w:fldChar w:fldCharType="end"/>
      </w:r>
      <w:r>
        <w:rPr/>
        <w:t>) Оператором ЭП в течение 1 (одного) часа с момента его получения от Организатора.</w:t>
      </w:r>
    </w:p>
    <w:p>
      <w:pPr>
        <w:pStyle w:val="Style23"/>
        <w:rPr/>
      </w:pPr>
      <w:bookmarkStart w:id="161" w:name="_Ref125362381"/>
      <w:bookmarkStart w:id="162" w:name="_Ref125362425"/>
      <w:bookmarkStart w:id="163" w:name="_Ref125362464"/>
      <w:bookmarkStart w:id="164" w:name="_Ref125362610"/>
      <w:bookmarkStart w:id="165" w:name="_Toc228877694"/>
      <w:r>
        <w:rPr/>
        <w:t>Дополнительные запросы разъяснений заявок</w:t>
      </w:r>
      <w:bookmarkEnd w:id="161"/>
      <w:bookmarkEnd w:id="162"/>
      <w:bookmarkEnd w:id="163"/>
      <w:bookmarkEnd w:id="164"/>
      <w:bookmarkEnd w:id="165"/>
    </w:p>
    <w:p>
      <w:pPr>
        <w:pStyle w:val="Style24"/>
        <w:rPr/>
      </w:pPr>
      <w:bookmarkStart w:id="166" w:name="_Ref125365611"/>
      <w:r>
        <w:rPr/>
        <w:t>В рамках процедуры рассмотрения заявок (первых частей заявок, вторых частей заявок и ценовых предложений), оценки и сопоставления заявок Организатор вправе направить в адрес Участника дополнительный запрос разъяснений и (или) дополнений его заявки, влияющих на отклонение или оценку и сопоставление его заявки, в следующих случаях:</w:t>
      </w:r>
      <w:bookmarkEnd w:id="166"/>
    </w:p>
    <w:p>
      <w:pPr>
        <w:pStyle w:val="Style25"/>
        <w:keepNext w:val="true"/>
        <w:rPr/>
      </w:pPr>
      <w:r>
        <w:rPr/>
        <w:t>в составе заявки (в какой-либо ее части) отсутствуют, представлены не в полном объеме или в нечитаемом виде документы или сведения, необходимые для определения:</w:t>
      </w:r>
    </w:p>
    <w:p>
      <w:pPr>
        <w:pStyle w:val="Style26"/>
        <w:rPr/>
      </w:pPr>
      <w:r>
        <w:rPr/>
        <w:t>соответствия Участника требованиям Документации о закупке;</w:t>
      </w:r>
    </w:p>
    <w:p>
      <w:pPr>
        <w:pStyle w:val="Style26"/>
        <w:rPr/>
      </w:pPr>
      <w:bookmarkStart w:id="167" w:name="_Hlk132793683"/>
      <w:r>
        <w:rPr/>
        <w:t>наличия соответствующих полномочий на подписание заявки от имени Участника у лица, подписавшего заявку</w:t>
      </w:r>
      <w:bookmarkEnd w:id="167"/>
      <w:r>
        <w:rPr/>
        <w:t>;</w:t>
      </w:r>
    </w:p>
    <w:p>
      <w:pPr>
        <w:pStyle w:val="Style26"/>
        <w:rPr/>
      </w:pPr>
      <w:r>
        <w:rPr/>
        <w:t xml:space="preserve">соответствия заявки требованиям Документации о закупке в части характеристик предлагаемой продукции, страны происхождения товара и (или) страны регистрации Участника (в целях исполнения требований законодательства о национальном режиме (подраздел </w:t>
      </w:r>
      <w:r>
        <w:rPr/>
        <w:fldChar w:fldCharType="begin"/>
      </w:r>
      <w:r>
        <w:rPr/>
        <w:instrText xml:space="preserve"> REF _Ref186219943 \r \h </w:instrText>
      </w:r>
      <w:r>
        <w:rPr/>
        <w:fldChar w:fldCharType="separate"/>
      </w:r>
      <w:r>
        <w:rPr/>
        <w:t>4.14</w:t>
      </w:r>
      <w:r>
        <w:rPr/>
        <w:fldChar w:fldCharType="end"/>
      </w:r>
      <w:r>
        <w:rPr/>
        <w:t>), договорных условий и расчета цены Договора;</w:t>
      </w:r>
    </w:p>
    <w:p>
      <w:pPr>
        <w:pStyle w:val="Style25"/>
        <w:rPr/>
      </w:pPr>
      <w:bookmarkStart w:id="168" w:name="_Ref135033677"/>
      <w:r>
        <w:rPr/>
        <w:t>в составе заявки (в какой-либо ее части)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вторых частей заявок процедуры аккредитации (при необходимости);</w:t>
      </w:r>
    </w:p>
    <w:p>
      <w:pPr>
        <w:pStyle w:val="Style25"/>
        <w:rPr/>
      </w:pPr>
      <w:r>
        <w:rPr/>
        <w:t>в заявке (в какой-либо ее части) имеются разночтения или положения, допускающие неоднозначное толкование, не позволяющие определить соответствие заявки или Участника (в том числе не позволяющие провести в отношении него процедуру аккредитации (при необходимости)</w:t>
      </w:r>
      <w:r>
        <w:rPr>
          <w:rStyle w:val="FootnoteReference"/>
        </w:rPr>
        <w:footnoteReference w:id="7"/>
      </w:r>
      <w:r>
        <w:rPr/>
        <w:t>) требованиям Документации о закупке или осуществить оценку и сопоставление заявок.</w:t>
      </w:r>
      <w:bookmarkEnd w:id="168"/>
    </w:p>
    <w:p>
      <w:pPr>
        <w:pStyle w:val="Style24"/>
        <w:rPr/>
      </w:pPr>
      <w:r>
        <w:rPr/>
        <w:t>Если в рамках рассмотрения заявок (вторых частей заявок и ценовых предложений), проводится процедура аккредитации, Организатор вправе направить в адрес Участника дополнительный запрос разъяснений и (или) дополнений его заявки, влияющих на прохождение аккредитации таким Участником (в том числе в случае, указанном в подпункте </w:t>
      </w:r>
      <w:r>
        <w:rPr/>
        <w:fldChar w:fldCharType="begin"/>
      </w:r>
      <w:r>
        <w:rPr/>
        <w:instrText xml:space="preserve"> REF _Ref135033677 \r \h </w:instrText>
      </w:r>
      <w:r>
        <w:rPr/>
        <w:fldChar w:fldCharType="separate"/>
      </w:r>
      <w:r>
        <w:rPr/>
        <w:t>4.12.1б)</w:t>
      </w:r>
      <w:r>
        <w:rPr/>
        <w:fldChar w:fldCharType="end"/>
      </w:r>
      <w:r>
        <w:rPr/>
        <w:t>).</w:t>
      </w:r>
    </w:p>
    <w:p>
      <w:pPr>
        <w:pStyle w:val="Style24"/>
        <w:rPr/>
      </w:pPr>
      <w:r>
        <w:rPr/>
        <w:t>Не допускаются запросы со стороны Организатора, а также ответы со стороны Участников, изменяющие суть заявки (предмет, объем, цена, номенклатура предлагаемой Участником продукции).</w:t>
      </w:r>
    </w:p>
    <w:p>
      <w:pPr>
        <w:pStyle w:val="Style24"/>
        <w:rPr/>
      </w:pPr>
      <w:r>
        <w:rPr/>
        <w:t>При направлении дополнительных запросов разъяснений заявок не допускается создание преимущественных условий Участнику или нескольким Участникам закупки.</w:t>
      </w:r>
    </w:p>
    <w:p>
      <w:pPr>
        <w:pStyle w:val="Style24"/>
        <w:rPr/>
      </w:pPr>
      <w:r>
        <w:rPr/>
        <w:t>Дополнительные запросы направляются одновременно (в один день) всем Участникам, у которых был выявлен факт несоответствий, за исключением следующего – дополнительные запросы не направляются Участнику если в соответствии с пунктами </w:t>
      </w:r>
      <w:r>
        <w:rPr/>
        <w:fldChar w:fldCharType="begin"/>
      </w:r>
      <w:r>
        <w:rPr/>
        <w:instrText xml:space="preserve"> REF _Ref125551456 \r \h </w:instrText>
      </w:r>
      <w:r>
        <w:rPr/>
        <w:fldChar w:fldCharType="separate"/>
      </w:r>
      <w:r>
        <w:rPr/>
        <w:t>4.9.4</w:t>
      </w:r>
      <w:r>
        <w:rPr/>
        <w:fldChar w:fldCharType="end"/>
      </w:r>
      <w:r>
        <w:rPr/>
        <w:t xml:space="preserve">, </w:t>
      </w:r>
      <w:r>
        <w:rPr/>
        <w:fldChar w:fldCharType="begin"/>
      </w:r>
      <w:r>
        <w:rPr/>
        <w:instrText xml:space="preserve"> REF _Ref132793926 \r \h </w:instrText>
      </w:r>
      <w:r>
        <w:rPr/>
        <w:fldChar w:fldCharType="separate"/>
      </w:r>
      <w:r>
        <w:rPr/>
        <w:t>4.11.5</w:t>
      </w:r>
      <w:r>
        <w:rPr/>
        <w:fldChar w:fldCharType="end"/>
      </w:r>
      <w:r>
        <w:rPr/>
        <w:t xml:space="preserve"> имеются прямые основания для отклонения заявки такого Участника, не относящиеся к случаям, перечисленным в пункте </w:t>
      </w:r>
      <w:r>
        <w:rPr/>
        <w:fldChar w:fldCharType="begin"/>
      </w:r>
      <w:r>
        <w:rPr/>
        <w:instrText xml:space="preserve"> REF _Ref125365611 \w \h </w:instrText>
      </w:r>
      <w:r>
        <w:rPr/>
        <w:fldChar w:fldCharType="separate"/>
      </w:r>
      <w:r>
        <w:rPr/>
        <w:t>4.12.1</w:t>
      </w:r>
      <w:r>
        <w:rPr/>
        <w:fldChar w:fldCharType="end"/>
      </w:r>
      <w:r>
        <w:rPr/>
        <w:t>.</w:t>
      </w:r>
    </w:p>
    <w:p>
      <w:pPr>
        <w:pStyle w:val="Style24"/>
        <w:rPr/>
      </w:pPr>
      <w:r>
        <w:rPr/>
        <w:t>Срок предоставления Участниками разъяснений своих заявок устанавливается одинаковый для всех и составляет не менее 2 (двух) рабочих дней с момента направления запроса в адрес Участника.</w:t>
      </w:r>
    </w:p>
    <w:p>
      <w:pPr>
        <w:pStyle w:val="Style24"/>
        <w:rPr/>
      </w:pPr>
      <w:r>
        <w:rPr/>
        <w:t>Направление Организатором дополнительных запросов и ответов Участников на данные запросы осуществляется с помощью программных и технических средств ЭП в порядке, предусмотренном Регламентом ЭП (ответы Участников, поступившие не через ЭП, к рассмотрению не принимаются).</w:t>
      </w:r>
    </w:p>
    <w:p>
      <w:pPr>
        <w:pStyle w:val="Style24"/>
        <w:rPr/>
      </w:pPr>
      <w:r>
        <w:rPr/>
        <w:t>Непредставление или представление не в полном объеме запрашиваемых документов и (или) разъяснений в установленный в запросе срок служит основанием для отклонения заявки такого Участника по условиям пунктов </w:t>
      </w:r>
      <w:r>
        <w:rPr/>
        <w:fldChar w:fldCharType="begin"/>
      </w:r>
      <w:r>
        <w:rPr/>
        <w:instrText xml:space="preserve"> REF _Ref125551456 \r \h </w:instrText>
      </w:r>
      <w:r>
        <w:rPr/>
        <w:fldChar w:fldCharType="separate"/>
      </w:r>
      <w:r>
        <w:rPr/>
        <w:t>4.9.4</w:t>
      </w:r>
      <w:r>
        <w:rPr/>
        <w:fldChar w:fldCharType="end"/>
      </w:r>
      <w:r>
        <w:rPr/>
        <w:t xml:space="preserve">, </w:t>
      </w:r>
      <w:r>
        <w:rPr/>
        <w:fldChar w:fldCharType="begin"/>
      </w:r>
      <w:r>
        <w:rPr/>
        <w:instrText xml:space="preserve"> REF _Ref132793926 \r \h </w:instrText>
      </w:r>
      <w:r>
        <w:rPr/>
        <w:fldChar w:fldCharType="separate"/>
      </w:r>
      <w:r>
        <w:rPr/>
        <w:t>4.11.5</w:t>
      </w:r>
      <w:r>
        <w:rPr/>
        <w:fldChar w:fldCharType="end"/>
      </w:r>
      <w:r>
        <w:rPr/>
        <w:t>.</w:t>
      </w:r>
    </w:p>
    <w:p>
      <w:pPr>
        <w:pStyle w:val="Style23"/>
        <w:rPr/>
      </w:pPr>
      <w:bookmarkStart w:id="169" w:name="_Ref125362626"/>
      <w:bookmarkStart w:id="170" w:name="_Ref125365335"/>
      <w:bookmarkStart w:id="171" w:name="_Ref125365519"/>
      <w:bookmarkStart w:id="172" w:name="_Ref125366534"/>
      <w:bookmarkStart w:id="173" w:name="_Ref125369041"/>
      <w:bookmarkStart w:id="174" w:name="_Ref125369308"/>
      <w:bookmarkStart w:id="175" w:name="_Toc228877695"/>
      <w:r>
        <w:rPr/>
        <w:t>Оценка и сопоставление заявок</w:t>
      </w:r>
      <w:bookmarkEnd w:id="169"/>
      <w:bookmarkEnd w:id="170"/>
      <w:bookmarkEnd w:id="171"/>
      <w:bookmarkEnd w:id="172"/>
      <w:bookmarkEnd w:id="173"/>
      <w:bookmarkEnd w:id="174"/>
      <w:bookmarkEnd w:id="175"/>
    </w:p>
    <w:p>
      <w:pPr>
        <w:pStyle w:val="Style24"/>
        <w:rPr/>
      </w:pPr>
      <w:r>
        <w:rPr/>
        <w:t xml:space="preserve">Оценка и сопоставление заявок, признанных Закупочной комиссией соответствующими по результатам рассмотрения заявок (первых частей заявок, вторых частей заявок и ценовых предложений) осуществляется в соответствии с </w:t>
      </w:r>
      <w:hyperlink w:anchor="Прил08_ПорядокОценки">
        <w:r>
          <w:rPr>
            <w:rStyle w:val="Style11"/>
          </w:rPr>
          <w:t>Порядком и критериями оценки и сопоставления заявок (Приложение № 8)</w:t>
        </w:r>
      </w:hyperlink>
      <w:r>
        <w:rPr/>
        <w:t>, с присвоением каждой заявке итогового балла.</w:t>
      </w:r>
    </w:p>
    <w:p>
      <w:pPr>
        <w:pStyle w:val="Style24"/>
        <w:rPr/>
      </w:pPr>
      <w:r>
        <w:rPr/>
        <w:t>По результатам оценки заявок Закупочная комиссия в течение 1 (одного) рабочего дня осуществляет их сопоставление – ранжирует по степени их предпочтительности на основании полученного итогового балла (по мере уменьшения). При этом первое место в ранжировке присваивается заявке, получившей по результатам оценки наибольший итоговый балл (если в нескольких заявках содержатся одинаковые условия (заявкам присвоен одинаковый итоговый балл), меньший порядковый номер (более высокое место в ранжировке) присваивается заявке, которая поступила ранее других заявок, на основании информации о поступлении заявок, отражаемой на ЭП (по дате и времени последнего изменения заявки до окончания срока подачи заявок)).</w:t>
      </w:r>
    </w:p>
    <w:p>
      <w:pPr>
        <w:pStyle w:val="Style24"/>
        <w:rPr/>
      </w:pPr>
      <w:r>
        <w:rPr/>
        <w:t>Оценка и сопоставление заявок проводится только на основании представленных в составе заявки документов и сведений. Применение иного порядка и (или) критериев оценки и сопоставления заявок, кроме предусмотренных Документацией о закупке, не допускается.</w:t>
      </w:r>
    </w:p>
    <w:p>
      <w:pPr>
        <w:pStyle w:val="Style24"/>
        <w:rPr/>
      </w:pPr>
      <w:r>
        <w:rPr/>
        <w:t>Оценка и сопоставление заявок, а также их ранжировка, осуществляется с учетом применения законодательства о национальном режиме, в т.ч. ПП 1875 (подраздел </w:t>
      </w:r>
      <w:r>
        <w:rPr/>
        <w:fldChar w:fldCharType="begin"/>
      </w:r>
      <w:r>
        <w:rPr/>
        <w:instrText xml:space="preserve"> REF _Ref132816300 \r \h </w:instrText>
      </w:r>
      <w:r>
        <w:rPr/>
        <w:fldChar w:fldCharType="separate"/>
      </w:r>
      <w:r>
        <w:rPr/>
        <w:t>4.14</w:t>
      </w:r>
      <w:r>
        <w:rPr/>
        <w:fldChar w:fldCharType="end"/>
      </w:r>
      <w:r>
        <w:rPr/>
        <w:t>).</w:t>
      </w:r>
    </w:p>
    <w:p>
      <w:pPr>
        <w:pStyle w:val="Style24"/>
        <w:rPr/>
      </w:pPr>
      <w:r>
        <w:rPr/>
        <w:t>Результаты оценки и сопоставления заявок указываются в итоговом протоколе по результатам закупки.</w:t>
      </w:r>
    </w:p>
    <w:p>
      <w:pPr>
        <w:pStyle w:val="Style23"/>
        <w:rPr/>
      </w:pPr>
      <w:bookmarkStart w:id="176" w:name="_Ref186219943"/>
      <w:bookmarkStart w:id="177" w:name="_Ref132816300"/>
      <w:bookmarkStart w:id="178" w:name="_Toc228877696"/>
      <w:bookmarkStart w:id="179" w:name="_Ref130985951"/>
      <w:bookmarkStart w:id="180" w:name="_Ref125366064"/>
      <w:bookmarkStart w:id="181" w:name="_Ref125369991"/>
      <w:bookmarkStart w:id="182" w:name="_Ref125370507"/>
      <w:bookmarkStart w:id="183" w:name="_Ref130458671"/>
      <w:r>
        <w:rPr/>
        <w:t>Применение законодательства о национальном режиме</w:t>
      </w:r>
      <w:bookmarkEnd w:id="176"/>
      <w:bookmarkEnd w:id="177"/>
      <w:bookmarkEnd w:id="178"/>
      <w:bookmarkEnd w:id="179"/>
      <w:bookmarkEnd w:id="180"/>
      <w:bookmarkEnd w:id="181"/>
      <w:bookmarkEnd w:id="182"/>
      <w:bookmarkEnd w:id="183"/>
    </w:p>
    <w:p>
      <w:pPr>
        <w:pStyle w:val="Style24"/>
        <w:rPr/>
      </w:pPr>
      <w:r>
        <w:rPr/>
        <w:t>Настоящий подраздел применяется исходя из информации, установленной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4"/>
        <w:rPr/>
      </w:pPr>
      <w:bookmarkStart w:id="184" w:name="_Ref207817837"/>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запрета закупки иностранной продукции, то не допускается заключение Договора на поставку такой 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(подразделы </w:t>
      </w:r>
      <w:r>
        <w:rPr/>
        <w:fldChar w:fldCharType="begin"/>
      </w:r>
      <w:r>
        <w:rPr/>
        <w:instrText xml:space="preserve"> REF _Ref132797154 \r \h </w:instrText>
      </w:r>
      <w:r>
        <w:rPr/>
        <w:fldChar w:fldCharType="separate"/>
      </w:r>
      <w:r>
        <w:rPr/>
        <w:t>4.11</w:t>
      </w:r>
      <w:r>
        <w:rPr/>
        <w:fldChar w:fldCharType="end"/>
      </w:r>
      <w:r>
        <w:rPr/>
        <w:t>).</w:t>
      </w:r>
      <w:bookmarkEnd w:id="184"/>
    </w:p>
    <w:p>
      <w:pPr>
        <w:pStyle w:val="Style24"/>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ограничения закупки иностранной продукции, то не допускается заключение Договора на поставку такой продукции, если была подана и по результатам 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(подразделы </w:t>
      </w:r>
      <w:r>
        <w:rPr/>
        <w:fldChar w:fldCharType="begin"/>
      </w:r>
      <w:r>
        <w:rPr/>
        <w:instrText xml:space="preserve"> REF _Ref132797154 \r \h </w:instrText>
      </w:r>
      <w:r>
        <w:rPr/>
        <w:fldChar w:fldCharType="separate"/>
      </w:r>
      <w:r>
        <w:rPr/>
        <w:t>4.11</w:t>
      </w:r>
      <w:r>
        <w:rPr/>
        <w:fldChar w:fldCharType="end"/>
      </w:r>
      <w:r>
        <w:rPr/>
        <w:t>).</w:t>
      </w:r>
    </w:p>
    <w:p>
      <w:pPr>
        <w:pStyle w:val="Style24"/>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преимущества российской продукции, то при оценке и сопоставлении заявок, а также их ранжировке (подраздел </w:t>
      </w:r>
      <w:r>
        <w:rPr/>
        <w:fldChar w:fldCharType="begin"/>
      </w:r>
      <w:r>
        <w:rPr/>
        <w:instrText xml:space="preserve"> REF _Ref125362626 \r \h </w:instrText>
      </w:r>
      <w:r>
        <w:rPr/>
        <w:fldChar w:fldCharType="separate"/>
      </w:r>
      <w:r>
        <w:rPr/>
        <w:t>4.13</w:t>
      </w:r>
      <w:r>
        <w:rPr/>
        <w:fldChar w:fldCharType="end"/>
      </w:r>
      <w:r>
        <w:rPr/>
        <w:t>), осуществляется снижение</w:t>
      </w:r>
      <w:r>
        <w:rPr>
          <w:rStyle w:val="FootnoteReference"/>
        </w:rPr>
        <w:footnoteReference w:id="8"/>
      </w:r>
      <w:r>
        <w:rPr/>
        <w:t xml:space="preserve"> на 15% (пятнадцать процентов) итоговой стоимости (цены Договора) поданной и допущенной заявки с российской продукцией (на поставку товара российского происхождения (в том числе поставляемых при выполнении закупаемых работ, оказании закупаемых услуг)), при условии наличия допущенной заявки с иностранной продукцией (на поставку товара иностранного происхождения).</w:t>
      </w:r>
    </w:p>
    <w:p>
      <w:pPr>
        <w:pStyle w:val="Style24"/>
        <w:rPr/>
      </w:pPr>
      <w:bookmarkStart w:id="185" w:name="_Ref195007400"/>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Заказчик исполняет нормы в части минимальной обязательной доли закупок товаров российского происхождения, то не допускается заключение Договора на поставку товара иностранного происхождения, – соответствующая заявка отклоняется при рассмотрении заявок (подраздел </w:t>
      </w:r>
      <w:r>
        <w:rPr/>
        <w:fldChar w:fldCharType="begin"/>
      </w:r>
      <w:r>
        <w:rPr/>
        <w:instrText xml:space="preserve"> REF _Ref132797154 \r \h </w:instrText>
      </w:r>
      <w:r>
        <w:rPr/>
        <w:fldChar w:fldCharType="separate"/>
      </w:r>
      <w:r>
        <w:rPr/>
        <w:t>4.11</w:t>
      </w:r>
      <w:r>
        <w:rPr/>
        <w:fldChar w:fldCharType="end"/>
      </w:r>
      <w:r>
        <w:rPr/>
        <w:t>).</w:t>
      </w:r>
      <w:bookmarkEnd w:id="185"/>
    </w:p>
    <w:p>
      <w:pPr>
        <w:pStyle w:val="Style24"/>
        <w:rPr/>
      </w:pPr>
      <w:r>
        <w:rPr/>
        <w:t>Состав и требования к сведениям и (или) и перечню документов (их предоставлению Участником), которые подтверждают страну происхождения товара (страны ЕАЭС, включая Россию), в целях выполнения требований законодательства о национальном режиме (пункты </w:t>
      </w:r>
      <w:r>
        <w:rPr/>
        <w:fldChar w:fldCharType="begin"/>
      </w:r>
      <w:r>
        <w:rPr/>
        <w:instrText xml:space="preserve"> REF _Ref207817837 \r \h </w:instrText>
      </w:r>
      <w:r>
        <w:rPr/>
        <w:fldChar w:fldCharType="separate"/>
      </w:r>
      <w:r>
        <w:rPr/>
        <w:t>4.14.2</w:t>
      </w:r>
      <w:r>
        <w:rPr/>
        <w:fldChar w:fldCharType="end"/>
      </w:r>
      <w:r>
        <w:rPr/>
        <w:t> – </w:t>
      </w:r>
      <w:r>
        <w:rPr/>
        <w:fldChar w:fldCharType="begin"/>
      </w:r>
      <w:r>
        <w:rPr/>
        <w:instrText xml:space="preserve"> REF _Ref195007400 \r \h </w:instrText>
      </w:r>
      <w:r>
        <w:rPr/>
        <w:fldChar w:fldCharType="separate"/>
      </w:r>
      <w:r>
        <w:rPr/>
        <w:t>4.14.5</w:t>
      </w:r>
      <w:r>
        <w:rPr/>
        <w:fldChar w:fldCharType="end"/>
      </w:r>
      <w:r>
        <w:rPr/>
        <w:t>), установлены в Структуре НМЦ (в составе Коммерческого предложения (форма 3) (</w:t>
      </w:r>
      <w:hyperlink w:anchor="Прил04_ФормыЗаявки">
        <w:r>
          <w:rPr>
            <w:rStyle w:val="Style11"/>
          </w:rPr>
          <w:t>Приложение № 4</w:t>
        </w:r>
      </w:hyperlink>
      <w:r>
        <w:rPr/>
        <w:t>), а также в Технических требованиях (</w:t>
      </w:r>
      <w:hyperlink w:anchor="Прил01_ТехТребования">
        <w:r>
          <w:rPr>
            <w:rStyle w:val="Style11"/>
          </w:rPr>
          <w:t>Приложение № 1</w:t>
        </w:r>
      </w:hyperlink>
      <w:r>
        <w:rPr/>
        <w:t>) при исполнении Заказчиком норм в части минимальной обязательной доли закупок товаров российского происхождения.</w:t>
      </w:r>
    </w:p>
    <w:p>
      <w:pPr>
        <w:pStyle w:val="Style24"/>
        <w:keepNext w:val="true"/>
        <w:rPr/>
      </w:pPr>
      <w:r>
        <w:rPr/>
        <w:t>Товар приравнивается к товарам, происходящим из иностранного государства (не являющегося государством – членом ЕАЭС), если:</w:t>
      </w:r>
    </w:p>
    <w:p>
      <w:pPr>
        <w:pStyle w:val="Style25"/>
        <w:rPr/>
      </w:pPr>
      <w:r>
        <w:rPr/>
        <w:t>в отношении такого товара Участником не предоставлены в составе заявки требуемые Документацией о закупке подтверждающие сведения и (или) документы;</w:t>
      </w:r>
    </w:p>
    <w:p>
      <w:pPr>
        <w:pStyle w:val="Style25"/>
        <w:rPr/>
      </w:pPr>
      <w:r>
        <w:rPr/>
        <w:t>в соответствии с реестровой записью из реестра российской промышленной продукции количество указанных баллов за выполнение (освоение) на территории Российской Федерации соответствующих операций (условий) составляет меньшее значение по отношению к количеству баллов, определенных ПП 719 (в случае, если для такого товара ПП 719 установлены требования о совокупном количестве баллов).</w:t>
      </w:r>
    </w:p>
    <w:p>
      <w:pPr>
        <w:pStyle w:val="Style24"/>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запрета закупки иностранной продукции (в отношении позиции № 146 приложения № 1 к ПП 1875), то заявка, содержащая предложение о поставке российского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дополнительным требованиям к программному обеспечению в соответствии с ПП 325, приравнивается к заявке, содержащей предложение о поставке программного обеспечения, происходящего из иностранного государства (не являющегося государством – членом ЕАЭС), если на участие в закупке подана заявка (соответствующая установленным Документацией о закупке требованиям), содержащая предложение о поставке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дополнительным требованиям к программному обеспечению в соответствии с ПП 325.</w:t>
      </w:r>
    </w:p>
    <w:p>
      <w:pPr>
        <w:pStyle w:val="Style24"/>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ограничения закупки иностранной продукции (в отношении позиций №№ 195, 197 – 199, 203 приложения № 2 к ПП 1875), то заявка, содержащая предложение о поставке российской радиоэлектронной продукции, но не являющейся в соответствии с ПП 719 радиоэлектронной продукцией первого уровня, приравнивается к заявке, содержащей предложение о поставке радиоэлектронной продукции из иностранного государства (не являющегося государством – членом ЕАЭС), если на участие в закупке подана заявка (соответствующая установленным Документацией о закупке требованиям), содержащая предложение о поставке радиоэлектронной продукции российского происхождения, являющейся в соответствии с ПП 719 радиоэлектронной продукцией первого уровня.</w:t>
      </w:r>
    </w:p>
    <w:p>
      <w:pPr>
        <w:pStyle w:val="Style24"/>
        <w:rPr/>
      </w:pPr>
      <w:r>
        <w:rPr/>
        <w:t>Если Договор был заключен по результатам закупки, в которой был установлен режим запрета закупки иностранных товаров, выполнения работ и (или) оказания услуг иностранным лицом,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 установлен запрет;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pPr>
        <w:pStyle w:val="Style24"/>
        <w:rPr/>
      </w:pPr>
      <w:r>
        <w:rPr/>
        <w:t>Если Договор был заключен по результатам закупки, в которой был установлен режим ограничения закупки иностранных товаров,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было установлено ограничение, если Договор предусматривает поставку товара российского происхождения.</w:t>
      </w:r>
    </w:p>
    <w:p>
      <w:pPr>
        <w:pStyle w:val="Style24"/>
        <w:rPr/>
      </w:pPr>
      <w:r>
        <w:rPr/>
        <w:t>Если Договор был заключен по результатам закупки, в которой был установлен режим преимущество в отношении товара российского происхождения,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было установлено преимущество, если Договор предусматривает поставку товара российского происхождения.</w:t>
      </w:r>
    </w:p>
    <w:p>
      <w:pPr>
        <w:pStyle w:val="Style23"/>
        <w:rPr/>
      </w:pPr>
      <w:bookmarkStart w:id="186" w:name="_Ref125362658"/>
      <w:bookmarkStart w:id="187" w:name="_Ref125366091"/>
      <w:bookmarkStart w:id="188" w:name="_Ref125367242"/>
      <w:bookmarkStart w:id="189" w:name="_Toc228877698"/>
      <w:r>
        <w:rPr/>
        <w:t>Подведение итогов закупки (определение Победителя)</w:t>
      </w:r>
      <w:bookmarkEnd w:id="186"/>
      <w:bookmarkEnd w:id="187"/>
      <w:bookmarkEnd w:id="188"/>
      <w:bookmarkEnd w:id="189"/>
    </w:p>
    <w:p>
      <w:pPr>
        <w:pStyle w:val="Style24"/>
        <w:rPr/>
      </w:pPr>
      <w:r>
        <w:rPr/>
        <w:t>Дата окончания срока подведения итогов закупки указана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данный срок, официально разместив информацию об этом.</w:t>
      </w:r>
    </w:p>
    <w:p>
      <w:pPr>
        <w:pStyle w:val="Style24"/>
        <w:rPr/>
      </w:pPr>
      <w:r>
        <w:rPr/>
        <w:t>На основании полученных результатов оценки и сопоставления заявок Организатор подводит итоги закупки. Победителем закупки признается Участник, заявка которого заняла 1 (первое) место в ранжировке заявок по итогам рассмотрения, оценки и сопоставления заявок.</w:t>
      </w:r>
    </w:p>
    <w:p>
      <w:pPr>
        <w:pStyle w:val="Style24"/>
        <w:rPr/>
      </w:pPr>
      <w:r>
        <w:rPr/>
        <w:t>Если к моменту подведения итогов закупки с выбором в качестве Победителя ранее аккредитованного Участника прошло более 6 (шести) календарных месяцев с даты присвоения ему статуса «аккредитован» / «аккредитация не требуется», перед окончательным определением Победителя проводится процедура актуализации статуса аккредитации данного Участника. Если по результатам такой проверки Участнику присвоен статус «не аккредитован», его заявка отклоняется, а Закупочная комиссия имеет право выбрать в качестве Победителя иного Участника, занявшего следующее после него место в ранжировке заявок, из числа остальных действующих заявок (при наличии у него актуального статуса аккредитации).</w:t>
      </w:r>
    </w:p>
    <w:p>
      <w:pPr>
        <w:pStyle w:val="Style24"/>
        <w:keepNext w:val="true"/>
        <w:rPr/>
      </w:pPr>
      <w:bookmarkStart w:id="190" w:name="_Ref125365974"/>
      <w:r>
        <w:rPr/>
        <w:t>Решение Закупочной комиссии по определению Победителя оформляется итоговым протоколом по результатам закупки, в котором, как минимум, указываются</w:t>
      </w:r>
      <w:r>
        <w:rPr>
          <w:rStyle w:val="FootnoteReference"/>
        </w:rPr>
        <w:footnoteReference w:id="9"/>
      </w:r>
      <w:r>
        <w:rPr/>
        <w:t>:</w:t>
      </w:r>
      <w:bookmarkEnd w:id="190"/>
    </w:p>
    <w:p>
      <w:pPr>
        <w:pStyle w:val="Style25"/>
        <w:rPr/>
      </w:pPr>
      <w:r>
        <w:rPr/>
        <w:t>дата подписания протокола;</w:t>
      </w:r>
    </w:p>
    <w:p>
      <w:pPr>
        <w:pStyle w:val="Style25"/>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5"/>
        <w:rPr/>
      </w:pPr>
      <w:r>
        <w:rPr/>
        <w:t>наименования Участников, заявки которых были допущены по результатам рассмотрения вторых частей заявок и ценовых предложений, и (или) их идентификационные номера, присваиваемые Оператором ЭП;</w:t>
      </w:r>
    </w:p>
    <w:p>
      <w:pPr>
        <w:pStyle w:val="Style25"/>
        <w:keepNext w:val="true"/>
        <w:rPr/>
      </w:pPr>
      <w:r>
        <w:rPr/>
        <w:t>результаты рассмотрения заявок с указанием, в том числе:</w:t>
      </w:r>
    </w:p>
    <w:p>
      <w:pPr>
        <w:pStyle w:val="Style26"/>
        <w:rPr/>
      </w:pPr>
      <w:r>
        <w:rPr/>
        <w:t>количества заявок, которые были отклонены (отдельно по результатам рассмотрения первых частей заявок, по результатам рассмотрения вторых частей заявок и ценовых предложений);</w:t>
      </w:r>
    </w:p>
    <w:p>
      <w:pPr>
        <w:pStyle w:val="Style26"/>
        <w:rPr/>
      </w:pPr>
      <w:r>
        <w:rPr/>
        <w:t>оснований отклонения каждой заявки с указанием положений Документации о закупке, которым не соответствует такая заявка;</w:t>
      </w:r>
    </w:p>
    <w:p>
      <w:pPr>
        <w:pStyle w:val="Style25"/>
        <w:rPr/>
      </w:pPr>
      <w:r>
        <w:rPr/>
        <w:t>результаты дополнительного рассмотрения заявок (при возникновении оснований для отклонения заявок по результатам проведения актуализации статуса аккредитации, если такая процедура проводились) с указанием, в том числе:</w:t>
      </w:r>
    </w:p>
    <w:p>
      <w:pPr>
        <w:pStyle w:val="Style26"/>
        <w:rPr/>
      </w:pPr>
      <w:r>
        <w:rPr/>
        <w:t>количества заявок, которые были отклонены;</w:t>
      </w:r>
    </w:p>
    <w:p>
      <w:pPr>
        <w:pStyle w:val="Style26"/>
        <w:rPr/>
      </w:pPr>
      <w:r>
        <w:rPr/>
        <w:t>оснований отклонения каждой заявки с указанием положений Документации о закупке, которым не соответствует такая заявка;</w:t>
      </w:r>
    </w:p>
    <w:p>
      <w:pPr>
        <w:pStyle w:val="Style25"/>
        <w:rPr/>
      </w:pPr>
      <w:r>
        <w:rPr/>
        <w:t>результаты оценки и сопоставления заявок в том числе значения (в баллах), присвоенного каждой заявке по каждому из предусмотренных критериев оценки, установленных в Документации о закупке;</w:t>
      </w:r>
    </w:p>
    <w:p>
      <w:pPr>
        <w:pStyle w:val="Style25"/>
        <w:rPr/>
      </w:pPr>
      <w:r>
        <w:rPr/>
        <w:t>порядковые номера каждой заявки (с указанием стоимостей заявок (цен Договоров), не отклоненной по результатам рассмотрения вторых частей заявок и ценовых предложений, в том числе с учетом результатов актуализации статуса аккредитации (если указанная процедура проводилась), в ранжировке заявок;</w:t>
      </w:r>
    </w:p>
    <w:p>
      <w:pPr>
        <w:pStyle w:val="Style25"/>
        <w:rPr/>
      </w:pPr>
      <w:r>
        <w:rPr/>
        <w:t>наименование Победителя закупки или Единственного участника несостоявшейся закупки, с которым планируется заключить Договор;</w:t>
      </w:r>
    </w:p>
    <w:p>
      <w:pPr>
        <w:pStyle w:val="Style25"/>
        <w:rPr/>
      </w:pPr>
      <w:r>
        <w:rPr/>
        <w:t>причины, по которым закупка признана несостоявшейся (в случае ее признания таковой),</w:t>
      </w:r>
    </w:p>
    <w:p>
      <w:pPr>
        <w:pStyle w:val="Style28"/>
        <w:ind w:left="1134" w:hanging="0"/>
        <w:rPr/>
      </w:pPr>
      <w:r>
        <w:rPr/>
        <w:t>после чего Организатор официально размещает его в течение 3 (трех) календарных дней с даты подписания такого протокола.</w:t>
      </w:r>
    </w:p>
    <w:p>
      <w:pPr>
        <w:pStyle w:val="Style24"/>
        <w:rPr/>
      </w:pPr>
      <w:r>
        <w:rPr/>
        <w:t>Победитель дополнительно уведомляется о результатах проводимой закупки с использованием ЭП – уведомление направляется Оператором ЭП согласно Регламенту ЭП.</w:t>
      </w:r>
    </w:p>
    <w:p>
      <w:pPr>
        <w:pStyle w:val="Style24"/>
        <w:rPr/>
      </w:pPr>
      <w:r>
        <w:rPr/>
        <w:t>Если между официальным размещением итогового протокола по результатам закупки и подписанием Договора изменится Победитель (например, вследствие уклонения Победителя или потери им статуса), информация о новом Победителе официально размещается Организатором в том же порядке.</w:t>
      </w:r>
    </w:p>
    <w:p>
      <w:pPr>
        <w:pStyle w:val="Style24"/>
        <w:rPr/>
      </w:pPr>
      <w:r>
        <w:rPr/>
        <w:t>Любой Участник после официального размещения итогового протокола по результатам закупки вправе направить Организатору запрос о разъяснении результатов рассмотрения и (или) оценки и сопоставления своей заявки в порядке, аналогичном порядку направления запросов на разъяснение Документации о закупке (подраздел </w:t>
      </w:r>
      <w:r>
        <w:rPr/>
        <w:fldChar w:fldCharType="begin"/>
      </w:r>
      <w:r>
        <w:rPr/>
        <w:instrText xml:space="preserve"> REF _Ref130394205 \r \h </w:instrText>
      </w:r>
      <w:r>
        <w:rPr/>
        <w:fldChar w:fldCharType="separate"/>
      </w:r>
      <w:r>
        <w:rPr/>
        <w:t>4.4</w:t>
      </w:r>
      <w:r>
        <w:rPr/>
        <w:fldChar w:fldCharType="end"/>
      </w:r>
      <w:r>
        <w:rPr/>
        <w:t>). Организатор в течение 10 (десяти) рабочих дней со дня поступления такого запроса обязан предоставить такому Участнику соответствующие разъяснения. При этом в отношении иных Участников разъяснения не предоставляются.</w:t>
      </w:r>
    </w:p>
    <w:p>
      <w:pPr>
        <w:pStyle w:val="Style23"/>
        <w:rPr/>
      </w:pPr>
      <w:bookmarkStart w:id="191" w:name="_Ref125364149"/>
      <w:bookmarkStart w:id="192" w:name="_Ref125364187"/>
      <w:bookmarkStart w:id="193" w:name="_Ref125365305"/>
      <w:bookmarkStart w:id="194" w:name="_Ref125365570"/>
      <w:bookmarkStart w:id="195" w:name="_Ref125366631"/>
      <w:bookmarkStart w:id="196" w:name="_Ref125366796"/>
      <w:bookmarkStart w:id="197" w:name="_Toc228877699"/>
      <w:r>
        <w:rPr/>
        <w:t>Признание закупки несостоявшейся</w:t>
      </w:r>
      <w:bookmarkEnd w:id="191"/>
      <w:bookmarkEnd w:id="192"/>
      <w:bookmarkEnd w:id="193"/>
      <w:bookmarkEnd w:id="194"/>
      <w:bookmarkEnd w:id="195"/>
      <w:bookmarkEnd w:id="196"/>
      <w:bookmarkEnd w:id="197"/>
    </w:p>
    <w:p>
      <w:pPr>
        <w:pStyle w:val="Style24"/>
        <w:keepNext w:val="true"/>
        <w:rPr/>
      </w:pPr>
      <w:bookmarkStart w:id="198" w:name="_Ref214290552"/>
      <w:r>
        <w:rPr/>
        <w:t>Закупка признается несостоявшейся в следующих случаях:</w:t>
      </w:r>
      <w:bookmarkEnd w:id="198"/>
    </w:p>
    <w:p>
      <w:pPr>
        <w:pStyle w:val="Style25"/>
        <w:rPr/>
      </w:pPr>
      <w:r>
        <w:rPr/>
        <w:t>если по окончанию срока подачи заявок поступило менее 2 (двух) заявок (с учетом возможных отзывов заявок);</w:t>
      </w:r>
    </w:p>
    <w:p>
      <w:pPr>
        <w:pStyle w:val="Style25"/>
        <w:rPr/>
      </w:pPr>
      <w:r>
        <w:rPr/>
        <w:t>по результатам рассмотрения первых частей заявок Закупочной комиссией принято решение о признании менее 2 (двух) заявок соответствующими требованиям Документации о закупки;</w:t>
      </w:r>
    </w:p>
    <w:p>
      <w:pPr>
        <w:pStyle w:val="Style25"/>
        <w:rPr/>
      </w:pPr>
      <w:r>
        <w:rPr/>
        <w:t>по результатам рассмотрения вторых частей заявок и ценовых предложений Закупочной комиссией принято решение о признании менее 2 (двух) заявок соответствующими требованиям Документации о закупки;</w:t>
      </w:r>
    </w:p>
    <w:p>
      <w:pPr>
        <w:pStyle w:val="Style25"/>
        <w:rPr/>
      </w:pPr>
      <w:bookmarkStart w:id="199" w:name="_Hlk219297033"/>
      <w:r>
        <w:rPr/>
        <w:t>по результатам проведения закупки от заключения договора уклонились все допущенные Участники (подраздел</w:t>
      </w:r>
      <w:bookmarkEnd w:id="199"/>
      <w:r>
        <w:rPr/>
        <w:t xml:space="preserve"> </w:t>
      </w:r>
      <w:r>
        <w:rPr/>
        <w:fldChar w:fldCharType="begin"/>
      </w:r>
      <w:r>
        <w:rPr/>
        <w:instrText xml:space="preserve"> REF _Ref125367068 \r \h </w:instrText>
      </w:r>
      <w:r>
        <w:rPr/>
        <w:fldChar w:fldCharType="separate"/>
      </w:r>
      <w:r>
        <w:rPr/>
        <w:t>5.3</w:t>
      </w:r>
      <w:r>
        <w:rPr/>
        <w:fldChar w:fldCharType="end"/>
      </w:r>
      <w:r>
        <w:rPr/>
        <w:t>).</w:t>
      </w:r>
    </w:p>
    <w:p>
      <w:pPr>
        <w:pStyle w:val="Style24"/>
        <w:rPr/>
      </w:pPr>
      <w:r>
        <w:rPr/>
        <w:t>Указанные обстоятельства в случае их наступления фиксируются в соответствующем протоколе, оформляемом по результатам проведения закупки (или ее этапа).</w:t>
      </w:r>
    </w:p>
    <w:p>
      <w:pPr>
        <w:pStyle w:val="Style24"/>
        <w:keepNext w:val="true"/>
        <w:rPr/>
      </w:pPr>
      <w:r>
        <w:rPr/>
        <w:t>В случае признания закупки несостоявшейся (с учетом условий, предусмотренных Положением о закупке):</w:t>
      </w:r>
    </w:p>
    <w:p>
      <w:pPr>
        <w:pStyle w:val="Style25"/>
        <w:rPr/>
      </w:pPr>
      <w:r>
        <w:rPr/>
        <w:t xml:space="preserve">если поступила только 1 (одна) заявка от одного Участника (с учетом отозванных Участниками заявок), либо по результатам рассмотрения заявок (частей заявок, ценовых предложений в соответствии с пунктом </w:t>
      </w:r>
      <w:r>
        <w:rPr/>
        <w:fldChar w:fldCharType="begin"/>
      </w:r>
      <w:r>
        <w:rPr/>
        <w:instrText xml:space="preserve"> REF _Ref214290552 \r \h </w:instrText>
      </w:r>
      <w:r>
        <w:rPr/>
        <w:fldChar w:fldCharType="separate"/>
      </w:r>
      <w:r>
        <w:rPr/>
        <w:t>4.16.1</w:t>
      </w:r>
      <w:r>
        <w:rPr/>
        <w:fldChar w:fldCharType="end"/>
      </w:r>
      <w:r>
        <w:rPr/>
        <w:t>) принято решение о признании только 1 (одной) заявки соответствующей требованиям Документации о закупке – Заказчик заключает договор с Единственным участником несостоявшейся закупки (раздел </w:t>
      </w:r>
      <w:r>
        <w:rPr/>
        <w:fldChar w:fldCharType="begin"/>
      </w:r>
      <w:r>
        <w:rPr/>
        <w:instrText xml:space="preserve"> REF _Ref126142429 \r \h </w:instrText>
      </w:r>
      <w:r>
        <w:rPr/>
        <w:fldChar w:fldCharType="separate"/>
      </w:r>
      <w:r>
        <w:rPr/>
        <w:t>5</w:t>
      </w:r>
      <w:r>
        <w:rPr/>
        <w:fldChar w:fldCharType="end"/>
      </w:r>
      <w:r>
        <w:rPr/>
        <w:t>) (при наличии экономической целесообразности и/или при условии отсутствия времени на повторное проведение закупки).</w:t>
      </w:r>
    </w:p>
    <w:p>
      <w:pPr>
        <w:pStyle w:val="Style35"/>
        <w:numPr>
          <w:ilvl w:val="0"/>
          <w:numId w:val="0"/>
        </w:numPr>
        <w:ind w:left="1701" w:hanging="0"/>
        <w:rPr>
          <w:sz w:val="26"/>
          <w:szCs w:val="26"/>
        </w:rPr>
      </w:pPr>
      <w:r>
        <w:rPr>
          <w:sz w:val="26"/>
          <w:szCs w:val="26"/>
        </w:rPr>
        <w:t>В случае отсутствия экономической целесообразности и/или при наличии времени на повторное проведение закупки, Заказчик принимает одно из следующих решений в порядке приоритета:</w:t>
      </w:r>
    </w:p>
    <w:p>
      <w:pPr>
        <w:pStyle w:val="-1"/>
        <w:numPr>
          <w:ilvl w:val="0"/>
          <w:numId w:val="16"/>
        </w:numPr>
        <w:tabs>
          <w:tab w:val="clear" w:pos="2552"/>
        </w:tabs>
        <w:ind w:left="2127" w:hanging="426"/>
        <w:rPr>
          <w:sz w:val="26"/>
          <w:szCs w:val="26"/>
        </w:rPr>
      </w:pPr>
      <w:r>
        <w:rPr>
          <w:sz w:val="26"/>
          <w:szCs w:val="26"/>
        </w:rPr>
        <w:t>повторное проведение закупки (в том числе с возможностью снятия признака закупки только среди субъектов МСП);</w:t>
      </w:r>
    </w:p>
    <w:p>
      <w:pPr>
        <w:pStyle w:val="-1"/>
        <w:numPr>
          <w:ilvl w:val="0"/>
          <w:numId w:val="16"/>
        </w:numPr>
        <w:tabs>
          <w:tab w:val="clear" w:pos="2552"/>
        </w:tabs>
        <w:ind w:left="1701" w:hanging="0"/>
        <w:rPr>
          <w:sz w:val="26"/>
          <w:szCs w:val="26"/>
        </w:rPr>
      </w:pPr>
      <w:r>
        <w:rPr>
          <w:sz w:val="26"/>
          <w:szCs w:val="26"/>
        </w:rPr>
        <w:t>отказ от заключения договора по следующим основаниям:</w:t>
      </w:r>
    </w:p>
    <w:p>
      <w:pPr>
        <w:pStyle w:val="-1"/>
        <w:numPr>
          <w:ilvl w:val="0"/>
          <w:numId w:val="17"/>
        </w:numPr>
        <w:tabs>
          <w:tab w:val="clear" w:pos="2552"/>
        </w:tabs>
        <w:ind w:left="2410" w:hanging="283"/>
        <w:rPr>
          <w:sz w:val="26"/>
          <w:szCs w:val="26"/>
        </w:rPr>
      </w:pPr>
      <w:r>
        <w:rPr>
          <w:sz w:val="26"/>
          <w:szCs w:val="26"/>
        </w:rPr>
        <w:t>изменение финансовых, инвестиционных, производственных и иных программ, оказавших влияние на потребность в данной закупке;</w:t>
      </w:r>
    </w:p>
    <w:p>
      <w:pPr>
        <w:pStyle w:val="-1"/>
        <w:numPr>
          <w:ilvl w:val="0"/>
          <w:numId w:val="17"/>
        </w:numPr>
        <w:tabs>
          <w:tab w:val="clear" w:pos="2552"/>
        </w:tabs>
        <w:ind w:left="2410" w:hanging="283"/>
        <w:rPr>
          <w:sz w:val="26"/>
          <w:szCs w:val="26"/>
        </w:rPr>
      </w:pPr>
      <w:r>
        <w:rPr>
          <w:sz w:val="26"/>
          <w:szCs w:val="26"/>
        </w:rPr>
        <w:t>изменение потребности в продукции, в том числе изменение характеристик продукции, при наличии утверждения таких изменений;</w:t>
      </w:r>
    </w:p>
    <w:p>
      <w:pPr>
        <w:pStyle w:val="-1"/>
        <w:numPr>
          <w:ilvl w:val="0"/>
          <w:numId w:val="17"/>
        </w:numPr>
        <w:tabs>
          <w:tab w:val="clear" w:pos="2552"/>
        </w:tabs>
        <w:ind w:left="2410" w:hanging="283"/>
        <w:rPr>
          <w:sz w:val="26"/>
          <w:szCs w:val="26"/>
        </w:rPr>
      </w:pPr>
      <w:r>
        <w:rPr>
          <w:sz w:val="26"/>
          <w:szCs w:val="26"/>
        </w:rPr>
        <w:t>необходимость исполнения предписаний антимонопольного органа;</w:t>
      </w:r>
    </w:p>
    <w:p>
      <w:pPr>
        <w:pStyle w:val="-1"/>
        <w:numPr>
          <w:ilvl w:val="0"/>
          <w:numId w:val="16"/>
        </w:numPr>
        <w:tabs>
          <w:tab w:val="clear" w:pos="2552"/>
        </w:tabs>
        <w:ind w:left="2127" w:hanging="426"/>
        <w:rPr>
          <w:sz w:val="26"/>
          <w:szCs w:val="26"/>
        </w:rPr>
      </w:pPr>
      <w:bookmarkStart w:id="200" w:name="_Hlk214281841"/>
      <w:r>
        <w:rPr>
          <w:sz w:val="26"/>
          <w:szCs w:val="26"/>
        </w:rPr>
        <w:t>отказ от дополнительного повторного проведения закупки (при отсутствии заявок, соответствующих установленным требованиям, по результатам повторного проведения закупки);</w:t>
      </w:r>
      <w:bookmarkEnd w:id="200"/>
    </w:p>
    <w:p>
      <w:pPr>
        <w:pStyle w:val="Style25"/>
        <w:rPr/>
      </w:pPr>
      <w:r>
        <w:rPr/>
        <w:t xml:space="preserve">если не поступило ни одной заявки, либо по результатам рассмотрения заявок (частей заявок, ценовых предложений в соответствии с пунктом </w:t>
      </w:r>
      <w:r>
        <w:rPr/>
        <w:fldChar w:fldCharType="begin"/>
      </w:r>
      <w:r>
        <w:rPr/>
        <w:instrText xml:space="preserve"> REF _Ref214290552 \r \h </w:instrText>
      </w:r>
      <w:r>
        <w:rPr/>
        <w:fldChar w:fldCharType="separate"/>
      </w:r>
      <w:r>
        <w:rPr/>
        <w:t>4.16.1</w:t>
      </w:r>
      <w:r>
        <w:rPr/>
        <w:fldChar w:fldCharType="end"/>
      </w:r>
      <w:r>
        <w:rPr/>
        <w:t xml:space="preserve">), принято решение о признании их не соответствующими требованиям Документации о закупке, </w:t>
      </w:r>
      <w:bookmarkStart w:id="201" w:name="_Hlk219297054"/>
      <w:r>
        <w:rPr/>
        <w:t>либо по результатам проведения закупки от заключения договора уклонились все допущенные Участники</w:t>
      </w:r>
      <w:bookmarkEnd w:id="201"/>
      <w:r>
        <w:rPr/>
        <w:t xml:space="preserve"> – Заказчик проводит повторную закупку (</w:t>
      </w:r>
      <w:r>
        <w:rPr>
          <w:szCs w:val="26"/>
        </w:rPr>
        <w:t>в том числе с возможностью снятия признака закупки только среди субъектов МСП</w:t>
      </w:r>
      <w:r>
        <w:rPr/>
        <w:t>).</w:t>
      </w:r>
    </w:p>
    <w:p>
      <w:pPr>
        <w:pStyle w:val="Style35"/>
        <w:numPr>
          <w:ilvl w:val="0"/>
          <w:numId w:val="0"/>
        </w:numPr>
        <w:ind w:left="1701" w:hanging="0"/>
        <w:rPr>
          <w:sz w:val="26"/>
          <w:szCs w:val="26"/>
        </w:rPr>
      </w:pPr>
      <w:r>
        <w:rPr>
          <w:sz w:val="26"/>
          <w:szCs w:val="26"/>
        </w:rPr>
        <w:t>Заказчик вправе отказаться от проведения повторной закупки по следующим основаниям:</w:t>
      </w:r>
    </w:p>
    <w:p>
      <w:pPr>
        <w:pStyle w:val="-1"/>
        <w:numPr>
          <w:ilvl w:val="0"/>
          <w:numId w:val="17"/>
        </w:numPr>
        <w:tabs>
          <w:tab w:val="clear" w:pos="2552"/>
        </w:tabs>
        <w:ind w:left="2127" w:hanging="426"/>
        <w:rPr>
          <w:sz w:val="26"/>
          <w:szCs w:val="26"/>
        </w:rPr>
      </w:pPr>
      <w:r>
        <w:rPr>
          <w:sz w:val="26"/>
          <w:szCs w:val="26"/>
        </w:rPr>
        <w:t>изменение финансовых, инвестиционных, производственных и иных программ, оказавших влияние на потребность в данной закупке;</w:t>
      </w:r>
    </w:p>
    <w:p>
      <w:pPr>
        <w:pStyle w:val="-1"/>
        <w:numPr>
          <w:ilvl w:val="0"/>
          <w:numId w:val="17"/>
        </w:numPr>
        <w:tabs>
          <w:tab w:val="clear" w:pos="2552"/>
        </w:tabs>
        <w:ind w:left="2127" w:hanging="426"/>
        <w:rPr>
          <w:sz w:val="26"/>
          <w:szCs w:val="26"/>
        </w:rPr>
      </w:pPr>
      <w:r>
        <w:rPr>
          <w:sz w:val="26"/>
          <w:szCs w:val="26"/>
        </w:rPr>
        <w:t>изменение потребности в продукции, в том числе изменение характеристик продукции;</w:t>
      </w:r>
    </w:p>
    <w:p>
      <w:pPr>
        <w:pStyle w:val="-1"/>
        <w:numPr>
          <w:ilvl w:val="0"/>
          <w:numId w:val="17"/>
        </w:numPr>
        <w:tabs>
          <w:tab w:val="clear" w:pos="2552"/>
        </w:tabs>
        <w:ind w:left="2127" w:hanging="426"/>
        <w:rPr>
          <w:sz w:val="26"/>
          <w:szCs w:val="26"/>
        </w:rPr>
      </w:pPr>
      <w:r>
        <w:rPr>
          <w:sz w:val="26"/>
          <w:szCs w:val="26"/>
        </w:rPr>
        <w:t>при отсутствии заявок, соответствующих установленным требованиям, по результатам повторного проведения закупки.</w:t>
      </w:r>
    </w:p>
    <w:p>
      <w:pPr>
        <w:pStyle w:val="Style23"/>
        <w:rPr/>
      </w:pPr>
      <w:bookmarkStart w:id="202" w:name="_Ref132816134"/>
      <w:bookmarkStart w:id="203" w:name="_Ref132816141"/>
      <w:bookmarkStart w:id="204" w:name="_Toc228877700"/>
      <w:bookmarkStart w:id="205" w:name="_Ref126141962"/>
      <w:bookmarkStart w:id="206" w:name="_Toc224743821"/>
      <w:bookmarkStart w:id="207" w:name="_Toc224743822"/>
      <w:bookmarkStart w:id="208" w:name="_Toc224743823"/>
      <w:bookmarkStart w:id="209" w:name="_Toc224743824"/>
      <w:bookmarkEnd w:id="206"/>
      <w:bookmarkEnd w:id="207"/>
      <w:bookmarkEnd w:id="208"/>
      <w:bookmarkEnd w:id="209"/>
      <w:r>
        <w:rPr/>
        <w:t>Отказ от проведения закупки</w:t>
      </w:r>
      <w:bookmarkEnd w:id="205"/>
      <w:r>
        <w:rPr/>
        <w:t xml:space="preserve"> (отмена закупки)</w:t>
      </w:r>
      <w:bookmarkEnd w:id="202"/>
      <w:bookmarkEnd w:id="203"/>
      <w:bookmarkEnd w:id="204"/>
    </w:p>
    <w:p>
      <w:pPr>
        <w:pStyle w:val="Style24"/>
        <w:rPr/>
      </w:pPr>
      <w:r>
        <w:rPr/>
        <w:t>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p>
    <w:p>
      <w:pPr>
        <w:pStyle w:val="Style24"/>
        <w:rPr/>
      </w:pPr>
      <w:r>
        <w:rPr/>
        <w:t>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w:t>
      </w:r>
    </w:p>
    <w:p>
      <w:pPr>
        <w:pStyle w:val="Style24"/>
        <w:rPr/>
      </w:pPr>
      <w:r>
        <w:rPr/>
        <w:t>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 гражданским законодательством.</w:t>
      </w:r>
    </w:p>
    <w:p>
      <w:pPr>
        <w:pStyle w:val="Style23"/>
        <w:rPr/>
      </w:pPr>
      <w:bookmarkStart w:id="210" w:name="_Ref130455226"/>
      <w:bookmarkStart w:id="211" w:name="_Toc228877701"/>
      <w:r>
        <w:rPr/>
        <w:t>Особенности проведения закупки с необходимостью обеспечения заявки</w:t>
      </w:r>
      <w:bookmarkEnd w:id="210"/>
      <w:bookmarkEnd w:id="211"/>
    </w:p>
    <w:p>
      <w:pPr>
        <w:pStyle w:val="Style24"/>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предусмотрена обязанность Участников предоставить обеспечение заявки на участие в закупке.</w:t>
      </w:r>
    </w:p>
    <w:p>
      <w:pPr>
        <w:pStyle w:val="Style24"/>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4"/>
        <w:rPr/>
      </w:pPr>
      <w:r>
        <w:rPr/>
        <w:t>Обязательства Участников, связанные с подачей заявок, обеспечиваются в форме, порядке и размере в соответствии с подразделом </w:t>
      </w:r>
      <w:r>
        <w:rPr/>
        <w:fldChar w:fldCharType="begin"/>
      </w:r>
      <w:r>
        <w:rPr/>
        <w:instrText xml:space="preserve"> REF _Ref125359973 \r \h </w:instrText>
      </w:r>
      <w:r>
        <w:rPr/>
        <w:fldChar w:fldCharType="separate"/>
      </w:r>
      <w:r>
        <w:rPr/>
        <w:t>1.2</w:t>
      </w:r>
      <w:r>
        <w:rPr/>
        <w:fldChar w:fldCharType="end"/>
      </w:r>
      <w:r>
        <w:rPr/>
        <w:t>. Выбор формы (способа) обеспечения из числа предусмотренных осуществляется Участниками самостоятельно.</w:t>
      </w:r>
    </w:p>
    <w:p>
      <w:pPr>
        <w:pStyle w:val="Style24"/>
        <w:rPr/>
      </w:pPr>
      <w:r>
        <w:rPr/>
        <w:t>В случае выбора Участником обеспечения заявки в виде денежных средств, такие денежные средства в требуемом размере должны быть внесены до момента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на специальный банковский счет, открытый Участником в банке, включенном в перечень, определенный Правительством Российской Федерации в соответствии с Законом 44-ФЗ и размещенный на официальном сайте Министерства финансов Российской Федерации</w:t>
      </w:r>
      <w:r>
        <w:rPr>
          <w:rStyle w:val="FootnoteReference"/>
        </w:rPr>
        <w:footnoteReference w:id="10"/>
      </w:r>
      <w:r>
        <w:rPr/>
        <w:t xml:space="preserve"> и на сайте ЭП, с использованием которой проводится настоящая закупка,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Российской Федерации, а также наличия соответствующего соглашения об интеграции и обмене информацией с Оператором ЭП.</w:t>
      </w:r>
    </w:p>
    <w:p>
      <w:pPr>
        <w:pStyle w:val="Style24"/>
        <w:rPr/>
      </w:pPr>
      <w:r>
        <w:rPr/>
        <w:t>В течение 1 (одного) часа с момента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Оператор ЭП направляет в банк, в котором Участником открыт специальный банковский счет, информацию о таком Участнике и размере денежных средств, необходимом для обеспечения заявки. Банк в течение 1 (одного) часа с момента получения указанной информации осуществляет блокирование при наличии на специальном банковском счете Участника незаблокированных денежных средств в размере обеспечения заявки и информирует об этом Оператора ЭП.</w:t>
      </w:r>
    </w:p>
    <w:p>
      <w:pPr>
        <w:pStyle w:val="Style24"/>
        <w:rPr/>
      </w:pPr>
      <w:r>
        <w:rPr/>
        <w:t>Блокирование денежных средств не осуществляется в случае отсутствия на специальном банковском счете Участника денежных средств в требуемом размере, либо в случае приостановления операций по такому счету в соответствии с законодательством, о чем Оператор ЭП информируется в течение 1 (одного) часа.</w:t>
      </w:r>
    </w:p>
    <w:p>
      <w:pPr>
        <w:pStyle w:val="Style24"/>
        <w:rPr/>
      </w:pPr>
      <w:r>
        <w:rPr/>
        <w:t>Если блокирование денежных средств не может быть осуществлено, Оператор ЭП возвращает заявку подавшему ее Участнику в течение 1 (одного) часа с момента получения соответствующей информации от банка. Такая заявка автоматически отклоняется Оператором ЭП от дальнейшего участия в закупке, а сведения о ней не направляются в адрес Организатора.</w:t>
      </w:r>
    </w:p>
    <w:p>
      <w:pPr>
        <w:pStyle w:val="Style24"/>
        <w:keepNext w:val="true"/>
        <w:rPr/>
      </w:pPr>
      <w:r>
        <w:rPr/>
        <w:t>В случае выбора Участником обеспечения заявки путем предоставления независимой гарантии, такая независимая гарантия составляется с учетом требований статей 368 – 379 ГК РФ, а также следующих условий:</w:t>
      </w:r>
    </w:p>
    <w:p>
      <w:pPr>
        <w:pStyle w:val="Style25"/>
        <w:rPr/>
      </w:pPr>
      <w:r>
        <w:rPr/>
        <w:t>независимая гарантия должна быть безотзывной и безусловной (гарантия по первому требованию);</w:t>
      </w:r>
    </w:p>
    <w:p>
      <w:pPr>
        <w:pStyle w:val="Style25"/>
        <w:rPr/>
      </w:pPr>
      <w:r>
        <w:rPr/>
        <w:t>сумма независимой гарантии должна быть выражена в российских рублях и составлять не менее суммы, установленной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5"/>
        <w:rPr/>
      </w:pPr>
      <w:r>
        <w:rPr/>
        <w:t>бенефициаром в независимой гарантии должен быть указан Заказчик, принципалом – Участник, гарантом – организация, выдавшая независимую гарантию (подпункт </w:t>
      </w:r>
      <w:r>
        <w:rPr/>
        <w:fldChar w:fldCharType="begin"/>
      </w:r>
      <w:r>
        <w:rPr/>
        <w:instrText xml:space="preserve"> REF _Ref132716380 \w \h </w:instrText>
      </w:r>
      <w:r>
        <w:rPr/>
        <w:fldChar w:fldCharType="separate"/>
      </w:r>
      <w:r>
        <w:rPr/>
        <w:t>4.18.8л)</w:t>
      </w:r>
      <w:r>
        <w:rPr/>
        <w:fldChar w:fldCharType="end"/>
      </w:r>
      <w:r>
        <w:rPr/>
        <w:t>);</w:t>
      </w:r>
    </w:p>
    <w:p>
      <w:pPr>
        <w:pStyle w:val="Style25"/>
        <w:rPr/>
      </w:pPr>
      <w:r>
        <w:rPr/>
        <w:t>в независимой гарантии должно быть предусмотрено условие об обязанности гаранта уплатить Заказчику (бенефициару) денежную сумму по независимой гарантии не позднее 10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ГК РФ оснований для отказа в удовлетворении этого требования;</w:t>
      </w:r>
    </w:p>
    <w:p>
      <w:pPr>
        <w:pStyle w:val="Style25"/>
        <w:rPr/>
      </w:pPr>
      <w:r>
        <w:rPr/>
        <w:t>в независимой гарантии должен быть указан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w:t>
      </w:r>
    </w:p>
    <w:p>
      <w:pPr>
        <w:pStyle w:val="Style25"/>
        <w:rPr/>
      </w:pPr>
      <w:r>
        <w:rPr/>
        <w:t>в независимой гарантии должен быть указан срок действия независимой гарантии, который не может составлять менее одного месяца с даты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w:t>
      </w:r>
    </w:p>
    <w:p>
      <w:pPr>
        <w:pStyle w:val="Style25"/>
        <w:rPr/>
      </w:pPr>
      <w:r>
        <w:rPr/>
        <w:t>независимая гарантия не должна содержать условие о предоставлении Заказчиком гаранту судебных актов, подтверждающих неисполнение Участником обязательств, обеспечиваемых независимой гарантией;</w:t>
      </w:r>
    </w:p>
    <w:p>
      <w:pPr>
        <w:pStyle w:val="Style25"/>
        <w:rPr/>
      </w:pPr>
      <w:r>
        <w:rPr/>
        <w:t>в независимой гарантии должно быть предусмотрено безусловное право Заказчика на истребование суммы независимой гарантии полностью или частично, в случае нарушения Участником закупки своих обязательств (пункт </w:t>
      </w:r>
      <w:r>
        <w:rPr/>
        <w:fldChar w:fldCharType="begin"/>
      </w:r>
      <w:r>
        <w:rPr/>
        <w:instrText xml:space="preserve"> REF _Ref132716182 \r \h </w:instrText>
      </w:r>
      <w:r>
        <w:rPr/>
        <w:fldChar w:fldCharType="separate"/>
      </w:r>
      <w:r>
        <w:rPr/>
        <w:t>4.18.14</w:t>
      </w:r>
      <w:r>
        <w:rPr/>
        <w:fldChar w:fldCharType="end"/>
      </w:r>
      <w:r>
        <w:rPr/>
        <w:t>);</w:t>
      </w:r>
    </w:p>
    <w:p>
      <w:pPr>
        <w:pStyle w:val="Style25"/>
        <w:rPr/>
      </w:pPr>
      <w:r>
        <w:rPr/>
        <w:t>независимая гарантия должна содержать условия, предусмотренные Законом 223-ФЗ, а также соответствовать дополнительным требованиям к независимой гарантии, используемой для целей проведения конкурентных закупок с участием субъектов МСП, устанавливаемым Правительством Российской Федерации;</w:t>
      </w:r>
    </w:p>
    <w:p>
      <w:pPr>
        <w:pStyle w:val="Style25"/>
        <w:rPr/>
      </w:pPr>
      <w:r>
        <w:rPr/>
        <w:t>в независимой гарантии не должно быть условий или требований, противоречащих вышеизложенному или делающих вышеизложенное неисполнимым;</w:t>
      </w:r>
    </w:p>
    <w:p>
      <w:pPr>
        <w:pStyle w:val="Style25"/>
        <w:rPr/>
      </w:pPr>
      <w:bookmarkStart w:id="212" w:name="_Ref132716380"/>
      <w:r>
        <w:rPr/>
        <w:t>независимая гарантия должна быть выдана организацией из числа указанных в части 1 статьи 45 Закона 44-ФЗ;</w:t>
      </w:r>
      <w:bookmarkEnd w:id="212"/>
    </w:p>
    <w:p>
      <w:pPr>
        <w:pStyle w:val="Style25"/>
        <w:rPr/>
      </w:pPr>
      <w:r>
        <w:rPr/>
        <w:t>независимая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типовые формы (URDG 758) (Публикация Международной торговой палаты № 758). Редакция 2010 года» в той мере, в какой указанные правила не противоречат императивным нормам законодательства, а также предусматривать Арбитражный суд по месту нахождения Заказчика в качестве органа, компетентного разрешать споры из независимой гарантии;</w:t>
      </w:r>
    </w:p>
    <w:p>
      <w:pPr>
        <w:pStyle w:val="Style25"/>
        <w:rPr/>
      </w:pPr>
      <w:r>
        <w:rPr/>
        <w:t>информация о независимой гарантии должна быть включена в реестр независимых гарантий, предусмотренный частью 8 статьи </w:t>
      </w:r>
      <w:r>
        <w:rPr>
          <w:lang w:val="en-US"/>
        </w:rPr>
        <w:t>4</w:t>
      </w:r>
      <w:r>
        <w:rPr/>
        <w:t>5 Закона 44</w:t>
        <w:noBreakHyphen/>
        <w:t>ФЗ.</w:t>
      </w:r>
    </w:p>
    <w:p>
      <w:pPr>
        <w:pStyle w:val="Style24"/>
        <w:rPr/>
      </w:pPr>
      <w:r>
        <w:rPr/>
        <w:t>В случае выбора Участником обеспечения заявки путем предоставления независимой гарантии он должен предоставить в составе своей заявки копию такой гарантии, подтверждающую наличие обеспечения заявки в требуемом размере и соответствующую требованиям к условиям такой гарантии. В противном случае обеспечение заявки считается невнесенным, и Организатор обязан отклонить заявку такого Участника.</w:t>
      </w:r>
    </w:p>
    <w:p>
      <w:pPr>
        <w:pStyle w:val="Style24"/>
        <w:rPr/>
      </w:pPr>
      <w:r>
        <w:rPr/>
        <w:t>Несоответствие независимой гарантии, предоставленной Участником закупки, предусмотренным настоящей Документацией о закупке требованиям, является основанием для отклонения заявки такого Участника.</w:t>
      </w:r>
    </w:p>
    <w:p>
      <w:pPr>
        <w:pStyle w:val="Style24"/>
        <w:rPr/>
      </w:pPr>
      <w:r>
        <w:rPr/>
        <w:t>При многолотовой закупке (подраздел </w:t>
      </w:r>
      <w:r>
        <w:rPr/>
        <w:fldChar w:fldCharType="begin"/>
      </w:r>
      <w:r>
        <w:rPr/>
        <w:instrText xml:space="preserve"> REF _Ref149317181 \n \h </w:instrText>
      </w:r>
      <w:r>
        <w:rPr/>
        <w:fldChar w:fldCharType="separate"/>
      </w:r>
      <w:r>
        <w:rPr/>
        <w:t>4.19</w:t>
      </w:r>
      <w:r>
        <w:rPr/>
        <w:fldChar w:fldCharType="end"/>
      </w:r>
      <w:r>
        <w:rPr/>
        <w:t>) обеспечение исполнения обязательств Участника оформляется на сумму, равную суммарной стоимости обеспечения по всем лотам, на которые Участник подает заявку; также допускается внесение обеспечения отдельно по каждому из лотов. Удержание Организатором обеспечения может производиться только по тем лотам, на которые Участник подал заявку и по которым он был признан Победителем.</w:t>
      </w:r>
    </w:p>
    <w:p>
      <w:pPr>
        <w:pStyle w:val="Style24"/>
        <w:rPr/>
      </w:pPr>
      <w:r>
        <w:rPr/>
        <w:t>Подать заявку (принять участие в закупке) могут только Участники, предоставившие надлежащее обеспечение их заявок.</w:t>
      </w:r>
    </w:p>
    <w:p>
      <w:pPr>
        <w:pStyle w:val="Style24"/>
        <w:rPr/>
      </w:pPr>
      <w:r>
        <w:rPr/>
        <w:t>Требование об обеспечении заявки в равной мере распространяется на всех Участников.</w:t>
      </w:r>
    </w:p>
    <w:p>
      <w:pPr>
        <w:pStyle w:val="Style24"/>
        <w:keepNext w:val="true"/>
        <w:rPr/>
      </w:pPr>
      <w:bookmarkStart w:id="213" w:name="_Ref132716182"/>
      <w:r>
        <w:rPr/>
        <w:t>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bookmarkEnd w:id="213"/>
    </w:p>
    <w:p>
      <w:pPr>
        <w:pStyle w:val="Style25"/>
        <w:rPr/>
      </w:pPr>
      <w:r>
        <w:rPr/>
        <w:t>обязательство заключить Договор в установленном Документацией о закупке порядке (раздел </w:t>
      </w:r>
      <w:r>
        <w:rPr/>
        <w:fldChar w:fldCharType="begin"/>
      </w:r>
      <w:r>
        <w:rPr/>
        <w:instrText xml:space="preserve"> REF _Ref130224037 \r \h </w:instrText>
      </w:r>
      <w:r>
        <w:rPr/>
        <w:fldChar w:fldCharType="separate"/>
      </w:r>
      <w:r>
        <w:rPr/>
        <w:t>5</w:t>
      </w:r>
      <w:r>
        <w:rPr/>
        <w:fldChar w:fldCharType="end"/>
      </w:r>
      <w:r>
        <w:rPr/>
        <w:t>), в том числе предоставить Сведения о цепочке собственников, включая бенефициаров (в том числе конечных) (</w:t>
      </w:r>
      <w:hyperlink w:anchor="Прил05_ФормыПобедителя">
        <w:r>
          <w:rPr>
            <w:rStyle w:val="Style11"/>
          </w:rPr>
          <w:t>Приложение № 5</w:t>
        </w:r>
      </w:hyperlink>
      <w:r>
        <w:rPr/>
        <w:t>), а также предоставить иные документы в соответствии с условиями подраздела </w:t>
      </w:r>
      <w:r>
        <w:rPr/>
        <w:fldChar w:fldCharType="begin"/>
      </w:r>
      <w:r>
        <w:rPr/>
        <w:instrText xml:space="preserve"> REF _Ref138341423 \r \h </w:instrText>
      </w:r>
      <w:r>
        <w:rPr/>
        <w:fldChar w:fldCharType="separate"/>
      </w:r>
      <w:r>
        <w:rPr/>
        <w:t>5.2</w:t>
      </w:r>
      <w:r>
        <w:rPr/>
        <w:fldChar w:fldCharType="end"/>
      </w:r>
      <w:r>
        <w:rPr/>
        <w:t>;</w:t>
      </w:r>
    </w:p>
    <w:p>
      <w:pPr>
        <w:pStyle w:val="Style25"/>
        <w:rPr/>
      </w:pPr>
      <w:r>
        <w:rPr/>
        <w:t xml:space="preserve">обязательство предоставить до заключения договора Заказчику обеспечение исполнения договора – если </w:t>
      </w:r>
      <w:hyperlink w:anchor="Прил02_ПроектДоговора">
        <w:r>
          <w:rPr>
            <w:rStyle w:val="Style11"/>
          </w:rPr>
          <w:t>Проект договора (Приложение № 2)</w:t>
        </w:r>
      </w:hyperlink>
      <w:r>
        <w:rPr/>
        <w:t xml:space="preserve"> предусматривает обеспечение исполнения договора с соответствующими обязательствами (в порядке и сроки, предусмотренные </w:t>
      </w:r>
      <w:hyperlink w:anchor="Прил02_ПроектДоговора">
        <w:r>
          <w:rPr>
            <w:rStyle w:val="Style11"/>
          </w:rPr>
          <w:t>Проектом договора</w:t>
        </w:r>
      </w:hyperlink>
      <w:r>
        <w:rPr/>
        <w:t>).</w:t>
      </w:r>
    </w:p>
    <w:p>
      <w:pPr>
        <w:pStyle w:val="Style24"/>
        <w:rPr/>
      </w:pPr>
      <w:r>
        <w:rPr/>
        <w:t>В случае невыполнения Победителем указанных выше обязательств Организатор вправе удержать обеспечение заявки путем обращения в соответствующую организацию-гарант. При этом в случае предоставления Участником обеспечения в виде денежных средств, сумма обеспечения заявки, внесенная на специальный банковский счет, перечисляется банком-гарантом на счет Заказчика (подраздел </w:t>
      </w:r>
      <w:r>
        <w:rPr/>
        <w:fldChar w:fldCharType="begin"/>
      </w:r>
      <w:r>
        <w:rPr/>
        <w:instrText xml:space="preserve"> REF _Ref125359973 \r \h </w:instrText>
      </w:r>
      <w:r>
        <w:rPr/>
        <w:fldChar w:fldCharType="separate"/>
      </w:r>
      <w:r>
        <w:rPr/>
        <w:t>1.2</w:t>
      </w:r>
      <w:r>
        <w:rPr/>
        <w:fldChar w:fldCharType="end"/>
      </w:r>
      <w:r>
        <w:rPr/>
        <w:t>).</w:t>
      </w:r>
    </w:p>
    <w:p>
      <w:pPr>
        <w:pStyle w:val="Style24"/>
        <w:keepNext w:val="true"/>
        <w:rPr/>
      </w:pPr>
      <w:r>
        <w:rPr/>
        <w:t>Возврат обеспечения заявки (в случае предоставления Участником обеспечения в виде денежных средств) осуществляется Организатором в срок не более 7 (семи) рабочих дней с даты:</w:t>
      </w:r>
    </w:p>
    <w:p>
      <w:pPr>
        <w:pStyle w:val="Style25"/>
        <w:rPr/>
      </w:pPr>
      <w:r>
        <w:rPr/>
        <w:t>принятия решения об отказе от проведения закупки – всем Участникам, подавшим заявки к моменту принятия такого решения;</w:t>
      </w:r>
    </w:p>
    <w:p>
      <w:pPr>
        <w:pStyle w:val="Style25"/>
        <w:rPr/>
      </w:pPr>
      <w:r>
        <w:rPr/>
        <w:t>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p>
    <w:p>
      <w:pPr>
        <w:pStyle w:val="Style25"/>
        <w:rPr/>
      </w:pPr>
      <w:r>
        <w:rPr/>
        <w:t>официального размещения итогового протокола по результатам закупки – всем Участникам, кроме Победителя;</w:t>
      </w:r>
    </w:p>
    <w:p>
      <w:pPr>
        <w:pStyle w:val="Style25"/>
        <w:rPr/>
      </w:pPr>
      <w:r>
        <w:rPr/>
        <w:t>заключения Договора по результатам закупки – Победителю, с которым заключен Договор;</w:t>
      </w:r>
    </w:p>
    <w:p>
      <w:pPr>
        <w:pStyle w:val="Style25"/>
        <w:rPr/>
      </w:pPr>
      <w:r>
        <w:rPr/>
        <w:t>признания закупки несостоявшейся – Участнику, которому обеспечение не было возвращено по иным основаниям.</w:t>
      </w:r>
    </w:p>
    <w:p>
      <w:pPr>
        <w:pStyle w:val="Style24"/>
        <w:rPr/>
      </w:pPr>
      <w:r>
        <w:rPr/>
        <w:t>Возврат обеспечения заявки может быть задержан в случае поступления в установленном законодательством порядке жалобы по закупке (подраздел </w:t>
      </w:r>
      <w:r>
        <w:rPr/>
        <w:fldChar w:fldCharType="begin"/>
      </w:r>
      <w:r>
        <w:rPr/>
        <w:instrText xml:space="preserve"> REF _Ref125363536 \r \h </w:instrText>
      </w:r>
      <w:r>
        <w:rPr/>
        <w:fldChar w:fldCharType="separate"/>
      </w:r>
      <w:r>
        <w:rPr/>
        <w:t>2.3</w:t>
      </w:r>
      <w:r>
        <w:rPr/>
        <w:fldChar w:fldCharType="end"/>
      </w:r>
      <w:r>
        <w:rPr/>
        <w:t>) – на время рассмотрения жалобы.</w:t>
      </w:r>
    </w:p>
    <w:p>
      <w:pPr>
        <w:pStyle w:val="Style23"/>
        <w:rPr/>
      </w:pPr>
      <w:bookmarkStart w:id="214" w:name="_Ref149317181"/>
      <w:bookmarkStart w:id="215" w:name="_Toc228877702"/>
      <w:bookmarkStart w:id="216" w:name="_Ref130225422"/>
      <w:r>
        <w:rPr/>
        <w:t>Особенности проведения многолотовой закупки</w:t>
      </w:r>
      <w:bookmarkEnd w:id="214"/>
      <w:bookmarkEnd w:id="215"/>
      <w:bookmarkEnd w:id="216"/>
    </w:p>
    <w:p>
      <w:pPr>
        <w:pStyle w:val="Style24"/>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предусмотрено проведение многолотовой закупки.</w:t>
      </w:r>
    </w:p>
    <w:p>
      <w:pPr>
        <w:pStyle w:val="Style24"/>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4"/>
        <w:rPr/>
      </w:pPr>
      <w:r>
        <w:rPr/>
        <w:t>Многолотовая закупка может проводиться как для одного, так и для нескольких Заказчиков. Для всех лотов выпускается общее Извещение, Документация о закупке, решения по каждому лоту принимает одна и та же Закупочная комиссия. Любые положения Документации о закупке, если в них прямо не</w:t>
      </w:r>
      <w:r>
        <w:rPr>
          <w:lang w:val="en-US"/>
        </w:rPr>
        <w:t> </w:t>
      </w:r>
      <w:r>
        <w:rPr/>
        <w:t>указан номер конкретного лота, относятся ко всем лотам одновременно.</w:t>
      </w:r>
    </w:p>
    <w:p>
      <w:pPr>
        <w:pStyle w:val="Style24"/>
        <w:rPr/>
      </w:pPr>
      <w:r>
        <w:rPr/>
        <w:t>Участник может подать одну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 В многолотовой закупке подача Участником по одной заявке на каждый лот, не считается подачей второй заявки на закупку.</w:t>
      </w:r>
    </w:p>
    <w:p>
      <w:pPr>
        <w:pStyle w:val="Style24"/>
        <w:keepNext w:val="true"/>
        <w:rPr/>
      </w:pPr>
      <w:r>
        <w:rPr/>
        <w:t>В случае подачи заявки на несколько лотов дополнительно должны быть соблюдены следующие требования:</w:t>
      </w:r>
    </w:p>
    <w:p>
      <w:pPr>
        <w:pStyle w:val="Style25"/>
        <w:rPr/>
      </w:pPr>
      <w:r>
        <w:rPr/>
        <w:t>Письмо о подаче оферты (форма 2) (</w:t>
      </w:r>
      <w:hyperlink w:anchor="Прил04_ФормыЗаявки">
        <w:r>
          <w:rPr>
            <w:rStyle w:val="Style11"/>
          </w:rPr>
          <w:t>Приложение № 4</w:t>
        </w:r>
      </w:hyperlink>
      <w:r>
        <w:rPr/>
        <w:t>) должно содержать указание номера и названия каждого лота;</w:t>
      </w:r>
    </w:p>
    <w:p>
      <w:pPr>
        <w:pStyle w:val="Style25"/>
        <w:rPr/>
      </w:pPr>
      <w:r>
        <w:rPr/>
        <w:t xml:space="preserve">Коммерческое предложение (форма 3), Техническое предложение (форма 4), План распределения объемов поставки продукции (форма 4) – </w:t>
      </w:r>
      <w:hyperlink w:anchor="Прил04_ФормыЗаявки">
        <w:r>
          <w:rPr>
            <w:rStyle w:val="Style11"/>
          </w:rPr>
          <w:t>Приложение № 4</w:t>
        </w:r>
      </w:hyperlink>
      <w:r>
        <w:rPr/>
        <w:t>, должны быть подготовлены отдельно по каждому из лотов с указанием номера и названия лота.</w:t>
      </w:r>
    </w:p>
    <w:p>
      <w:pPr>
        <w:pStyle w:val="Style24"/>
        <w:rPr/>
      </w:pPr>
      <w:r>
        <w:rPr/>
        <w:t>Решения, принимаемые в ходе процедуры закупки, в том числе решения в рамках рассмотрения (первых частей заявок, вторых частей заявок и ценовых предложений), оценки и сопоставления заявок, определения Победителя, признания закупки несостоявшейся, отказа от дальнейшего ее проведения и т.д., осуществляются раздельно и независимо по каждому из лотов. При этом Организатор вправе оформить по каждому лоту отдельный протокол закупки или сформировать общий по всем лотам протокол закупки, в который в отношении каждого лота вносятся сведения, подлежащие официальному размещению.</w:t>
      </w:r>
    </w:p>
    <w:p>
      <w:pPr>
        <w:pStyle w:val="Style31"/>
        <w:keepNext w:val="true"/>
        <w:rPr/>
      </w:pPr>
      <w:r>
        <w:rPr/>
      </w:r>
    </w:p>
    <w:p>
      <w:pPr>
        <w:pStyle w:val="Style22"/>
        <w:rPr/>
      </w:pPr>
      <w:bookmarkStart w:id="217" w:name="_Ref126142429"/>
      <w:bookmarkStart w:id="218" w:name="_Ref130224037"/>
      <w:bookmarkStart w:id="219" w:name="_Toc228877704"/>
      <w:bookmarkStart w:id="220" w:name="_Ref125361212"/>
      <w:bookmarkStart w:id="221" w:name="_Ref125362671"/>
      <w:bookmarkStart w:id="222" w:name="_Ref125363439"/>
      <w:bookmarkStart w:id="223" w:name="_Ref125366769"/>
      <w:bookmarkStart w:id="224" w:name="_Ref125367083"/>
      <w:bookmarkStart w:id="225" w:name="_Ref125367087"/>
      <w:r>
        <w:rPr/>
        <w:t>Порядок заключения Договора</w:t>
      </w:r>
      <w:bookmarkEnd w:id="217"/>
      <w:bookmarkEnd w:id="218"/>
      <w:bookmarkEnd w:id="219"/>
      <w:bookmarkEnd w:id="220"/>
      <w:bookmarkEnd w:id="221"/>
      <w:bookmarkEnd w:id="222"/>
      <w:bookmarkEnd w:id="223"/>
      <w:bookmarkEnd w:id="224"/>
      <w:bookmarkEnd w:id="225"/>
    </w:p>
    <w:p>
      <w:pPr>
        <w:pStyle w:val="Style23"/>
        <w:rPr/>
      </w:pPr>
      <w:bookmarkStart w:id="226" w:name="_Toc228877705"/>
      <w:r>
        <w:rPr/>
        <w:t>Общие положения</w:t>
      </w:r>
      <w:bookmarkEnd w:id="226"/>
    </w:p>
    <w:p>
      <w:pPr>
        <w:pStyle w:val="Style24"/>
        <w:rPr/>
      </w:pPr>
      <w:r>
        <w:rPr/>
        <w:t>Нормы настоящего раздела </w:t>
      </w:r>
      <w:r>
        <w:rPr/>
        <w:fldChar w:fldCharType="begin"/>
      </w:r>
      <w:r>
        <w:rPr/>
        <w:instrText xml:space="preserve"> REF _Ref126142429 \r \h </w:instrText>
      </w:r>
      <w:r>
        <w:rPr/>
        <w:fldChar w:fldCharType="separate"/>
      </w:r>
      <w:r>
        <w:rPr/>
        <w:t>5</w:t>
      </w:r>
      <w:r>
        <w:rPr/>
        <w:fldChar w:fldCharType="end"/>
      </w:r>
      <w:r>
        <w:rPr/>
        <w:t xml:space="preserve"> также применяются в отношении Единственного участника несостоявшейся закупки, с которым принято решение о заключении договора (к нему применяются те же нормы, что и в отношении Победителя).</w:t>
      </w:r>
    </w:p>
    <w:p>
      <w:pPr>
        <w:pStyle w:val="Style23"/>
        <w:rPr/>
      </w:pPr>
      <w:bookmarkStart w:id="227" w:name="_Ref138341423"/>
      <w:bookmarkStart w:id="228" w:name="_Toc228877706"/>
      <w:bookmarkStart w:id="229" w:name="_Ref125366947"/>
      <w:bookmarkStart w:id="230" w:name="_Ref125368755"/>
      <w:r>
        <w:rPr/>
        <w:t>Заключение Договора</w:t>
      </w:r>
      <w:bookmarkEnd w:id="227"/>
      <w:bookmarkEnd w:id="228"/>
      <w:bookmarkEnd w:id="229"/>
      <w:bookmarkEnd w:id="230"/>
    </w:p>
    <w:p>
      <w:pPr>
        <w:pStyle w:val="Style24"/>
        <w:rPr/>
      </w:pPr>
      <w:bookmarkStart w:id="231" w:name="_Ref125362935"/>
      <w:bookmarkStart w:id="232" w:name="_Ref130293821"/>
      <w:r>
        <w:rPr/>
        <w:t>Договор между Заказчиком и Победителем заключается не ранее чем через 10 (десять) календарных дней и не позднее чем через 20 (двадцать) календарных дней с даты официального размещения итогового протокола по результатам закупки.</w:t>
      </w:r>
      <w:bookmarkEnd w:id="231"/>
      <w:bookmarkEnd w:id="232"/>
    </w:p>
    <w:p>
      <w:pPr>
        <w:pStyle w:val="Style24"/>
        <w:rPr/>
      </w:pPr>
      <w:r>
        <w:rPr/>
        <w:t>Договор не может быть заключен, если это запрещено законодательством о национальном режиме.</w:t>
      </w:r>
    </w:p>
    <w:p>
      <w:pPr>
        <w:pStyle w:val="Style24"/>
        <w:rPr/>
      </w:pPr>
      <w:bookmarkStart w:id="233" w:name="_Ref125363464"/>
      <w:r>
        <w:rPr/>
        <w:t>При осуществлении закупки товара (в том числе поставляемого Заказчику при выполнении работ, оказании услуг) в Договор при его заключении включается информация о стране происхождения товара.</w:t>
      </w:r>
    </w:p>
    <w:p>
      <w:pPr>
        <w:pStyle w:val="Style24"/>
        <w:rPr/>
      </w:pPr>
      <w:r>
        <w:rPr/>
        <w:t xml:space="preserve">В целях </w:t>
      </w:r>
      <w:r>
        <w:rPr>
          <w:rFonts w:eastAsia="Calibri" w:cs="Times New Roman"/>
        </w:rPr>
        <w:t>обеспечения дополнительной прозрачности финансово-хозяйственной деятельности сторон при</w:t>
      </w:r>
      <w:r>
        <w:rPr/>
        <w:t xml:space="preserve"> заключения Договора </w:t>
      </w:r>
      <w:r>
        <w:rPr>
          <w:rFonts w:eastAsia="Calibri" w:cs="Times New Roman"/>
        </w:rPr>
        <w:t>в части отсутствия возможного конфликта интересов между Заказчиком и</w:t>
      </w:r>
      <w:r>
        <w:rPr/>
        <w:t xml:space="preserve"> Участником, признанным Победителем, последний обязан направить в адрес Заказчика Справку «Сведения о цепочке собственников, включая бенефициаров (в том числе конечных)», по форме в соответствии с </w:t>
      </w:r>
      <w:hyperlink w:anchor="Прил05_ФормыПобедителя">
        <w:r>
          <w:rPr>
            <w:rStyle w:val="Style11"/>
          </w:rPr>
          <w:t>Приложением № 5</w:t>
        </w:r>
      </w:hyperlink>
      <w:r>
        <w:rPr/>
        <w:t>, с приложением подтверждающих документов согласно перечню, установленному в Приложении 1 к указанной справке, одним из способов (на выбор):</w:t>
      </w:r>
    </w:p>
    <w:p>
      <w:pPr>
        <w:pStyle w:val="Style25"/>
        <w:rPr/>
      </w:pPr>
      <w:r>
        <w:rPr/>
        <w:t>в бумажной форме: по адресу, определенному в подразделе </w:t>
      </w:r>
      <w:r>
        <w:rPr/>
        <w:fldChar w:fldCharType="begin"/>
      </w:r>
      <w:r>
        <w:rPr/>
        <w:instrText xml:space="preserve"> REF _Ref125359973 \r \h </w:instrText>
      </w:r>
      <w:r>
        <w:rPr/>
        <w:fldChar w:fldCharType="separate"/>
      </w:r>
      <w:r>
        <w:rPr/>
        <w:t>1.2</w:t>
      </w:r>
      <w:r>
        <w:rPr/>
        <w:fldChar w:fldCharType="end"/>
      </w:r>
      <w:r>
        <w:rPr/>
        <w:t xml:space="preserve"> как место подачи документов в отношении цепочки собственников, включая конечных бенефициаров (в срок не позднее 3 (трех) рабочих дней с даты официального размещения Организатором итогового протокола по результатам закупки). Требуемые документы должны быть предоставлены в бумажном виде и на электронном носителе в отдельном запечатанном конверте с надписью «Документы Победителя о цепочке собственников»;</w:t>
      </w:r>
    </w:p>
    <w:p>
      <w:pPr>
        <w:pStyle w:val="Style25"/>
        <w:rPr/>
      </w:pPr>
      <w:r>
        <w:rPr/>
        <w:t xml:space="preserve">в электронной форме: через специально созданную на корпоративном сайте ПАО «РусГидро» учетную запись Победителя </w:t>
      </w:r>
      <w:r>
        <w:rPr>
          <w:rFonts w:eastAsia="Calibri" w:cs="Times New Roman"/>
        </w:rPr>
        <w:t>в «Личном кабинете контрагента»</w:t>
      </w:r>
      <w:r>
        <w:rPr/>
        <w:t xml:space="preserve"> (в срок не позднее 3 (трех) рабочих дней с даты получения уведомления о необходимости предоставить информацию о </w:t>
      </w:r>
      <w:r>
        <w:rPr>
          <w:rFonts w:eastAsia="Calibri" w:cs="Times New Roman"/>
        </w:rPr>
        <w:t>цепочке собственников, включая бенефициаров (в том числе конечных)</w:t>
      </w:r>
      <w:r>
        <w:rPr/>
        <w:t>. Уведомление (со ссылкой на учетную запись) направляется на указанный в заявке Победителя (в Анкете Участника (форма 5) (</w:t>
      </w:r>
      <w:hyperlink w:anchor="Прил04_ФормыЗаявки">
        <w:r>
          <w:rPr>
            <w:rStyle w:val="Style11"/>
          </w:rPr>
          <w:t>Приложения № 4</w:t>
        </w:r>
      </w:hyperlink>
      <w:r>
        <w:rPr/>
        <w:t>)) адрес электронной почты ответственного лица).</w:t>
      </w:r>
      <w:bookmarkEnd w:id="233"/>
    </w:p>
    <w:p>
      <w:pPr>
        <w:pStyle w:val="Style24"/>
        <w:rPr/>
      </w:pPr>
      <w:r>
        <w:rPr/>
        <w:t>В срок не позднее 3 (трех) рабочих дней с даты официального размещения Организатором итогового протокола по результатам закупки, Победитель обязан предоставить Заказчику (скан-копия в формате Portable Document Format (</w:t>
      </w:r>
      <w:r>
        <w:rPr>
          <w:lang w:val="en-US"/>
        </w:rPr>
        <w:t>pdf</w:t>
      </w:r>
      <w:r>
        <w:rPr/>
        <w:t xml:space="preserve">)) 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r>
          <w:rPr>
            <w:rStyle w:val="Style11"/>
          </w:rPr>
          <w:t>Приложением № 5</w:t>
        </w:r>
      </w:hyperlink>
      <w:r>
        <w:rPr/>
        <w:t>.</w:t>
      </w:r>
    </w:p>
    <w:p>
      <w:pPr>
        <w:pStyle w:val="Style24"/>
        <w:keepNext w:val="true"/>
        <w:rPr/>
      </w:pPr>
      <w:bookmarkStart w:id="234" w:name="_Ref125551072"/>
      <w:r>
        <w:rPr/>
        <w:t>Перед заключением Договора Победитель обязан предоставить Заказчику, не позднее сроков, установленных в пункте </w:t>
      </w:r>
      <w:r>
        <w:rPr/>
        <w:fldChar w:fldCharType="begin"/>
      </w:r>
      <w:r>
        <w:rPr/>
        <w:instrText xml:space="preserve"> REF _Ref130293821 \w \h </w:instrText>
      </w:r>
      <w:r>
        <w:rPr/>
        <w:fldChar w:fldCharType="separate"/>
      </w:r>
      <w:r>
        <w:rPr/>
        <w:t>5.2.1</w:t>
      </w:r>
      <w:r>
        <w:rPr/>
        <w:fldChar w:fldCharType="end"/>
      </w:r>
      <w:r>
        <w:rPr/>
        <w:t>, в целях подтверждения своего соответствия обязательному требованию к Участникам, указанному в пункте </w:t>
      </w:r>
      <w:r>
        <w:rPr/>
        <w:fldChar w:fldCharType="begin"/>
      </w:r>
      <w:r>
        <w:rPr/>
        <w:instrText xml:space="preserve"> REF _Ref125552433 \w \h </w:instrText>
      </w:r>
      <w:r>
        <w:rPr/>
        <w:fldChar w:fldCharType="separate"/>
      </w:r>
      <w:r>
        <w:rPr/>
        <w:t>1</w:t>
      </w:r>
      <w:r>
        <w:rPr/>
        <w:fldChar w:fldCharType="end"/>
      </w:r>
      <w:r>
        <w:rPr/>
        <w:t xml:space="preserve"> подраздела </w:t>
      </w:r>
      <w:r>
        <w:rPr/>
        <w:fldChar w:fldCharType="begin"/>
      </w:r>
      <w:r>
        <w:rPr/>
        <w:instrText xml:space="preserve"> REF _Ref125361435 \w \h </w:instrText>
      </w:r>
      <w:r>
        <w:rPr/>
        <w:fldChar w:fldCharType="separate"/>
      </w:r>
      <w:r>
        <w:rPr/>
        <w:t>8.2</w:t>
      </w:r>
      <w:r>
        <w:rPr/>
        <w:fldChar w:fldCharType="end"/>
      </w:r>
      <w:r>
        <w:rPr/>
        <w:t xml:space="preserve"> (</w:t>
      </w:r>
      <w:hyperlink w:anchor="Прил03_ТребованияУчастникам">
        <w:r>
          <w:rPr>
            <w:rStyle w:val="Style11"/>
          </w:rPr>
          <w:t>Приложение № 3</w:t>
        </w:r>
      </w:hyperlink>
      <w:r>
        <w:rPr/>
        <w:t>), следующие документы (скан-копии в формате Portable Document Format (</w:t>
      </w:r>
      <w:r>
        <w:rPr>
          <w:lang w:val="en-US"/>
        </w:rPr>
        <w:t>pdf</w:t>
      </w:r>
      <w:r>
        <w:rPr/>
        <w:t>)):</w:t>
      </w:r>
      <w:bookmarkEnd w:id="234"/>
    </w:p>
    <w:p>
      <w:pPr>
        <w:pStyle w:val="Style25"/>
        <w:keepNext w:val="true"/>
        <w:rPr/>
      </w:pPr>
      <w:r>
        <w:rPr/>
        <w:t>для юридического лица:</w:t>
      </w:r>
    </w:p>
    <w:p>
      <w:pPr>
        <w:pStyle w:val="Style26"/>
        <w:rPr/>
      </w:pPr>
      <w:r>
        <w:rPr/>
        <w:t>копия устава в действующей редакции с отметкой ИФНС либо копия нотариально заверенного устава (с отметкой нотариуса);</w:t>
      </w:r>
    </w:p>
    <w:p>
      <w:pPr>
        <w:pStyle w:val="Style26"/>
        <w:rPr/>
      </w:pPr>
      <w:bookmarkStart w:id="235" w:name="_Ref125638686"/>
      <w:r>
        <w:rPr/>
        <w:t>копии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 передаче полномочий Управляющей компании), заверенные Победителем;</w:t>
      </w:r>
      <w:bookmarkEnd w:id="235"/>
    </w:p>
    <w:p>
      <w:pPr>
        <w:pStyle w:val="Style26"/>
        <w:rPr/>
      </w:pPr>
      <w:r>
        <w:rPr/>
        <w:t>дополнительно предоставляется машиночитаемая доверенность (посредством информационных систем, на которых проводится закупка) на физическое лицо, которое подписывает договор;</w:t>
      </w:r>
    </w:p>
    <w:p>
      <w:pPr>
        <w:pStyle w:val="Style25"/>
        <w:rPr/>
      </w:pPr>
      <w:r>
        <w:rPr/>
        <w:t>для лица, зарегистрированного вне Российской Федерации: выписка из торгового реестра страны регистрации иностранного Участника;</w:t>
      </w:r>
    </w:p>
    <w:p>
      <w:pPr>
        <w:pStyle w:val="Style25"/>
        <w:rPr/>
      </w:pPr>
      <w:r>
        <w:rPr/>
        <w:t>для физического лица: нотариально заверенная копия всех страниц документа, удостоверяющего личность (паспорта).</w:t>
      </w:r>
    </w:p>
    <w:p>
      <w:pPr>
        <w:pStyle w:val="Style24"/>
        <w:rPr/>
      </w:pPr>
      <w:r>
        <w:rPr/>
        <w:t>Если в соответствии с законодательством и уставом Заказчика потребуется предварительное одобрение заключаемого на предложенных Победителем условиях Договора компетентными органами управления Заказчика (Общим собранием акционеров, Советом директоров и т.п.), Договор с Победителем заключается не позднее чем через 5 (пять) календарных дней с даты указанного одобрения.</w:t>
      </w:r>
    </w:p>
    <w:p>
      <w:pPr>
        <w:pStyle w:val="Style24"/>
        <w:rPr/>
      </w:pPr>
      <w:r>
        <w:rPr/>
        <w:t>В случае обжалования в антимонопольном органе результатов закупки Договор заключается не позднее чем через 5 (пять) календарных дней с даты вынесения решения антимонопольного органа по результатам такого обжалования (за исключением случая возврата на предыдущий этап закупки).</w:t>
      </w:r>
    </w:p>
    <w:p>
      <w:pPr>
        <w:pStyle w:val="Style24"/>
        <w:keepNext w:val="true"/>
        <w:rPr/>
      </w:pPr>
      <w:bookmarkStart w:id="236" w:name="_Ref132288402"/>
      <w:r>
        <w:rPr/>
        <w:t>При 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bookmarkEnd w:id="236"/>
    </w:p>
    <w:p>
      <w:pPr>
        <w:pStyle w:val="Style25"/>
        <w:rPr/>
      </w:pPr>
      <w:r>
        <w:rPr/>
        <w:t>итоговый протокол по результатам закупки;</w:t>
      </w:r>
    </w:p>
    <w:p>
      <w:pPr>
        <w:pStyle w:val="Style25"/>
        <w:rPr/>
      </w:pPr>
      <w:r>
        <w:rPr/>
        <w:t>Извещение и Документация о закупке со всеми изменениями;</w:t>
      </w:r>
    </w:p>
    <w:p>
      <w:pPr>
        <w:pStyle w:val="Style25"/>
        <w:rPr/>
      </w:pPr>
      <w:r>
        <w:rPr/>
        <w:t>заявка Победителя со всеми дополнениями и разъяснениями.</w:t>
      </w:r>
    </w:p>
    <w:p>
      <w:pPr>
        <w:pStyle w:val="Style24"/>
        <w:rPr/>
      </w:pPr>
      <w:r>
        <w:rPr/>
        <w:t>Договор согласовывается и заключается с использованием функционала ЭП, в том числе подписывается усиленной квалифицированной электронной подписью уполномоченного лица Победителя и Заказчика соответственно.</w:t>
      </w:r>
    </w:p>
    <w:p>
      <w:pPr>
        <w:pStyle w:val="Style24"/>
        <w:rPr/>
      </w:pPr>
      <w:r>
        <w:rPr/>
        <w:t>В течение установленного в пункте </w:t>
      </w:r>
      <w:r>
        <w:rPr/>
        <w:fldChar w:fldCharType="begin"/>
      </w:r>
      <w:r>
        <w:rPr/>
        <w:instrText xml:space="preserve"> REF _Ref130293821 \r \h </w:instrText>
      </w:r>
      <w:r>
        <w:rPr/>
        <w:fldChar w:fldCharType="separate"/>
      </w:r>
      <w:r>
        <w:rPr/>
        <w:t>5.2.1</w:t>
      </w:r>
      <w:r>
        <w:rPr/>
        <w:fldChar w:fldCharType="end"/>
      </w:r>
      <w:r>
        <w:rPr/>
        <w:t xml:space="preserve"> срока Заказчик с использованием функционала ЭП направляет в адрес Победителя заполненный со своей стороны проект Договора.</w:t>
      </w:r>
    </w:p>
    <w:p>
      <w:pPr>
        <w:pStyle w:val="Style24"/>
        <w:rPr/>
      </w:pPr>
      <w:bookmarkStart w:id="237" w:name="_Ref49437111"/>
      <w:r>
        <w:rPr/>
        <w:t>В случае наличия у Победителя разногласий по направленному Заказчиком проекту Договора, Победитель составляет Протокол разногласий с указанием в нем своих замечаний к положениям проекта Договора, не соответствующим условиям настоящей Документации о закупке и (или) заявке Победителя (с приведением ссылок на конкретные пункты / положения данных документов, которым они не соответствуют). Протокол разногласий направляется Заказчику с использованием функционала ЭП. После рассмотрения указанного протокола разногласий Заказчик вправе направить Победителю доработанный проект Договора либо повторно направить исходный проект Договора с указанием в отдельном документе причин отказа учесть полностью или частично замечания, содержащиеся в протоколе разногласий Победителя.</w:t>
      </w:r>
      <w:bookmarkEnd w:id="237"/>
    </w:p>
    <w:p>
      <w:pPr>
        <w:pStyle w:val="Style24"/>
        <w:rPr/>
      </w:pPr>
      <w:bookmarkStart w:id="238" w:name="_Ref125368506"/>
      <w:r>
        <w:rPr/>
        <w:t xml:space="preserve">Сведения о заключенном Договоре в течение 3 (трех) рабочих дней со дня заключения такого Договора на ЭП вносятся Оператором ЭП в Реестр договоров в ЕИС (если размещение таких сведений допустимо Законом 223-ФЗ). Если при заключении и исполнении Договора изменятся количество, объем, цена закупаемой продукции или сроки исполнения Договора (по сравнению с указанными в итоговом протоколе по результатам закупки), то в течение 10 (десяти) календарных дней со дня внесения таких изменений в Договор </w:t>
      </w:r>
      <w:bookmarkStart w:id="239" w:name="_Hlk132806825"/>
      <w:r>
        <w:rPr/>
        <w:t>соответствующая информация с указанием измененных условий Договора также размещается в ЕИС (если размещение таких сведений допустимо Законом 223-ФЗ)</w:t>
      </w:r>
      <w:bookmarkEnd w:id="239"/>
      <w:r>
        <w:rPr/>
        <w:t>.</w:t>
      </w:r>
      <w:bookmarkEnd w:id="238"/>
    </w:p>
    <w:p>
      <w:pPr>
        <w:pStyle w:val="Style24"/>
        <w:rPr/>
      </w:pPr>
      <w:r>
        <w:rPr/>
        <w:t>Если до момента заключения с Договора в отношении Победителя была проведена повторная проверка в рамках мониторинга аккредитованных поставщиков (в соответствии с Положением об аккредитации), и по результатам такой проверки ему присвоен статус «не аккредитован»,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 (при наличии у него статуса «аккредитован» / «аккредитация не требуется»).</w:t>
      </w:r>
    </w:p>
    <w:p>
      <w:pPr>
        <w:pStyle w:val="Style23"/>
        <w:rPr/>
      </w:pPr>
      <w:bookmarkStart w:id="240" w:name="_Ref125367068"/>
      <w:bookmarkStart w:id="241" w:name="_Toc228877707"/>
      <w:r>
        <w:rPr/>
        <w:t>Уклонение Победителя от заключения Договора</w:t>
      </w:r>
      <w:bookmarkEnd w:id="240"/>
      <w:bookmarkEnd w:id="241"/>
    </w:p>
    <w:p>
      <w:pPr>
        <w:pStyle w:val="Style24"/>
        <w:keepNext w:val="true"/>
        <w:rPr/>
      </w:pPr>
      <w:r>
        <w:rPr/>
        <w:t>Если Победитель закупки:</w:t>
      </w:r>
    </w:p>
    <w:p>
      <w:pPr>
        <w:pStyle w:val="Style25"/>
        <w:rPr/>
      </w:pPr>
      <w:r>
        <w:rPr/>
        <w:t>не подпишет Договор в установленные Документацией о закупке сроки (пункт </w:t>
      </w:r>
      <w:r>
        <w:rPr/>
        <w:fldChar w:fldCharType="begin"/>
      </w:r>
      <w:r>
        <w:rPr/>
        <w:instrText xml:space="preserve"> REF _Ref130293821 \r \h </w:instrText>
      </w:r>
      <w:r>
        <w:rPr/>
        <w:fldChar w:fldCharType="separate"/>
      </w:r>
      <w:r>
        <w:rPr/>
        <w:t>5.2.1</w:t>
      </w:r>
      <w:r>
        <w:rPr/>
        <w:fldChar w:fldCharType="end"/>
      </w:r>
      <w:r>
        <w:rPr/>
        <w:t>);</w:t>
      </w:r>
    </w:p>
    <w:p>
      <w:pPr>
        <w:pStyle w:val="Style25"/>
        <w:rPr/>
      </w:pPr>
      <w:r>
        <w:rPr/>
        <w:t>откажется от подписания Договора на условиях, определяемых в соответствии с пунктом </w:t>
      </w:r>
      <w:r>
        <w:rPr/>
        <w:fldChar w:fldCharType="begin"/>
      </w:r>
      <w:r>
        <w:rPr/>
        <w:instrText xml:space="preserve"> REF _Ref132288402 \r \h </w:instrText>
      </w:r>
      <w:r>
        <w:rPr/>
        <w:fldChar w:fldCharType="separate"/>
      </w:r>
      <w:r>
        <w:rPr/>
        <w:t>5.2.9</w:t>
      </w:r>
      <w:r>
        <w:rPr/>
        <w:fldChar w:fldCharType="end"/>
      </w:r>
      <w:r>
        <w:rPr/>
        <w:t>;</w:t>
      </w:r>
    </w:p>
    <w:p>
      <w:pPr>
        <w:pStyle w:val="Style25"/>
        <w:rPr/>
      </w:pPr>
      <w:r>
        <w:rPr/>
        <w:t>не раскроет информацию в отношении всей цепочки собственников, включая бенефициаров (в том числе конечных), по установленной форме (</w:t>
      </w:r>
      <w:hyperlink w:anchor="Прил05_ФормыПобедителя">
        <w:r>
          <w:rPr>
            <w:rStyle w:val="Style11"/>
          </w:rPr>
          <w:t>Приложение № 5</w:t>
        </w:r>
      </w:hyperlink>
      <w:r>
        <w:rPr/>
        <w:t>), с приложением подтверждающих документов;</w:t>
      </w:r>
    </w:p>
    <w:p>
      <w:pPr>
        <w:pStyle w:val="Style25"/>
        <w:rPr/>
      </w:pPr>
      <w:r>
        <w:rPr/>
        <w:t xml:space="preserve">не предоставит 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r>
          <w:rPr>
            <w:rStyle w:val="Style11"/>
          </w:rPr>
          <w:t>Приложением № 5</w:t>
        </w:r>
      </w:hyperlink>
      <w:r>
        <w:rPr/>
        <w:t>;</w:t>
      </w:r>
    </w:p>
    <w:p>
      <w:pPr>
        <w:pStyle w:val="Style25"/>
        <w:rPr/>
      </w:pPr>
      <w:r>
        <w:rPr/>
        <w:t xml:space="preserve">не предоставит копии документов, обязательных к предоставлению Победителем закупки в соответствии с требованиями </w:t>
      </w:r>
      <w:hyperlink w:anchor="Прил01_ТехТребования">
        <w:r>
          <w:rPr>
            <w:rStyle w:val="Style11"/>
          </w:rPr>
          <w:t>Приложения № 1 – Технические требования</w:t>
        </w:r>
      </w:hyperlink>
      <w:r>
        <w:rPr/>
        <w:t xml:space="preserve"> (в случае установления таковых);</w:t>
      </w:r>
    </w:p>
    <w:p>
      <w:pPr>
        <w:pStyle w:val="Style25"/>
        <w:rPr/>
      </w:pPr>
      <w:r>
        <w:rPr/>
        <w:t>не предоставит обеспечение исполнения договора до момента его заключения, если Документация о закупке предусматривает обеспечение исполнения договора с соответствующими обязательствами;</w:t>
      </w:r>
    </w:p>
    <w:p>
      <w:pPr>
        <w:pStyle w:val="Style25"/>
        <w:rPr/>
      </w:pPr>
      <w:r>
        <w:rPr/>
        <w:t>не выполнит другие условия, прямо предусмотренные Документацией о закупке,</w:t>
      </w:r>
    </w:p>
    <w:p>
      <w:pPr>
        <w:pStyle w:val="Style28"/>
        <w:ind w:left="1134" w:hanging="0"/>
        <w:rPr/>
      </w:pPr>
      <w:r>
        <w:rPr/>
        <w:t>то он (по истечению установленных в подразделе </w:t>
      </w:r>
      <w:r>
        <w:rPr/>
        <w:fldChar w:fldCharType="begin"/>
      </w:r>
      <w:r>
        <w:rPr/>
        <w:instrText xml:space="preserve"> REF _Ref138341423 \r \h </w:instrText>
      </w:r>
      <w:r>
        <w:rPr/>
        <w:fldChar w:fldCharType="separate"/>
      </w:r>
      <w:r>
        <w:rPr/>
        <w:t>5.2</w:t>
      </w:r>
      <w:r>
        <w:rPr/>
        <w:fldChar w:fldCharType="end"/>
      </w:r>
      <w:r>
        <w:rPr/>
        <w:t xml:space="preserve"> сроков на заключение Договора) признается уклонившимся от заключения Договора и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p>
    <w:p>
      <w:pPr>
        <w:pStyle w:val="Style22"/>
        <w:rPr/>
      </w:pPr>
      <w:bookmarkStart w:id="242" w:name="_Ref125363016"/>
      <w:bookmarkStart w:id="243" w:name="_Ref125363023"/>
      <w:bookmarkStart w:id="244" w:name="_Ref125363034"/>
      <w:bookmarkStart w:id="245" w:name="_Ref125363600"/>
      <w:bookmarkStart w:id="246" w:name="_Ref125363752"/>
      <w:bookmarkStart w:id="247" w:name="_Ref125364088"/>
      <w:bookmarkStart w:id="248" w:name="_Ref125364201"/>
      <w:bookmarkStart w:id="249" w:name="_Ref125370732"/>
      <w:bookmarkStart w:id="250" w:name="_Ref125370741"/>
      <w:bookmarkStart w:id="251" w:name="_Ref125370746"/>
      <w:bookmarkStart w:id="252" w:name="_Ref125370750"/>
      <w:bookmarkStart w:id="253" w:name="_Ref125370843"/>
      <w:bookmarkStart w:id="254" w:name="Прил01_ТехТребования"/>
      <w:bookmarkStart w:id="255" w:name="_Toc228877708"/>
      <w:r>
        <w:rPr/>
        <w:t>Приложение № 1 – Технические требования</w:t>
      </w:r>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pPr>
        <w:pStyle w:val="Style23"/>
        <w:rPr/>
      </w:pPr>
      <w:bookmarkStart w:id="256" w:name="_Toc228877709"/>
      <w:r>
        <w:rPr/>
        <w:t>Пояснения к Техническим требованиям</w:t>
      </w:r>
      <w:bookmarkEnd w:id="256"/>
    </w:p>
    <w:p>
      <w:pPr>
        <w:pStyle w:val="Style24"/>
        <w:rPr/>
      </w:pPr>
      <w:r>
        <w:rPr/>
        <w:t>Технические требования к закупаемой продукции приведены в отдельном файле (предоставляются отдельным документом в составе Документации о закупке), являющимся Приложением № 1 к Документации о закупке.</w:t>
      </w:r>
    </w:p>
    <w:p>
      <w:pPr>
        <w:pStyle w:val="Style22"/>
        <w:rPr/>
      </w:pPr>
      <w:bookmarkStart w:id="257" w:name="_Ref125361746"/>
      <w:bookmarkStart w:id="258" w:name="_Ref125363040"/>
      <w:bookmarkStart w:id="259" w:name="_Ref125363605"/>
      <w:bookmarkStart w:id="260" w:name="_Ref125363759"/>
      <w:bookmarkStart w:id="261" w:name="_Ref125364081"/>
      <w:bookmarkStart w:id="262" w:name="_Ref125364206"/>
      <w:bookmarkStart w:id="263" w:name="_Ref125370754"/>
      <w:bookmarkStart w:id="264" w:name="Прил02_ПроектДоговора"/>
      <w:bookmarkStart w:id="265" w:name="_Toc228877710"/>
      <w:r>
        <w:rPr/>
        <w:t>Приложение № 2 – Проект договора</w:t>
      </w:r>
      <w:bookmarkEnd w:id="257"/>
      <w:bookmarkEnd w:id="258"/>
      <w:bookmarkEnd w:id="259"/>
      <w:bookmarkEnd w:id="260"/>
      <w:bookmarkEnd w:id="261"/>
      <w:bookmarkEnd w:id="262"/>
      <w:bookmarkEnd w:id="263"/>
      <w:bookmarkEnd w:id="264"/>
      <w:bookmarkEnd w:id="265"/>
    </w:p>
    <w:p>
      <w:pPr>
        <w:pStyle w:val="Style23"/>
        <w:rPr/>
      </w:pPr>
      <w:bookmarkStart w:id="266" w:name="_Toc228877711"/>
      <w:r>
        <w:rPr/>
        <w:t>Пояснения к Проекту договора</w:t>
      </w:r>
      <w:bookmarkEnd w:id="266"/>
    </w:p>
    <w:p>
      <w:pPr>
        <w:pStyle w:val="Style24"/>
        <w:rPr/>
      </w:pPr>
      <w:r>
        <w:rPr/>
        <w:t>Проект договора, заключаемого по результатам закупки, приведен в отдельном файле (предоставляется отдельным документом в составе Документации о закупке), являющимся Приложением № 2 к Документации о закупке.</w:t>
      </w:r>
    </w:p>
    <w:p>
      <w:pPr>
        <w:pStyle w:val="Style24"/>
        <w:rPr/>
      </w:pPr>
      <w:r>
        <w:rPr/>
        <w:t>Все положения Проекта договора являются существенными условиями для Заказчика, за исключением пунктов договора, указанных в подразделе </w:t>
      </w:r>
      <w:r>
        <w:rPr/>
        <w:fldChar w:fldCharType="begin"/>
      </w:r>
      <w:r>
        <w:rPr/>
        <w:instrText xml:space="preserve"> REF _Ref132876309 \r \h </w:instrText>
      </w:r>
      <w:r>
        <w:rPr/>
        <w:fldChar w:fldCharType="separate"/>
      </w:r>
      <w:r>
        <w:rPr/>
        <w:t>1.2</w:t>
      </w:r>
      <w:r>
        <w:rPr/>
        <w:fldChar w:fldCharType="end"/>
      </w:r>
      <w:r>
        <w:rPr/>
        <w:t xml:space="preserve"> как «Некритичные пункты Проекта договора».</w:t>
      </w:r>
    </w:p>
    <w:p>
      <w:pPr>
        <w:pStyle w:val="Style24"/>
        <w:rPr/>
      </w:pPr>
      <w:r>
        <w:rPr/>
        <w:t>В соответствии с пунктом </w:t>
      </w:r>
      <w:r>
        <w:rPr/>
        <w:fldChar w:fldCharType="begin"/>
      </w:r>
      <w:r>
        <w:rPr/>
        <w:instrText xml:space="preserve"> REF _Ref49437111 \r \h </w:instrText>
      </w:r>
      <w:r>
        <w:rPr/>
        <w:fldChar w:fldCharType="separate"/>
      </w:r>
      <w:r>
        <w:rPr/>
        <w:t>5.2.12</w:t>
      </w:r>
      <w:r>
        <w:rPr/>
        <w:fldChar w:fldCharType="end"/>
      </w:r>
      <w:r>
        <w:rPr/>
        <w:t xml:space="preserve">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Если Стороны не придут к соглашению об этих изменениях, они будут обязаны подписать Договор на условиях, изложенных в Документации о закупке.</w:t>
      </w:r>
    </w:p>
    <w:p>
      <w:pPr>
        <w:pStyle w:val="Style24"/>
        <w:rPr/>
      </w:pPr>
      <w:r>
        <w:rPr/>
        <w:t>Одновременно с подписанием Сторонами Договора или не позднее 3 (трех) рабочих дней после подписания Договора, Сторонами должно быть подписано дополнительное соглашение, форма которого приведена в отдельном файле в формате Microsoft Word (предоставляется отдельным документом в составе Документации о закупке), касающееся вопросов подтверждения Участником информации о цепочке собственников, включая бенефициаров (в том числе конечных):</w:t>
      </w:r>
      <w:bookmarkStart w:id="267" w:name="_MON_1736255517"/>
      <w:bookmarkEnd w:id="267"/>
    </w:p>
    <w:p>
      <w:pPr>
        <w:sectPr>
          <w:headerReference w:type="default" r:id="rId15"/>
          <w:headerReference w:type="first" r:id="rId16"/>
          <w:footerReference w:type="default" r:id="rId17"/>
          <w:footerReference w:type="first" r:id="rId18"/>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8"/>
        <w:jc w:val="center"/>
        <w:rPr/>
      </w:pPr>
      <w:r>
        <w:rPr/>
        <w:object>
          <v:shapetype id="_x0000_tole_rId13" coordsize="21600,21600" o:spt="ole_rId13"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13" type="_x0000_tole_rId13" style="width:78.05pt;height:50.8pt;mso-wrap-distance-right:0pt" filled="f" o:ole="">
            <v:imagedata r:id="rId14" o:title=""/>
          </v:shape>
          <o:OLEObject Type="Embed" ProgID="Word.Document.12" ShapeID="ole_rId13" DrawAspect="Icon" ObjectID="_1242033046" r:id="rId13"/>
        </w:object>
      </w:r>
    </w:p>
    <w:p>
      <w:pPr>
        <w:pStyle w:val="Style22"/>
        <w:rPr/>
      </w:pPr>
      <w:bookmarkStart w:id="268" w:name="_Ref125361494"/>
      <w:bookmarkStart w:id="269" w:name="_Ref125361908"/>
      <w:bookmarkStart w:id="270" w:name="_Ref125365476"/>
      <w:bookmarkStart w:id="271" w:name="_Ref125370013"/>
      <w:bookmarkStart w:id="272" w:name="Прил03_ТребованияУчастникам"/>
      <w:bookmarkStart w:id="273" w:name="_Toc228877712"/>
      <w:r>
        <w:rPr/>
        <w:t>Приложение № 3 – Требования к Участникам</w:t>
      </w:r>
      <w:bookmarkEnd w:id="268"/>
      <w:bookmarkEnd w:id="269"/>
      <w:bookmarkEnd w:id="270"/>
      <w:bookmarkEnd w:id="271"/>
      <w:bookmarkEnd w:id="272"/>
      <w:bookmarkEnd w:id="273"/>
    </w:p>
    <w:p>
      <w:pPr>
        <w:pStyle w:val="Style23"/>
        <w:rPr/>
      </w:pPr>
      <w:bookmarkStart w:id="274" w:name="_Toc228877713"/>
      <w:r>
        <w:rPr/>
        <w:t>Пояснения к требованиям к Участникам</w:t>
      </w:r>
      <w:bookmarkEnd w:id="274"/>
    </w:p>
    <w:p>
      <w:pPr>
        <w:pStyle w:val="Style24"/>
        <w:rPr/>
      </w:pPr>
      <w:bookmarkStart w:id="275" w:name="_Hlk125628168"/>
      <w:r>
        <w:rPr/>
        <w:t>Чтобы претендовать на победу в закупке и получение права заключить Договор с Заказчиком, Участник должен отвечать нижеуказанным требованиям и включить в состав заявки документы, подтверждающие его соответствие установленным требованиям.</w:t>
      </w:r>
      <w:bookmarkEnd w:id="275"/>
    </w:p>
    <w:p>
      <w:pPr>
        <w:pStyle w:val="Style23"/>
        <w:spacing w:before="360" w:after="120"/>
        <w:rPr/>
      </w:pPr>
      <w:bookmarkStart w:id="276" w:name="_Ref125361435"/>
      <w:bookmarkStart w:id="277" w:name="_Ref125361590"/>
      <w:bookmarkStart w:id="278" w:name="_Ref125361617"/>
      <w:bookmarkStart w:id="279" w:name="_Ref125361832"/>
      <w:bookmarkStart w:id="280" w:name="_Ref125361846"/>
      <w:bookmarkStart w:id="281" w:name="_Ref125361926"/>
      <w:bookmarkStart w:id="282" w:name="_Ref125366879"/>
      <w:bookmarkStart w:id="283" w:name="_Ref125368812"/>
      <w:bookmarkStart w:id="284" w:name="_Ref125368895"/>
      <w:bookmarkStart w:id="285" w:name="_Ref125369088"/>
      <w:bookmarkStart w:id="286" w:name="_Ref125370058"/>
      <w:bookmarkStart w:id="287" w:name="_Ref125370064"/>
      <w:bookmarkStart w:id="288" w:name="_Ref125370071"/>
      <w:bookmarkStart w:id="289" w:name="_Toc228877714"/>
      <w:r>
        <w:rPr/>
        <w:t>Обязательные требования</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tbl>
      <w:tblPr>
        <w:tblStyle w:val="af9"/>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28"/>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28"/>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Участнику</w:t>
            </w:r>
          </w:p>
        </w:tc>
        <w:tc>
          <w:tcPr>
            <w:tcW w:w="8327" w:type="dxa"/>
            <w:tcBorders/>
          </w:tcPr>
          <w:p>
            <w:pPr>
              <w:pStyle w:val="Style28"/>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28"/>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90" w:name="_Ref125552433"/>
            <w:bookmarkStart w:id="291" w:name="_Ref125552433"/>
            <w:bookmarkEnd w:id="291"/>
          </w:p>
        </w:tc>
        <w:tc>
          <w:tcPr>
            <w:tcW w:w="5671"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Участник должен обладать гражданской правоспособностью в полном объеме для заключения и исполнения Договора, а также должен обладать статусом «аккредитован» в соответствии с Положением об аккредитации, либо являться лицом, указанным в пункте 3.11 Положения об аккредитации:</w:t>
            </w:r>
          </w:p>
        </w:tc>
        <w:tc>
          <w:tcPr>
            <w:tcW w:w="8327" w:type="dxa"/>
            <w:tcBorders/>
          </w:tcPr>
          <w:p>
            <w:pPr>
              <w:pStyle w:val="Style28"/>
              <w:widowControl w:val="false"/>
              <w:numPr>
                <w:ilvl w:val="0"/>
                <w:numId w:val="13"/>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отношении гражданской правоспособности:</w:t>
            </w:r>
          </w:p>
          <w:p>
            <w:pPr>
              <w:pStyle w:val="Style28"/>
              <w:widowControl w:val="false"/>
              <w:numPr>
                <w:ilvl w:val="0"/>
                <w:numId w:val="14"/>
              </w:numPr>
              <w:suppressAutoHyphens w:val="true"/>
              <w:spacing w:before="60" w:after="60"/>
              <w:ind w:left="568"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заявка подписывается лицом, действующим на основании доверенности, предоставляется электронный образ (файл в формате Portable Document Format (*.pdf)) оригинала соответствующей доверенности либо ее нотариально заверенной копии (с указанием правомочий на подписание заявки);</w:t>
            </w:r>
          </w:p>
          <w:p>
            <w:pPr>
              <w:pStyle w:val="Style28"/>
              <w:widowControl w:val="false"/>
              <w:numPr>
                <w:ilvl w:val="0"/>
                <w:numId w:val="13"/>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отношении аккредитации:</w:t>
            </w:r>
          </w:p>
          <w:p>
            <w:pPr>
              <w:pStyle w:val="Style28"/>
              <w:widowControl w:val="false"/>
              <w:numPr>
                <w:ilvl w:val="0"/>
                <w:numId w:val="14"/>
              </w:numPr>
              <w:suppressAutoHyphens w:val="true"/>
              <w:spacing w:before="60" w:after="60"/>
              <w:ind w:left="568" w:hanging="284"/>
              <w:rPr/>
            </w:pPr>
            <w:r>
              <w:rPr>
                <w:rFonts w:eastAsia="Calibri" w:cs=""/>
                <w:kern w:val="0"/>
                <w:sz w:val="26"/>
                <w:szCs w:val="22"/>
                <w:lang w:val="ru-RU" w:eastAsia="en-US" w:bidi="ar-SA"/>
              </w:rPr>
              <w:t>при наличии у Участника на момент подачи заявки статуса «аккредитован» (по результатам ранее пройденной процедуры аккредитации) / статуса «аккредитация не требуется» (в соответствии с ранее направленными сведениями для включения записи в Реестр аккредитации), и при наличии (с момента подачи Заявки на аккредитацию) изменений, оказывающих влияние на соответствие его критериям аккредитации (на текущий статус), а 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 аккредитацию – декларация в составе Письма о подаче оферты (форма 2)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и обновленная Заявка на аккредитацию по установленной в Документации о закупке форме (</w:t>
            </w:r>
            <w:hyperlink w:anchor="Прил10_ФормаЗаявкиНаАккредитацию">
              <w:r>
                <w:rPr>
                  <w:rStyle w:val="Style11"/>
                  <w:rFonts w:eastAsia="Calibri" w:cs=""/>
                  <w:kern w:val="0"/>
                  <w:sz w:val="26"/>
                  <w:szCs w:val="22"/>
                  <w:lang w:val="ru-RU" w:eastAsia="en-US" w:bidi="ar-SA"/>
                </w:rPr>
                <w:t>Приложение № 10</w:t>
              </w:r>
            </w:hyperlink>
            <w:r>
              <w:rPr>
                <w:rFonts w:eastAsia="Calibri" w:cs=""/>
                <w:kern w:val="0"/>
                <w:sz w:val="26"/>
                <w:szCs w:val="22"/>
                <w:lang w:val="ru-RU" w:eastAsia="en-US" w:bidi="ar-SA"/>
              </w:rPr>
              <w:t>);</w:t>
            </w:r>
          </w:p>
          <w:p>
            <w:pPr>
              <w:pStyle w:val="Style28"/>
              <w:widowControl w:val="false"/>
              <w:numPr>
                <w:ilvl w:val="0"/>
                <w:numId w:val="14"/>
              </w:numPr>
              <w:suppressAutoHyphens w:val="true"/>
              <w:spacing w:before="60" w:after="60"/>
              <w:ind w:left="568" w:hanging="284"/>
              <w:rPr/>
            </w:pPr>
            <w:r>
              <w:rPr>
                <w:rFonts w:eastAsia="Calibri" w:cs=""/>
                <w:kern w:val="0"/>
                <w:sz w:val="26"/>
                <w:szCs w:val="22"/>
                <w:lang w:val="ru-RU" w:eastAsia="en-US" w:bidi="ar-SA"/>
              </w:rPr>
              <w:t>при отсутствии у Участника на момент подачи заявки статуса «аккредитован» (при условии, что Участник ранее направил Заявку на 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 – декларация в составе Письма о подаче оферты (форма 2)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28"/>
              <w:widowControl w:val="false"/>
              <w:numPr>
                <w:ilvl w:val="0"/>
                <w:numId w:val="14"/>
              </w:numPr>
              <w:suppressAutoHyphens w:val="true"/>
              <w:spacing w:before="60" w:after="60"/>
              <w:ind w:left="568" w:hanging="284"/>
              <w:rPr/>
            </w:pPr>
            <w:r>
              <w:rPr>
                <w:rFonts w:eastAsia="Calibri" w:cs=""/>
                <w:kern w:val="0"/>
                <w:sz w:val="26"/>
                <w:szCs w:val="22"/>
                <w:lang w:val="ru-RU" w:eastAsia="en-US" w:bidi="ar-SA"/>
              </w:rPr>
              <w:t>при отсутствии у Участника на момент подачи заявки статуса «аккредитован» (не проходил ранее процедуру аккредитации) или наличия у Участника статуса «не аккредитован» (по результатам ранее пройденной процедуры аккредитации), а также для лиц, указанных в пункте 3.11 Положения об аккредитации (аккредитация не требуется), но которые ранее не направляли соответствующие сведения для включения записи в Реестр аккредитации – Заявка на аккредитацию по установленной в Документации о закупке форме (</w:t>
            </w:r>
            <w:hyperlink w:anchor="Прил10_ФормаЗаявкиНаАккредитацию">
              <w:r>
                <w:rPr>
                  <w:rStyle w:val="Style11"/>
                  <w:rFonts w:eastAsia="Calibri" w:cs=""/>
                  <w:kern w:val="0"/>
                  <w:sz w:val="26"/>
                  <w:szCs w:val="22"/>
                  <w:lang w:val="ru-RU" w:eastAsia="en-US" w:bidi="ar-SA"/>
                </w:rPr>
                <w:t>Приложение № 10</w:t>
              </w:r>
            </w:hyperlink>
            <w:r>
              <w:rPr>
                <w:rFonts w:eastAsia="Calibri" w:cs=""/>
                <w:kern w:val="0"/>
                <w:sz w:val="26"/>
                <w:szCs w:val="22"/>
                <w:lang w:val="ru-RU" w:eastAsia="en-US" w:bidi="ar-SA"/>
              </w:rPr>
              <w:t>).</w:t>
            </w:r>
          </w:p>
          <w:p>
            <w:pPr>
              <w:pStyle w:val="Style28"/>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 xml:space="preserve">В случае заинтересованности Участника в дополнительной оценке его финансового состояния, при условии отсутствия опубликованной в государственном информационном ресурсе бухгалтерской (финансовой) отчетности организаций (https://bo.nalog.ru), к Заявке на аккредитацию также прилагается электронная копия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 </w:t>
            </w:r>
          </w:p>
          <w:p>
            <w:pPr>
              <w:pStyle w:val="Style28"/>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Участник в соответствии с законодательством формирует отчетность по формам ОКУД 0503730, 0503721 (и (или) освобожден от предоставления дополнительного экземпляра отчетности для размещения на официальном сайте ФНС России) – оценка его финансового состояния производится на основании представленных вместе с Заявкой на аккредитацию:</w:t>
            </w:r>
          </w:p>
          <w:p>
            <w:pPr>
              <w:pStyle w:val="Style28"/>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w:t>
            </w:r>
            <w:r>
              <w:rPr>
                <w:rFonts w:eastAsia="Calibri" w:cs=""/>
                <w:kern w:val="0"/>
                <w:sz w:val="26"/>
                <w:szCs w:val="22"/>
                <w:lang w:val="ru-RU" w:eastAsia="en-US" w:bidi="ar-SA"/>
              </w:rPr>
              <w:tab/>
              <w:t>электронной копии бухгалтерской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p>
          <w:p>
            <w:pPr>
              <w:pStyle w:val="Style28"/>
              <w:widowControl w:val="false"/>
              <w:suppressAutoHyphens w:val="true"/>
              <w:spacing w:before="60" w:after="60"/>
              <w:ind w:left="284" w:hanging="0"/>
              <w:rPr/>
            </w:pPr>
            <w:r>
              <w:rPr>
                <w:rFonts w:eastAsia="Calibri" w:cs=""/>
                <w:kern w:val="0"/>
                <w:sz w:val="26"/>
                <w:szCs w:val="22"/>
                <w:lang w:val="ru-RU" w:eastAsia="en-US" w:bidi="ar-SA"/>
              </w:rPr>
              <w:t>−</w:t>
            </w:r>
            <w:r>
              <w:rPr>
                <w:rFonts w:eastAsia="Calibri" w:cs=""/>
                <w:kern w:val="0"/>
                <w:sz w:val="26"/>
                <w:szCs w:val="22"/>
                <w:lang w:val="ru-RU" w:eastAsia="en-US" w:bidi="ar-SA"/>
              </w:rPr>
              <w:tab/>
              <w:t xml:space="preserve">дополнительных сведений о размере всех требуемых показателей согласно данным бухгалтерской (финансовой) отчетности (по форме, представленной в </w:t>
            </w:r>
            <w:hyperlink w:anchor="Прил11_Данные_бухотчетность">
              <w:r>
                <w:rPr>
                  <w:rStyle w:val="Hyperlink"/>
                  <w:rFonts w:eastAsia="Calibri" w:cs=""/>
                  <w:kern w:val="0"/>
                  <w:sz w:val="26"/>
                  <w:szCs w:val="22"/>
                  <w:lang w:val="ru-RU" w:eastAsia="en-US" w:bidi="ar-SA"/>
                </w:rPr>
                <w:t>Приложении № 11</w:t>
              </w:r>
            </w:hyperlink>
            <w:r>
              <w:rPr>
                <w:rFonts w:eastAsia="Calibri" w:cs=""/>
                <w:kern w:val="0"/>
                <w:sz w:val="26"/>
                <w:szCs w:val="22"/>
                <w:lang w:val="ru-RU" w:eastAsia="en-US" w:bidi="ar-SA"/>
              </w:rPr>
              <w:t>).</w:t>
            </w:r>
          </w:p>
          <w:p>
            <w:pPr>
              <w:pStyle w:val="Style28"/>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Указанные документы не являются обязательными к подаче в рамках процедуры аккредитации и предоставляются по желанию Участника.</w:t>
            </w:r>
          </w:p>
        </w:tc>
      </w:tr>
      <w:tr>
        <w:trPr/>
        <w:tc>
          <w:tcPr>
            <w:tcW w:w="1128" w:type="dxa"/>
            <w:tcBorders/>
          </w:tcPr>
          <w:p>
            <w:pPr>
              <w:pStyle w:val="Style28"/>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92" w:name="_Ref132893662"/>
            <w:bookmarkStart w:id="293" w:name="_Ref132893662"/>
            <w:bookmarkEnd w:id="293"/>
          </w:p>
        </w:tc>
        <w:tc>
          <w:tcPr>
            <w:tcW w:w="5671"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Участник должен являться субъектом МСП, или физическим лицом, не являющимся индивидуальным предпринимателем и применяющим специальный налоговый режим «Налог на профессиональный доход»:</w:t>
            </w:r>
          </w:p>
        </w:tc>
        <w:tc>
          <w:tcPr>
            <w:tcW w:w="8327"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Предоставление документов не требуется.</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(В рамках рассмотрения заявок Организатор проверяет наличие информации об Участнике в Реестре МСП,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p>
        </w:tc>
      </w:tr>
      <w:tr>
        <w:trPr/>
        <w:tc>
          <w:tcPr>
            <w:tcW w:w="1128" w:type="dxa"/>
            <w:tcBorders/>
          </w:tcPr>
          <w:p>
            <w:pPr>
              <w:pStyle w:val="Style28"/>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94" w:name="_Ref139029906"/>
            <w:bookmarkStart w:id="295" w:name="_Ref139029906"/>
            <w:bookmarkEnd w:id="295"/>
          </w:p>
        </w:tc>
        <w:tc>
          <w:tcPr>
            <w:tcW w:w="5671"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Сведения об Участнике должны отсутствовать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w:t>
            </w:r>
            <w:r>
              <w:rPr>
                <w:rStyle w:val="FootnoteReference"/>
                <w:rFonts w:eastAsia="Calibri" w:cs=""/>
                <w:kern w:val="0"/>
                <w:sz w:val="26"/>
                <w:szCs w:val="22"/>
                <w:lang w:val="ru-RU" w:eastAsia="en-US" w:bidi="ar-SA"/>
              </w:rPr>
              <w:footnoteReference w:id="11"/>
            </w:r>
            <w:r>
              <w:rPr>
                <w:rFonts w:eastAsia="Calibri" w:cs=""/>
                <w:kern w:val="0"/>
                <w:sz w:val="26"/>
                <w:szCs w:val="22"/>
                <w:lang w:val="ru-RU" w:eastAsia="en-US" w:bidi="ar-SA"/>
              </w:rPr>
              <w:t>, а также Участник не должен являться подконтрольной организацией данных юридических лиц</w:t>
            </w:r>
            <w:r>
              <w:rPr>
                <w:rStyle w:val="FootnoteReference"/>
                <w:rFonts w:eastAsia="Calibri" w:cs=""/>
                <w:kern w:val="0"/>
                <w:sz w:val="26"/>
                <w:szCs w:val="22"/>
                <w:lang w:val="ru-RU" w:eastAsia="en-US" w:bidi="ar-SA"/>
              </w:rPr>
              <w:footnoteReference w:id="12"/>
            </w:r>
            <w:r>
              <w:rPr>
                <w:rFonts w:eastAsia="Calibri" w:cs=""/>
                <w:kern w:val="0"/>
                <w:sz w:val="26"/>
                <w:szCs w:val="22"/>
                <w:lang w:val="ru-RU" w:eastAsia="en-US" w:bidi="ar-SA"/>
              </w:rPr>
              <w:t>:</w:t>
            </w:r>
          </w:p>
        </w:tc>
        <w:tc>
          <w:tcPr>
            <w:tcW w:w="8327"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Предоставление документов не требуется.</w:t>
            </w:r>
          </w:p>
          <w:p>
            <w:pPr>
              <w:pStyle w:val="Style28"/>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и (или) перед заключением договора Организатор проверяет наличие информации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«О мерах по реализации Указа Президента Российской Федерации от 3 мая 2022 г. N 252».)</w:t>
            </w:r>
          </w:p>
        </w:tc>
      </w:tr>
      <w:tr>
        <w:trPr/>
        <w:tc>
          <w:tcPr>
            <w:tcW w:w="1128" w:type="dxa"/>
            <w:tcBorders/>
          </w:tcPr>
          <w:p>
            <w:pPr>
              <w:pStyle w:val="Style28"/>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96" w:name="_Ref186220330"/>
            <w:bookmarkStart w:id="297" w:name="_Ref186220330"/>
            <w:bookmarkEnd w:id="297"/>
          </w:p>
        </w:tc>
        <w:tc>
          <w:tcPr>
            <w:tcW w:w="5671"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установлен режим запрета закупки иностранной продукции и предметом закупки является оказание услуг и (или) выполнение работ (в том числе с поставкой товаров при выполнении работ и (или) оказании услуг), то Участник должен быть российским лицом:</w:t>
            </w:r>
          </w:p>
        </w:tc>
        <w:tc>
          <w:tcPr>
            <w:tcW w:w="8327" w:type="dxa"/>
            <w:tcBorders/>
          </w:tcPr>
          <w:p>
            <w:pPr>
              <w:pStyle w:val="Style28"/>
              <w:widowControl w:val="false"/>
              <w:suppressAutoHyphens w:val="true"/>
              <w:spacing w:before="60" w:after="60"/>
              <w:rPr/>
            </w:pPr>
            <w:r>
              <w:rPr>
                <w:rFonts w:eastAsia="Calibri" w:cs=""/>
                <w:kern w:val="0"/>
                <w:sz w:val="26"/>
                <w:szCs w:val="22"/>
                <w:lang w:val="ru-RU" w:eastAsia="en-US" w:bidi="ar-SA"/>
              </w:rPr>
              <w:t>Декларация о соответствии Участника данному требованию в составе Письма о подаче оферты (форма 2)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а также указание Участником в составе заявки в Коммерческом предложении (форма 3)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соответствующих сведений.</w:t>
            </w:r>
          </w:p>
          <w:p>
            <w:pPr>
              <w:pStyle w:val="Style28"/>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Организатор проверяет на соответствие данному требованию на основании сведений, размещенных на официальных сервисах ФНС России в сети интернет (в отношении иных стран ЕАЭС – на аналогичных официальных сервисах данных стран).)</w:t>
            </w:r>
          </w:p>
        </w:tc>
      </w:tr>
      <w:tr>
        <w:trPr/>
        <w:tc>
          <w:tcPr>
            <w:tcW w:w="1128" w:type="dxa"/>
            <w:tcBorders/>
          </w:tcPr>
          <w:p>
            <w:pPr>
              <w:pStyle w:val="Style28"/>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98" w:name="_Ref186220335"/>
            <w:bookmarkStart w:id="299" w:name="_Ref186220335"/>
            <w:bookmarkEnd w:id="299"/>
          </w:p>
        </w:tc>
        <w:tc>
          <w:tcPr>
            <w:tcW w:w="5671"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установлен режим ограничения закупки иностранной продукции и предметом закупки является оказание услуг и (или) выполнение работ (в том числе с поставкой товаров при выполнении закупаемых работ и (или) оказании закупаемых услуг), то Участник не должен являться иностранным лицом, при наличии заявки, соответствующей всем требованиям Документации о закупке, поданной от российского лица:</w:t>
            </w:r>
          </w:p>
        </w:tc>
        <w:tc>
          <w:tcPr>
            <w:tcW w:w="8327" w:type="dxa"/>
            <w:tcBorders/>
          </w:tcPr>
          <w:p>
            <w:pPr>
              <w:pStyle w:val="Style28"/>
              <w:widowControl w:val="false"/>
              <w:suppressAutoHyphens w:val="true"/>
              <w:spacing w:before="60" w:after="60"/>
              <w:rPr/>
            </w:pPr>
            <w:r>
              <w:rPr>
                <w:rFonts w:eastAsia="Calibri" w:cs=""/>
                <w:kern w:val="0"/>
                <w:sz w:val="26"/>
                <w:szCs w:val="22"/>
                <w:lang w:val="ru-RU" w:eastAsia="en-US" w:bidi="ar-SA"/>
              </w:rPr>
              <w:t>Декларация о принадлежности Участника к иностранному лицу или российскому лицу в составе Письма о подаче оферты (форма 2)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а также указание Участником в составе заявки в Коммерческом предложении (форма 3)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соответствующих сведений.</w:t>
            </w:r>
          </w:p>
          <w:p>
            <w:pPr>
              <w:pStyle w:val="Style28"/>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Организатор проверяет на соответствие данному требованию на основании сведений, размещенных на официальных сервисах ФНС России в сети интернет (в отношении иных стран ЕАЭС – на аналогичных официальных сервисах данных стран).)</w:t>
            </w:r>
          </w:p>
        </w:tc>
      </w:tr>
    </w:tbl>
    <w:p>
      <w:pPr>
        <w:pStyle w:val="Style23"/>
        <w:spacing w:before="360" w:after="120"/>
        <w:rPr/>
      </w:pPr>
      <w:bookmarkStart w:id="300" w:name="_Ref125361442"/>
      <w:bookmarkStart w:id="301" w:name="_Ref125361633"/>
      <w:bookmarkStart w:id="302" w:name="_Ref125361671"/>
      <w:bookmarkStart w:id="303" w:name="_Ref125361869"/>
      <w:bookmarkStart w:id="304" w:name="_Ref125361937"/>
      <w:bookmarkStart w:id="305" w:name="_Ref125365459"/>
      <w:bookmarkStart w:id="306" w:name="_Ref125367521"/>
      <w:bookmarkStart w:id="307" w:name="_Ref125367539"/>
      <w:bookmarkStart w:id="308" w:name="_Ref125368818"/>
      <w:bookmarkStart w:id="309" w:name="_Ref125368901"/>
      <w:bookmarkStart w:id="310" w:name="_Ref125368916"/>
      <w:bookmarkStart w:id="311" w:name="_Ref125369099"/>
      <w:bookmarkStart w:id="312" w:name="_Ref125370079"/>
      <w:bookmarkStart w:id="313" w:name="_Ref125709153"/>
      <w:bookmarkStart w:id="314" w:name="_Ref125709250"/>
      <w:bookmarkStart w:id="315" w:name="_Ref125709401"/>
      <w:bookmarkStart w:id="316" w:name="_Ref125709888"/>
      <w:bookmarkStart w:id="317" w:name="_Toc228877715"/>
      <w:r>
        <w:rPr/>
        <w:t>Специальные требования</w:t>
      </w:r>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tbl>
      <w:tblPr>
        <w:tblStyle w:val="af9"/>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28"/>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28"/>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Участнику</w:t>
            </w:r>
          </w:p>
        </w:tc>
        <w:tc>
          <w:tcPr>
            <w:tcW w:w="8327" w:type="dxa"/>
            <w:tcBorders/>
          </w:tcPr>
          <w:p>
            <w:pPr>
              <w:pStyle w:val="Style28"/>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28"/>
              <w:widowControl w:val="false"/>
              <w:numPr>
                <w:ilvl w:val="0"/>
                <w:numId w:val="3"/>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5671"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Специальные требования не установлены.</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327"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Специальные требования не установлены.</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bl>
    <w:p>
      <w:pPr>
        <w:pStyle w:val="Style23"/>
        <w:spacing w:before="360" w:after="120"/>
        <w:rPr/>
      </w:pPr>
      <w:bookmarkStart w:id="318" w:name="_Ref125361823"/>
      <w:bookmarkStart w:id="319" w:name="_Ref125362031"/>
      <w:bookmarkStart w:id="320" w:name="_Ref125369117"/>
      <w:bookmarkStart w:id="321" w:name="_Ref125370173"/>
      <w:bookmarkStart w:id="322" w:name="_Ref125370180"/>
      <w:bookmarkStart w:id="323" w:name="_Ref125370209"/>
      <w:bookmarkStart w:id="324" w:name="_Ref125709777"/>
      <w:bookmarkStart w:id="325" w:name="_Ref125709973"/>
      <w:bookmarkStart w:id="326" w:name="_Toc228877716"/>
      <w:bookmarkStart w:id="327" w:name="_Toc224743841"/>
      <w:bookmarkStart w:id="328" w:name="_Toc224743846"/>
      <w:bookmarkStart w:id="329" w:name="_Toc224743850"/>
      <w:bookmarkEnd w:id="327"/>
      <w:bookmarkEnd w:id="328"/>
      <w:bookmarkEnd w:id="329"/>
      <w:r>
        <w:rPr/>
        <w:t>Дополнительные требования к Генеральным подрядчикам</w:t>
      </w:r>
      <w:bookmarkEnd w:id="318"/>
      <w:bookmarkEnd w:id="319"/>
      <w:bookmarkEnd w:id="320"/>
      <w:bookmarkEnd w:id="321"/>
      <w:bookmarkEnd w:id="322"/>
      <w:bookmarkEnd w:id="323"/>
      <w:bookmarkEnd w:id="324"/>
      <w:bookmarkEnd w:id="325"/>
      <w:bookmarkEnd w:id="326"/>
    </w:p>
    <w:tbl>
      <w:tblPr>
        <w:tblStyle w:val="af9"/>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28"/>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28"/>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Генеральному подрядчику</w:t>
            </w:r>
          </w:p>
        </w:tc>
        <w:tc>
          <w:tcPr>
            <w:tcW w:w="8327" w:type="dxa"/>
            <w:tcBorders/>
          </w:tcPr>
          <w:p>
            <w:pPr>
              <w:pStyle w:val="Style28"/>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 подтверждающим соответствие</w:t>
              <w:br/>
              <w:t>Генерального подрядчика установленным требованиям</w:t>
            </w:r>
          </w:p>
        </w:tc>
      </w:tr>
      <w:tr>
        <w:trPr/>
        <w:tc>
          <w:tcPr>
            <w:tcW w:w="1128" w:type="dxa"/>
            <w:tcBorders/>
          </w:tcPr>
          <w:p>
            <w:pPr>
              <w:pStyle w:val="Style28"/>
              <w:widowControl w:val="false"/>
              <w:numPr>
                <w:ilvl w:val="0"/>
                <w:numId w:val="4"/>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30" w:name="_Ref125370187"/>
            <w:bookmarkStart w:id="331" w:name="_Ref125370187"/>
            <w:bookmarkEnd w:id="331"/>
          </w:p>
        </w:tc>
        <w:tc>
          <w:tcPr>
            <w:tcW w:w="5671"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Заявка Генерального подрядчика дополнительно должна включать сведения о распределении объемов поставки продукции между Генеральным подрядчиком и субподрядчиками:</w:t>
            </w:r>
          </w:p>
        </w:tc>
        <w:tc>
          <w:tcPr>
            <w:tcW w:w="8327" w:type="dxa"/>
            <w:tcBorders/>
          </w:tcPr>
          <w:p>
            <w:pPr>
              <w:pStyle w:val="Style28"/>
              <w:widowControl w:val="false"/>
              <w:suppressAutoHyphens w:val="true"/>
              <w:spacing w:before="60" w:after="60"/>
              <w:rPr/>
            </w:pPr>
            <w:r>
              <w:rPr>
                <w:rFonts w:eastAsia="Calibri" w:cs=""/>
                <w:kern w:val="0"/>
                <w:sz w:val="26"/>
                <w:szCs w:val="22"/>
                <w:lang w:val="ru-RU" w:eastAsia="en-US" w:bidi="ar-SA"/>
              </w:rPr>
              <w:t>Техническое предложение (форма 4)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содержащие План распределения объемов поставки продукции;</w:t>
            </w:r>
          </w:p>
        </w:tc>
      </w:tr>
      <w:tr>
        <w:trPr/>
        <w:tc>
          <w:tcPr>
            <w:tcW w:w="1128" w:type="dxa"/>
            <w:tcBorders/>
          </w:tcPr>
          <w:p>
            <w:pPr>
              <w:pStyle w:val="Style28"/>
              <w:widowControl w:val="false"/>
              <w:numPr>
                <w:ilvl w:val="0"/>
                <w:numId w:val="4"/>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32" w:name="_Ref125370193"/>
            <w:bookmarkStart w:id="333" w:name="_Ref125370193"/>
            <w:bookmarkEnd w:id="333"/>
          </w:p>
        </w:tc>
        <w:tc>
          <w:tcPr>
            <w:tcW w:w="5671" w:type="dxa"/>
            <w:tcBorders/>
          </w:tcPr>
          <w:p>
            <w:pPr>
              <w:pStyle w:val="Style28"/>
              <w:widowControl w:val="false"/>
              <w:suppressAutoHyphens w:val="true"/>
              <w:spacing w:before="60" w:after="60"/>
              <w:rPr/>
            </w:pPr>
            <w:r>
              <w:rPr>
                <w:rFonts w:eastAsia="Calibri" w:cs=""/>
                <w:kern w:val="0"/>
                <w:sz w:val="26"/>
                <w:szCs w:val="22"/>
                <w:lang w:val="ru-RU" w:eastAsia="en-US" w:bidi="ar-SA"/>
              </w:rPr>
              <w:t>Соответствие каждого субподрядчика установленным требованиям (с учетом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_Ref125368863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r>
            <w:r>
              <w:rPr>
                <w:sz w:val="26"/>
                <w:kern w:val="0"/>
                <w:szCs w:val="22"/>
                <w:rFonts w:eastAsia="Calibri" w:cs=""/>
                <w:lang w:val="ru-RU" w:eastAsia="en-US" w:bidi="ar-SA"/>
              </w:rPr>
              <w:fldChar w:fldCharType="end"/>
            </w:r>
            <w:r>
              <w:rPr>
                <w:rFonts w:eastAsia="Calibri" w:cs=""/>
                <w:kern w:val="0"/>
                <w:sz w:val="26"/>
                <w:szCs w:val="22"/>
                <w:lang w:val="ru-RU" w:eastAsia="en-US" w:bidi="ar-SA"/>
              </w:rPr>
              <w:t>) в том числе с учетом объема поставки продукции, который ему предполагается поручить в соответствии с Планом распределения объемов поставки продукции, представленным внутри Технических требованиях (форма 4)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c>
          <w:tcPr>
            <w:tcW w:w="8327"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Сведения и документы, аналогичные установленным в подразделах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t> –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_Ref125361442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8.3</w:t>
            </w:r>
            <w:r>
              <w:rPr>
                <w:sz w:val="26"/>
                <w:kern w:val="0"/>
                <w:szCs w:val="22"/>
                <w:rFonts w:eastAsia="Calibri" w:cs=""/>
                <w:lang w:val="ru-RU" w:eastAsia="en-US" w:bidi="ar-SA"/>
              </w:rPr>
              <w:fldChar w:fldCharType="end"/>
            </w:r>
            <w:r>
              <w:rPr>
                <w:rFonts w:eastAsia="Calibri" w:cs=""/>
                <w:kern w:val="0"/>
                <w:sz w:val="26"/>
                <w:szCs w:val="22"/>
                <w:lang w:val="ru-RU" w:eastAsia="en-US" w:bidi="ar-SA"/>
              </w:rPr>
              <w:t>, в отношении каждого субподрядчика, подтверждающие его соответствие данным требованиям;</w:t>
            </w:r>
          </w:p>
        </w:tc>
      </w:tr>
      <w:tr>
        <w:trPr/>
        <w:tc>
          <w:tcPr>
            <w:tcW w:w="1128" w:type="dxa"/>
            <w:tcBorders/>
          </w:tcPr>
          <w:p>
            <w:pPr>
              <w:pStyle w:val="Style28"/>
              <w:widowControl w:val="false"/>
              <w:numPr>
                <w:ilvl w:val="0"/>
                <w:numId w:val="4"/>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34" w:name="_Ref125553847"/>
            <w:bookmarkStart w:id="335" w:name="_Ref125553847"/>
            <w:bookmarkEnd w:id="335"/>
          </w:p>
        </w:tc>
        <w:tc>
          <w:tcPr>
            <w:tcW w:w="5671"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Дополнительные требования не установлены.</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327"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Дополнительные требования не установлены.</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bl>
    <w:p>
      <w:pPr>
        <w:sectPr>
          <w:headerReference w:type="default" r:id="rId19"/>
          <w:headerReference w:type="first" r:id="rId20"/>
          <w:footerReference w:type="default" r:id="rId21"/>
          <w:footerReference w:type="first" r:id="rId22"/>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pStyle w:val="Style22"/>
        <w:rPr/>
      </w:pPr>
      <w:bookmarkStart w:id="336" w:name="_Toc228877717"/>
      <w:bookmarkStart w:id="337" w:name="Прил04_ФормыЗаявки"/>
      <w:bookmarkEnd w:id="337"/>
      <w:r>
        <w:rPr/>
        <w:t>Приложение № 4 – Образцы форм документов, включаемых в состав заявки</w:t>
      </w:r>
      <w:bookmarkEnd w:id="336"/>
    </w:p>
    <w:p>
      <w:pPr>
        <w:pStyle w:val="Style23"/>
        <w:rPr/>
      </w:pPr>
      <w:bookmarkStart w:id="338" w:name="_Toc228877718"/>
      <w:r>
        <w:rPr/>
        <w:t>Пояснения к Образцам форм документов, включаемых в состав заявки</w:t>
      </w:r>
      <w:bookmarkEnd w:id="338"/>
    </w:p>
    <w:p>
      <w:pPr>
        <w:pStyle w:val="Style24"/>
        <w:rPr/>
      </w:pPr>
      <w:r>
        <w:rPr/>
        <w:t>Образцы форм документов, включаемых в состав заявки (с инструкциями по их оформлению), приведены в отдельном файле (предоставляются отдельным документом в составе Документации о закупке), являющимся Приложением № 4 к Документации о закупке. Участник при подготовке заявки обязан придерживаться установленных форм документов.</w:t>
      </w:r>
    </w:p>
    <w:p>
      <w:pPr>
        <w:pStyle w:val="Style22"/>
        <w:rPr/>
      </w:pPr>
      <w:bookmarkStart w:id="339" w:name="_Toc228877719"/>
      <w:bookmarkStart w:id="340" w:name="Прил05_ФормыПобедителя"/>
      <w:bookmarkEnd w:id="340"/>
      <w:r>
        <w:rPr/>
        <w:t>Приложение № 5 – Образцы форм документов, предоставляемых Победителем</w:t>
      </w:r>
      <w:bookmarkEnd w:id="339"/>
    </w:p>
    <w:p>
      <w:pPr>
        <w:pStyle w:val="Style23"/>
        <w:rPr/>
      </w:pPr>
      <w:bookmarkStart w:id="341" w:name="_Toc228877720"/>
      <w:r>
        <w:rPr/>
        <w:t>Пояснения к Образцам форм документов, предоставляемых Победителем</w:t>
      </w:r>
      <w:bookmarkEnd w:id="341"/>
    </w:p>
    <w:p>
      <w:pPr>
        <w:pStyle w:val="Style24"/>
        <w:rPr/>
      </w:pPr>
      <w:r>
        <w:rPr/>
        <w:t>Образцы форм документов, предоставляемых Победителем (или Единственным участником, в случае признания закупки несостоявшейся и принятия решения о заключении договора с ее Единственным участником), а также дополнительные пояснения по их предоставлению и инструкции по их оформлению, приведены в подразделах </w:t>
      </w:r>
      <w:r>
        <w:rPr/>
        <w:fldChar w:fldCharType="begin"/>
      </w:r>
      <w:r>
        <w:rPr/>
        <w:instrText xml:space="preserve"> REF _Ref130395470 \r \h </w:instrText>
      </w:r>
      <w:r>
        <w:rPr/>
        <w:fldChar w:fldCharType="separate"/>
      </w:r>
      <w:r>
        <w:rPr/>
        <w:t>10.2</w:t>
      </w:r>
      <w:r>
        <w:rPr/>
        <w:fldChar w:fldCharType="end"/>
      </w:r>
      <w:r>
        <w:rPr/>
        <w:t xml:space="preserve">, </w:t>
      </w:r>
      <w:r>
        <w:rPr/>
        <w:fldChar w:fldCharType="begin"/>
      </w:r>
      <w:r>
        <w:rPr/>
        <w:instrText xml:space="preserve"> REF _Ref130395475 \r \h </w:instrText>
      </w:r>
      <w:r>
        <w:rPr/>
        <w:fldChar w:fldCharType="separate"/>
      </w:r>
      <w:r>
        <w:rPr/>
        <w:t>10.3</w:t>
      </w:r>
      <w:r>
        <w:rPr/>
        <w:fldChar w:fldCharType="end"/>
      </w:r>
      <w:r>
        <w:rPr/>
        <w:t>.</w:t>
      </w:r>
    </w:p>
    <w:p>
      <w:pPr>
        <w:pStyle w:val="Style23"/>
        <w:rPr/>
      </w:pPr>
      <w:bookmarkStart w:id="342" w:name="_Ref130395470"/>
      <w:bookmarkStart w:id="343" w:name="_Toc228877721"/>
      <w:r>
        <w:rPr/>
        <w:t>Форма справки «Сведения о цепочке собственников, включая бенефициаров (в том числе конечных)»</w:t>
      </w:r>
      <w:bookmarkEnd w:id="342"/>
      <w:bookmarkEnd w:id="343"/>
    </w:p>
    <w:p>
      <w:pPr>
        <w:pStyle w:val="Style24"/>
        <w:rPr/>
      </w:pPr>
      <w:r>
        <w:rPr/>
        <w:t>Справка «Сведения о цепочке собственников, включая бенефициаров (в том числе конечных)» предоставляется Победителем закупки (поставщиком).</w:t>
      </w:r>
    </w:p>
    <w:p>
      <w:pPr>
        <w:pStyle w:val="Style24"/>
        <w:rPr/>
      </w:pPr>
      <w:r>
        <w:rPr/>
        <w:t xml:space="preserve">Форма справки «Сведения о цепочке собственников, включая бенефициаров (в том числе конечных)» </w:t>
      </w:r>
      <w:r>
        <w:rPr>
          <w:lang w:val="en-US"/>
        </w:rPr>
        <w:t>c</w:t>
      </w:r>
      <w:r>
        <w:rPr/>
        <w:t xml:space="preserve"> приложением 1 «Перечень подтверждающих документов» и приложением 2 «Согласие на обработку и передачу персональных и иных охраняемых законом данных» приведена в отдельном файле в формате </w:t>
      </w:r>
      <w:r>
        <w:rPr>
          <w:lang w:val="en-US"/>
        </w:rPr>
        <w:t>Microsoft</w:t>
      </w:r>
      <w:r>
        <w:rPr/>
        <w:t xml:space="preserve"> </w:t>
      </w:r>
      <w:r>
        <w:rPr>
          <w:lang w:val="en-US"/>
        </w:rPr>
        <w:t>Word</w:t>
      </w:r>
      <w:r>
        <w:rPr/>
        <w:t>:</w:t>
      </w:r>
      <w:bookmarkStart w:id="344" w:name="_MON_1805621314"/>
    </w:p>
    <w:p>
      <w:pPr>
        <w:pStyle w:val="Style28"/>
        <w:jc w:val="center"/>
        <w:rPr/>
      </w:pPr>
      <w:bookmarkEnd w:id="344"/>
      <w:r>
        <w:rPr/>
        <w:object>
          <v:shapetype id="_x0000_tole_rId23" coordsize="21600,21600" o:spt="ole_rId23"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3" type="_x0000_tole_rId23" style="width:75.65pt;height:48.4pt;mso-wrap-distance-right:0pt" filled="f" o:ole="">
            <v:imagedata r:id="rId24" o:title=""/>
          </v:shape>
          <o:OLEObject Type="Embed" ProgID="Word.Document.12" ShapeID="ole_rId23" DrawAspect="Icon" ObjectID="_1818844909" r:id="rId23"/>
        </w:object>
      </w:r>
    </w:p>
    <w:p>
      <w:pPr>
        <w:pStyle w:val="Style23"/>
        <w:rPr/>
      </w:pPr>
      <w:bookmarkStart w:id="345" w:name="_Ref130395475"/>
      <w:bookmarkStart w:id="346" w:name="_Toc228877722"/>
      <w:r>
        <w:rPr/>
        <w:t>Форма «Заверение об обстоятельствах»</w:t>
      </w:r>
      <w:bookmarkEnd w:id="345"/>
      <w:bookmarkEnd w:id="346"/>
    </w:p>
    <w:p>
      <w:pPr>
        <w:pStyle w:val="Style24"/>
        <w:rPr/>
      </w:pPr>
      <w:r>
        <w:rPr/>
        <w:t>Форма Заверения об обстоятельствах предоставляется Победителем закупки (поставщиком) только при заключении договоров стоимостью свыше 100 000</w:t>
      </w:r>
      <w:r>
        <w:rPr>
          <w:lang w:val="en-US"/>
        </w:rPr>
        <w:t> </w:t>
      </w:r>
      <w:r>
        <w:rPr/>
        <w:t>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w:t>
      </w:r>
      <w:r>
        <w:rPr>
          <w:lang w:val="en-US"/>
        </w:rPr>
        <w:t> </w:t>
      </w:r>
      <w:r>
        <w:rPr/>
        <w:t>(трех) рабочих дней с даты официального размещения Организатором итогового протокола по результатам закупки.</w:t>
      </w:r>
    </w:p>
    <w:p>
      <w:pPr>
        <w:pStyle w:val="Style24"/>
        <w:rPr/>
      </w:pPr>
      <w:r>
        <w:rPr/>
        <w:t>Победитель закупки (поставщик) должен выбрать соответствующий ему вариант Заверения об обстоятельствах, исходя из необходимости получения согласий органов управления / одобрения сделки органами управления Поставщика в соответствии с законодательством, уставом, внутренними документами и отдельными решениями органов управления Поставщика, для последующего заключения Договора по предмету настоящей закупки.</w:t>
      </w:r>
    </w:p>
    <w:p>
      <w:pPr>
        <w:pStyle w:val="Style24"/>
        <w:rPr/>
      </w:pPr>
      <w:r>
        <w:rPr/>
        <w:t>Заверение об обстоятельствах следует оформить на официальном бланке Победителя закупки (поставщика) (с указанием даты и номера в соответствии с принятыми у него правилами документооборота) и заверить подписью единоличного исполнительного органа Победителя закупки (поставщика) (или иным уполномоченным лицом на основании доверенности), а также скрепить печатью (при наличии).</w:t>
      </w:r>
    </w:p>
    <w:p>
      <w:pPr>
        <w:pStyle w:val="Style24"/>
        <w:keepNext w:val="true"/>
        <w:rPr/>
      </w:pPr>
      <w:r>
        <w:rPr/>
        <w:t xml:space="preserve">Форма «Заверение об обстоятельствах» приведена в отдельном файле в формате </w:t>
      </w:r>
      <w:r>
        <w:rPr>
          <w:lang w:val="en-US"/>
        </w:rPr>
        <w:t>Microsoft</w:t>
      </w:r>
      <w:r>
        <w:rPr/>
        <w:t xml:space="preserve"> </w:t>
      </w:r>
      <w:r>
        <w:rPr>
          <w:lang w:val="en-US"/>
        </w:rPr>
        <w:t>Word</w:t>
      </w:r>
      <w:r>
        <w:rPr/>
        <w:t>:</w:t>
      </w:r>
      <w:bookmarkStart w:id="347" w:name="_MON_1741074184"/>
    </w:p>
    <w:p>
      <w:pPr>
        <w:pStyle w:val="Style28"/>
        <w:spacing w:before="120" w:after="120"/>
        <w:jc w:val="center"/>
        <w:rPr/>
      </w:pPr>
      <w:bookmarkEnd w:id="347"/>
      <w:r>
        <w:rPr/>
        <w:object>
          <v:shapetype id="_x0000_tole_rId25" coordsize="21600,21600" o:spt="ole_rId2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5" type="_x0000_tole_rId25" style="width:78.05pt;height:52.05pt;mso-wrap-distance-right:0pt;mso-wrap-distance-bottom:6pt" filled="f" o:ole="">
            <v:imagedata r:id="rId26" o:title=""/>
          </v:shape>
          <o:OLEObject Type="Embed" ProgID="Word.Document.12" ShapeID="ole_rId25" DrawAspect="Icon" ObjectID="_2088260220" r:id="rId25"/>
        </w:object>
      </w:r>
    </w:p>
    <w:p>
      <w:pPr>
        <w:pStyle w:val="Style22"/>
        <w:rPr/>
      </w:pPr>
      <w:bookmarkStart w:id="348" w:name="_Toc228877723"/>
      <w:bookmarkStart w:id="349" w:name="_Ref125362865"/>
      <w:bookmarkStart w:id="350" w:name="_Ref125362900"/>
      <w:bookmarkStart w:id="351" w:name="Прил06_СоставЗаявки"/>
      <w:bookmarkEnd w:id="351"/>
      <w:r>
        <w:rPr/>
        <w:t>Приложение № 6 – Состав заявки</w:t>
      </w:r>
      <w:bookmarkEnd w:id="348"/>
      <w:bookmarkEnd w:id="349"/>
      <w:bookmarkEnd w:id="350"/>
    </w:p>
    <w:p>
      <w:pPr>
        <w:pStyle w:val="Style23"/>
        <w:rPr/>
      </w:pPr>
      <w:bookmarkStart w:id="352" w:name="_Toc228877724"/>
      <w:r>
        <w:rPr/>
        <w:t>Состав заявки</w:t>
      </w:r>
      <w:bookmarkEnd w:id="352"/>
    </w:p>
    <w:p>
      <w:pPr>
        <w:pStyle w:val="Style24"/>
        <w:spacing w:before="120" w:after="120"/>
        <w:rPr/>
      </w:pPr>
      <w:r>
        <w:rPr/>
        <w:t xml:space="preserve">Заявка на участие в закупке должна состоять из первой части, второй части и ценового предложения, которые должны содержать следующий комплект документов (по установленным формам и в соответствии с инструкциями, приведенными в </w:t>
      </w:r>
      <w:hyperlink w:anchor="Прил04_ФормыЗаявки">
        <w:r>
          <w:rPr>
            <w:rStyle w:val="Style11"/>
          </w:rPr>
          <w:t>Приложении № 4</w:t>
        </w:r>
      </w:hyperlink>
      <w:r>
        <w:rPr/>
        <w:t>):</w:t>
      </w:r>
    </w:p>
    <w:tbl>
      <w:tblPr>
        <w:tblStyle w:val="af9"/>
        <w:tblW w:w="8783" w:type="dxa"/>
        <w:jc w:val="left"/>
        <w:tblInd w:w="1129" w:type="dxa"/>
        <w:tblLayout w:type="fixed"/>
        <w:tblCellMar>
          <w:top w:w="0" w:type="dxa"/>
          <w:left w:w="57" w:type="dxa"/>
          <w:bottom w:w="0" w:type="dxa"/>
          <w:right w:w="57" w:type="dxa"/>
        </w:tblCellMar>
        <w:tblLook w:val="04a0" w:noVBand="1" w:noHBand="0" w:lastColumn="0" w:firstColumn="1" w:lastRow="0" w:firstRow="1"/>
      </w:tblPr>
      <w:tblGrid>
        <w:gridCol w:w="707"/>
        <w:gridCol w:w="8075"/>
      </w:tblGrid>
      <w:tr>
        <w:trPr>
          <w:cnfStyle w:val="100000000000" w:firstRow="1" w:lastRow="0" w:firstColumn="0" w:lastColumn="0" w:oddVBand="0" w:evenVBand="0" w:oddHBand="0" w:evenHBand="0" w:firstRowFirstColumn="0" w:firstRowLastColumn="0" w:lastRowFirstColumn="0" w:lastRowLastColumn="0"/>
        </w:trPr>
        <w:tc>
          <w:tcPr>
            <w:tcW w:w="707"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8075"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 документа</w:t>
            </w:r>
          </w:p>
        </w:tc>
      </w:tr>
      <w:tr>
        <w:trPr/>
        <w:tc>
          <w:tcPr>
            <w:tcW w:w="707" w:type="dxa"/>
            <w:tcBorders/>
          </w:tcPr>
          <w:p>
            <w:pPr>
              <w:pStyle w:val="Style28"/>
              <w:keepNext w:val="true"/>
              <w:widowControl w:val="false"/>
              <w:suppressAutoHyphens w:val="true"/>
              <w:spacing w:before="60" w:after="60"/>
              <w:ind w:left="360" w:hanging="0"/>
              <w:jc w:val="center"/>
              <w:rPr>
                <w:b/>
                <w:bCs/>
              </w:rPr>
            </w:pPr>
            <w:r>
              <w:rPr>
                <w:b/>
                <w:bCs/>
              </w:rPr>
            </w:r>
          </w:p>
        </w:tc>
        <w:tc>
          <w:tcPr>
            <w:tcW w:w="8075" w:type="dxa"/>
            <w:tcBorders/>
          </w:tcPr>
          <w:p>
            <w:pPr>
              <w:pStyle w:val="Style28"/>
              <w:keepNext w:val="true"/>
              <w:widowControl w:val="false"/>
              <w:suppressAutoHyphens w:val="true"/>
              <w:spacing w:before="60" w:after="60"/>
              <w:rPr>
                <w:b/>
                <w:bCs/>
              </w:rPr>
            </w:pPr>
            <w:r>
              <w:rPr>
                <w:rFonts w:eastAsia="Calibri" w:cs=""/>
                <w:b/>
                <w:bCs/>
                <w:kern w:val="0"/>
                <w:sz w:val="26"/>
                <w:szCs w:val="22"/>
                <w:lang w:val="ru-RU" w:eastAsia="en-US" w:bidi="ar-SA"/>
              </w:rPr>
              <w:t>Первая часть заявки:</w:t>
            </w:r>
          </w:p>
        </w:tc>
      </w:tr>
      <w:tr>
        <w:trPr/>
        <w:tc>
          <w:tcPr>
            <w:tcW w:w="707" w:type="dxa"/>
            <w:tcBorders/>
          </w:tcPr>
          <w:p>
            <w:pPr>
              <w:pStyle w:val="Style28"/>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28"/>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 xml:space="preserve">Техническое предложение (форма 4), которое в том числе может включать План распределения объемов поставки продукции </w:t>
            </w:r>
            <w:r>
              <w:rPr>
                <w:rFonts w:eastAsia="Calibri" w:cs=""/>
                <w:i/>
                <w:iCs/>
                <w:kern w:val="0"/>
                <w:sz w:val="26"/>
                <w:szCs w:val="22"/>
                <w:lang w:val="ru-RU" w:eastAsia="en-US" w:bidi="ar-SA"/>
              </w:rPr>
              <w:t>(без указания сведений, позволяющих каким-либо образом идентифицировать генерального подрядчика или привлекаемого им субподрядчика / соисполнителя)</w:t>
            </w:r>
            <w:r>
              <w:rPr>
                <w:rFonts w:eastAsia="Calibri" w:cs=""/>
                <w:kern w:val="0"/>
                <w:sz w:val="26"/>
                <w:szCs w:val="22"/>
                <w:lang w:val="ru-RU" w:eastAsia="en-US" w:bidi="ar-SA"/>
              </w:rPr>
              <w:t>;</w:t>
            </w:r>
          </w:p>
        </w:tc>
      </w:tr>
      <w:tr>
        <w:trPr/>
        <w:tc>
          <w:tcPr>
            <w:tcW w:w="707" w:type="dxa"/>
            <w:tcBorders/>
          </w:tcPr>
          <w:p>
            <w:pPr>
              <w:pStyle w:val="Style28"/>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Документы и сведения, предоставляемые в первой части заявки исключительно для целей проведения оценки заявок – предоставляются, если в </w:t>
            </w:r>
            <w:hyperlink w:anchor="Прил08_ПорядокОценки">
              <w:r>
                <w:rPr>
                  <w:rStyle w:val="Style11"/>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установлены соответствующие критерии оценки, которые касаются или продукции или условий исполнения договора </w:t>
            </w:r>
            <w:r>
              <w:rPr>
                <w:rFonts w:eastAsia="Calibri" w:cs=""/>
                <w:i/>
                <w:iCs/>
                <w:kern w:val="0"/>
                <w:sz w:val="26"/>
                <w:szCs w:val="22"/>
                <w:lang w:val="ru-RU" w:eastAsia="en-US" w:bidi="ar-SA"/>
              </w:rPr>
              <w:t>(такие документы и сведения не должны позволять каким-либо образом идентифицировать Участника, в том числе через сведения о материально-технических или кадровых ресурсах)</w:t>
            </w:r>
            <w:r>
              <w:rPr>
                <w:rFonts w:eastAsia="Calibri" w:cs=""/>
                <w:kern w:val="0"/>
                <w:sz w:val="26"/>
                <w:szCs w:val="22"/>
                <w:lang w:val="ru-RU" w:eastAsia="en-US" w:bidi="ar-SA"/>
              </w:rPr>
              <w:t>;</w:t>
            </w:r>
          </w:p>
        </w:tc>
      </w:tr>
      <w:tr>
        <w:trPr/>
        <w:tc>
          <w:tcPr>
            <w:tcW w:w="707" w:type="dxa"/>
            <w:tcBorders/>
          </w:tcPr>
          <w:p>
            <w:pPr>
              <w:pStyle w:val="Style28"/>
              <w:keepNext w:val="true"/>
              <w:widowControl w:val="false"/>
              <w:suppressAutoHyphens w:val="true"/>
              <w:spacing w:before="60" w:after="60"/>
              <w:ind w:left="360" w:hanging="0"/>
              <w:jc w:val="center"/>
              <w:rPr>
                <w:b/>
                <w:bCs/>
              </w:rPr>
            </w:pPr>
            <w:r>
              <w:rPr>
                <w:b/>
                <w:bCs/>
              </w:rPr>
            </w:r>
          </w:p>
        </w:tc>
        <w:tc>
          <w:tcPr>
            <w:tcW w:w="8075" w:type="dxa"/>
            <w:tcBorders/>
          </w:tcPr>
          <w:p>
            <w:pPr>
              <w:pStyle w:val="Style28"/>
              <w:keepNext w:val="true"/>
              <w:widowControl w:val="false"/>
              <w:suppressAutoHyphens w:val="true"/>
              <w:spacing w:before="60" w:after="60"/>
              <w:rPr>
                <w:b/>
                <w:bCs/>
              </w:rPr>
            </w:pPr>
            <w:r>
              <w:rPr>
                <w:rFonts w:eastAsia="Calibri" w:cs=""/>
                <w:b/>
                <w:bCs/>
                <w:kern w:val="0"/>
                <w:sz w:val="26"/>
                <w:szCs w:val="22"/>
                <w:lang w:val="ru-RU" w:eastAsia="en-US" w:bidi="ar-SA"/>
              </w:rPr>
              <w:t>Вторая часть заявки:</w:t>
            </w:r>
          </w:p>
        </w:tc>
      </w:tr>
      <w:tr>
        <w:trPr/>
        <w:tc>
          <w:tcPr>
            <w:tcW w:w="707" w:type="dxa"/>
            <w:tcBorders/>
          </w:tcPr>
          <w:p>
            <w:pPr>
              <w:pStyle w:val="Style28"/>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28"/>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Письмо о подаче оферты (форма 2);</w:t>
            </w:r>
          </w:p>
        </w:tc>
      </w:tr>
      <w:tr>
        <w:trPr/>
        <w:tc>
          <w:tcPr>
            <w:tcW w:w="707" w:type="dxa"/>
            <w:tcBorders/>
          </w:tcPr>
          <w:p>
            <w:pPr>
              <w:pStyle w:val="Style28"/>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Анкета Участника (форма 5);</w:t>
            </w:r>
          </w:p>
        </w:tc>
      </w:tr>
      <w:tr>
        <w:trPr/>
        <w:tc>
          <w:tcPr>
            <w:tcW w:w="707" w:type="dxa"/>
            <w:tcBorders/>
          </w:tcPr>
          <w:p>
            <w:pPr>
              <w:pStyle w:val="Style28"/>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Участника обязательным требованиям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1"/>
                  <w:rFonts w:eastAsia="Calibri" w:cs=""/>
                  <w:kern w:val="0"/>
                  <w:sz w:val="26"/>
                  <w:szCs w:val="22"/>
                  <w:lang w:val="ru-RU" w:eastAsia="en-US" w:bidi="ar-SA"/>
                </w:rPr>
                <w:t>Приложения № 3</w:t>
              </w:r>
            </w:hyperlink>
            <w:r>
              <w:rPr>
                <w:rFonts w:eastAsia="Calibri" w:cs=""/>
                <w:kern w:val="0"/>
                <w:sz w:val="26"/>
                <w:szCs w:val="22"/>
                <w:lang w:val="ru-RU" w:eastAsia="en-US" w:bidi="ar-SA"/>
              </w:rPr>
              <w:t>), а также необходимые документы для прохождения (при необходимости) процедуры аккредитации – требования к подтверждающим документам приведены в указанном подразделе;</w:t>
            </w:r>
          </w:p>
        </w:tc>
      </w:tr>
      <w:tr>
        <w:trPr/>
        <w:tc>
          <w:tcPr>
            <w:tcW w:w="707" w:type="dxa"/>
            <w:tcBorders/>
          </w:tcPr>
          <w:p>
            <w:pPr>
              <w:pStyle w:val="Style28"/>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Участника специальным требованиям – предоставляются, если соответствующие требования установлены в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_Ref125709153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1"/>
                  <w:rFonts w:eastAsia="Calibri" w:cs=""/>
                  <w:kern w:val="0"/>
                  <w:sz w:val="26"/>
                  <w:szCs w:val="22"/>
                  <w:lang w:val="ru-RU" w:eastAsia="en-US" w:bidi="ar-SA"/>
                </w:rPr>
                <w:t>Приложения № 3</w:t>
              </w:r>
            </w:hyperlink>
            <w:r>
              <w:rPr>
                <w:rFonts w:eastAsia="Calibri" w:cs=""/>
                <w:kern w:val="0"/>
                <w:sz w:val="26"/>
                <w:szCs w:val="22"/>
                <w:lang w:val="ru-RU" w:eastAsia="en-US" w:bidi="ar-SA"/>
              </w:rPr>
              <w:t>);</w:t>
            </w:r>
          </w:p>
        </w:tc>
      </w:tr>
      <w:tr>
        <w:trPr/>
        <w:tc>
          <w:tcPr>
            <w:tcW w:w="707" w:type="dxa"/>
            <w:tcBorders/>
          </w:tcPr>
          <w:p>
            <w:pPr>
              <w:pStyle w:val="Style28"/>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Генерального подрядчика требованиям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1"/>
                  <w:rFonts w:eastAsia="Calibri" w:cs=""/>
                  <w:kern w:val="0"/>
                  <w:sz w:val="26"/>
                  <w:szCs w:val="22"/>
                  <w:lang w:val="ru-RU" w:eastAsia="en-US" w:bidi="ar-SA"/>
                </w:rPr>
                <w:t>Приложения № 3</w:t>
              </w:r>
            </w:hyperlink>
            <w:r>
              <w:rPr>
                <w:rFonts w:eastAsia="Calibri" w:cs=""/>
                <w:kern w:val="0"/>
                <w:sz w:val="26"/>
                <w:szCs w:val="22"/>
                <w:lang w:val="ru-RU" w:eastAsia="en-US" w:bidi="ar-SA"/>
              </w:rPr>
              <w:t>) – предоставляются, если Участник подает заявку от лица Генерального подрядчика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_Ref125361702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3.2</w:t>
            </w:r>
            <w:r>
              <w:rPr>
                <w:sz w:val="26"/>
                <w:kern w:val="0"/>
                <w:szCs w:val="22"/>
                <w:rFonts w:eastAsia="Calibri" w:cs=""/>
                <w:lang w:val="ru-RU" w:eastAsia="en-US" w:bidi="ar-SA"/>
              </w:rPr>
              <w:fldChar w:fldCharType="end"/>
            </w:r>
            <w:r>
              <w:rPr>
                <w:rFonts w:eastAsia="Calibri" w:cs=""/>
                <w:kern w:val="0"/>
                <w:sz w:val="26"/>
                <w:szCs w:val="22"/>
                <w:lang w:val="ru-RU" w:eastAsia="en-US" w:bidi="ar-SA"/>
              </w:rPr>
              <w:t>), а именно:</w:t>
            </w:r>
          </w:p>
          <w:p>
            <w:pPr>
              <w:pStyle w:val="Style28"/>
              <w:widowControl w:val="false"/>
              <w:numPr>
                <w:ilvl w:val="0"/>
                <w:numId w:val="7"/>
              </w:numPr>
              <w:suppressAutoHyphens w:val="true"/>
              <w:spacing w:before="60" w:after="60"/>
              <w:ind w:left="284" w:hanging="284"/>
              <w:rPr/>
            </w:pPr>
            <w:r>
              <w:rPr>
                <w:rFonts w:eastAsia="Calibri" w:cs=""/>
                <w:kern w:val="0"/>
                <w:sz w:val="26"/>
                <w:szCs w:val="22"/>
                <w:lang w:val="ru-RU" w:eastAsia="en-US" w:bidi="ar-SA"/>
              </w:rPr>
              <w:t>План распределения объемов поставки продукции, представленный внутри Технических требованиях (форма 4)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28"/>
              <w:widowControl w:val="false"/>
              <w:numPr>
                <w:ilvl w:val="0"/>
                <w:numId w:val="7"/>
              </w:numPr>
              <w:suppressAutoHyphens w:val="true"/>
              <w:spacing w:before="60" w:after="60"/>
              <w:ind w:left="284" w:hanging="284"/>
              <w:rPr/>
            </w:pPr>
            <w:r>
              <w:rPr>
                <w:rFonts w:eastAsia="Calibri" w:cs=""/>
                <w:kern w:val="0"/>
                <w:sz w:val="26"/>
                <w:szCs w:val="22"/>
                <w:lang w:val="ru-RU" w:eastAsia="en-US" w:bidi="ar-SA"/>
              </w:rPr>
              <w:t>прочие документы, определенные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1"/>
                  <w:rFonts w:eastAsia="Calibri" w:cs=""/>
                  <w:kern w:val="0"/>
                  <w:sz w:val="26"/>
                  <w:szCs w:val="22"/>
                  <w:lang w:val="ru-RU" w:eastAsia="en-US" w:bidi="ar-SA"/>
                </w:rPr>
                <w:t>Приложения № 3</w:t>
              </w:r>
            </w:hyperlink>
            <w:r>
              <w:rPr>
                <w:rFonts w:eastAsia="Calibri" w:cs=""/>
                <w:kern w:val="0"/>
                <w:sz w:val="26"/>
                <w:szCs w:val="22"/>
                <w:lang w:val="ru-RU" w:eastAsia="en-US" w:bidi="ar-SA"/>
              </w:rPr>
              <w:t>;</w:t>
            </w:r>
          </w:p>
        </w:tc>
      </w:tr>
      <w:tr>
        <w:trPr/>
        <w:tc>
          <w:tcPr>
            <w:tcW w:w="707" w:type="dxa"/>
            <w:tcBorders/>
          </w:tcPr>
          <w:p>
            <w:pPr>
              <w:pStyle w:val="Style28"/>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53" w:name="_Ref132888537"/>
            <w:bookmarkStart w:id="354" w:name="_Ref132888537"/>
            <w:bookmarkEnd w:id="354"/>
          </w:p>
        </w:tc>
        <w:tc>
          <w:tcPr>
            <w:tcW w:w="8075"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Копия независимой гарантии – предоставляется при необходимости и в случае отсутствия внесенных Участником денежных средств на специальный банковский счет;</w:t>
            </w:r>
          </w:p>
        </w:tc>
      </w:tr>
      <w:tr>
        <w:trPr/>
        <w:tc>
          <w:tcPr>
            <w:tcW w:w="707" w:type="dxa"/>
            <w:tcBorders/>
          </w:tcPr>
          <w:p>
            <w:pPr>
              <w:pStyle w:val="Style28"/>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55" w:name="_Ref130389408"/>
            <w:bookmarkStart w:id="356" w:name="_Ref130389408"/>
            <w:bookmarkEnd w:id="356"/>
          </w:p>
        </w:tc>
        <w:tc>
          <w:tcPr>
            <w:tcW w:w="8075"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Справка об опыте Участника (форма 6), с необходимыми приложениями к ней, если требуется, – предоставляется во второй части заявки исключительно для целей проведения оценки, если в </w:t>
            </w:r>
            <w:hyperlink w:anchor="Прил08_ПорядокОценки">
              <w:r>
                <w:rPr>
                  <w:rStyle w:val="Style11"/>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опыта;</w:t>
            </w:r>
          </w:p>
        </w:tc>
      </w:tr>
      <w:tr>
        <w:trPr/>
        <w:tc>
          <w:tcPr>
            <w:tcW w:w="707" w:type="dxa"/>
            <w:tcBorders/>
          </w:tcPr>
          <w:p>
            <w:pPr>
              <w:pStyle w:val="Style28"/>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57" w:name="_Ref130389413"/>
            <w:bookmarkStart w:id="358" w:name="_Ref130389413"/>
            <w:bookmarkEnd w:id="358"/>
          </w:p>
        </w:tc>
        <w:tc>
          <w:tcPr>
            <w:tcW w:w="8075"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Справка о материально-технических ресурсах (форма 7), с необходимыми приложениями к ней, если требуется, – предоставляется во второй части заявки исключительно для целей проведения оценки, если в </w:t>
            </w:r>
            <w:hyperlink w:anchor="Прил08_ПорядокОценки">
              <w:r>
                <w:rPr>
                  <w:rStyle w:val="Style11"/>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наличия (привлечения) материально-технических ресурсов;</w:t>
            </w:r>
          </w:p>
        </w:tc>
      </w:tr>
      <w:tr>
        <w:trPr/>
        <w:tc>
          <w:tcPr>
            <w:tcW w:w="707" w:type="dxa"/>
            <w:tcBorders/>
          </w:tcPr>
          <w:p>
            <w:pPr>
              <w:pStyle w:val="Style28"/>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59" w:name="_Ref130389419"/>
            <w:bookmarkStart w:id="360" w:name="_Ref130389419"/>
            <w:bookmarkEnd w:id="360"/>
          </w:p>
        </w:tc>
        <w:tc>
          <w:tcPr>
            <w:tcW w:w="8075"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Справка о кадровых ресурсах (форма 8), с необходимыми приложениями к ней, если требуется, – предоставляется во второй части заявки исключительно для целей проведения оценки, если в </w:t>
            </w:r>
            <w:hyperlink w:anchor="Прил08_ПорядокОценки">
              <w:r>
                <w:rPr>
                  <w:rStyle w:val="Style11"/>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наличия (привлечения) кадровых ресурсов;</w:t>
            </w:r>
          </w:p>
        </w:tc>
      </w:tr>
      <w:tr>
        <w:trPr/>
        <w:tc>
          <w:tcPr>
            <w:tcW w:w="707" w:type="dxa"/>
            <w:tcBorders/>
          </w:tcPr>
          <w:p>
            <w:pPr>
              <w:pStyle w:val="Style28"/>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Справка об аффилированности Участника с изготовителем (производителем) предлагаемого товара (форма 9) – предоставляется, если Участники имеет признаки аффилированности согласно критериям, установленным в инструкции к указанной справке (дополнительно предоставляются документы, подтверждающие аффилированность по тому или иному критерию) и если в </w:t>
            </w:r>
            <w:hyperlink w:anchor="Прил08_ПорядокОценки">
              <w:r>
                <w:rPr>
                  <w:rStyle w:val="Style11"/>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наличия аффилированности;</w:t>
            </w:r>
          </w:p>
        </w:tc>
      </w:tr>
      <w:tr>
        <w:trPr/>
        <w:tc>
          <w:tcPr>
            <w:tcW w:w="707" w:type="dxa"/>
            <w:tcBorders/>
          </w:tcPr>
          <w:p>
            <w:pPr>
              <w:pStyle w:val="Style28"/>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pPr>
            <w:r>
              <w:rPr>
                <w:rFonts w:eastAsia="Calibri" w:cs=""/>
                <w:kern w:val="0"/>
                <w:sz w:val="26"/>
                <w:szCs w:val="22"/>
                <w:lang w:val="ru-RU" w:eastAsia="en-US" w:bidi="ar-SA"/>
              </w:rPr>
              <w:t>Документы (или их копии), подтверждающие соответствие предлагаемой к поставке продукции требованиям, установленным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 предоставляются, если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было установлено соответствующее требование;</w:t>
            </w:r>
          </w:p>
        </w:tc>
      </w:tr>
      <w:tr>
        <w:trPr/>
        <w:tc>
          <w:tcPr>
            <w:tcW w:w="707" w:type="dxa"/>
            <w:tcBorders/>
          </w:tcPr>
          <w:p>
            <w:pPr>
              <w:pStyle w:val="Style28"/>
              <w:keepNext w:val="true"/>
              <w:widowControl w:val="false"/>
              <w:suppressAutoHyphens w:val="true"/>
              <w:spacing w:before="60" w:after="60"/>
              <w:ind w:left="360" w:hanging="0"/>
              <w:jc w:val="center"/>
              <w:rPr>
                <w:b/>
                <w:bCs/>
              </w:rPr>
            </w:pPr>
            <w:r>
              <w:rPr>
                <w:b/>
                <w:bCs/>
              </w:rPr>
            </w:r>
          </w:p>
        </w:tc>
        <w:tc>
          <w:tcPr>
            <w:tcW w:w="8075" w:type="dxa"/>
            <w:tcBorders/>
          </w:tcPr>
          <w:p>
            <w:pPr>
              <w:pStyle w:val="Style28"/>
              <w:keepNext w:val="true"/>
              <w:widowControl w:val="false"/>
              <w:suppressAutoHyphens w:val="true"/>
              <w:spacing w:before="60" w:after="60"/>
              <w:rPr>
                <w:b/>
                <w:bCs/>
              </w:rPr>
            </w:pPr>
            <w:r>
              <w:rPr>
                <w:rFonts w:eastAsia="Calibri" w:cs=""/>
                <w:b/>
                <w:bCs/>
                <w:kern w:val="0"/>
                <w:sz w:val="26"/>
                <w:szCs w:val="22"/>
                <w:lang w:val="ru-RU" w:eastAsia="en-US" w:bidi="ar-SA"/>
              </w:rPr>
              <w:t>Ценовое предложение:</w:t>
            </w:r>
          </w:p>
        </w:tc>
      </w:tr>
      <w:tr>
        <w:trPr/>
        <w:tc>
          <w:tcPr>
            <w:tcW w:w="707" w:type="dxa"/>
            <w:tcBorders/>
          </w:tcPr>
          <w:p>
            <w:pPr>
              <w:pStyle w:val="Style28"/>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28"/>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Коммерческое предложение (включая Структуру НМЦ) (форма 3); также дополнительно предоставляется подтверждающая документация, составленная в соответствии с </w:t>
            </w:r>
            <w:hyperlink w:anchor="Прил01_ТехТребования">
              <w:r>
                <w:rPr>
                  <w:rStyle w:val="Style11"/>
                  <w:rFonts w:eastAsia="Calibri" w:cs=""/>
                  <w:kern w:val="0"/>
                  <w:sz w:val="26"/>
                  <w:szCs w:val="22"/>
                  <w:lang w:val="ru-RU" w:eastAsia="en-US" w:bidi="ar-SA"/>
                </w:rPr>
                <w:t>Техническими требованиями (Приложение № 1)</w:t>
              </w:r>
            </w:hyperlink>
            <w:r>
              <w:rPr>
                <w:rFonts w:eastAsia="Calibri" w:cs=""/>
                <w:kern w:val="0"/>
                <w:sz w:val="26"/>
                <w:szCs w:val="22"/>
                <w:lang w:val="ru-RU" w:eastAsia="en-US" w:bidi="ar-SA"/>
              </w:rPr>
              <w:t xml:space="preserve"> – только если в Технических требованиях установлены требования к документации по ценообразованию (подраздел «Требования к документации по ценообразованию на этапе закупки») либо аналогичные по смыслу.</w:t>
            </w:r>
          </w:p>
        </w:tc>
      </w:tr>
    </w:tbl>
    <w:p>
      <w:pPr>
        <w:sectPr>
          <w:headerReference w:type="default" r:id="rId27"/>
          <w:headerReference w:type="first" r:id="rId28"/>
          <w:footerReference w:type="default" r:id="rId29"/>
          <w:footerReference w:type="first" r:id="rId30"/>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4"/>
        <w:rPr>
          <w:rStyle w:val="Style8"/>
          <w:i w:val="false"/>
          <w:i w:val="false"/>
          <w:iCs w:val="false"/>
          <w:shd w:fill="auto" w:val="clear"/>
        </w:rPr>
      </w:pPr>
      <w:r>
        <w:rPr>
          <w:rStyle w:val="Style8"/>
          <w:i w:val="false"/>
          <w:iCs w:val="false"/>
          <w:shd w:fill="auto" w:val="clear"/>
        </w:rPr>
        <w:t>Если по каким-либо причинам Участник не может предоставить какой-либо из требуемых документов, он может в составе заявки приложить составленную в 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p>
    <w:p>
      <w:pPr>
        <w:pStyle w:val="Style22"/>
        <w:rPr/>
      </w:pPr>
      <w:bookmarkStart w:id="361" w:name="_Ref125365264"/>
      <w:bookmarkStart w:id="362" w:name="_Toc228877725"/>
      <w:bookmarkStart w:id="363" w:name="Прил07_ОтборочныеКритерии"/>
      <w:bookmarkEnd w:id="363"/>
      <w:r>
        <w:rPr/>
        <w:t>Приложение № 7 – Отборочные критерии рассмотрения заявок</w:t>
      </w:r>
      <w:bookmarkEnd w:id="361"/>
      <w:bookmarkEnd w:id="362"/>
    </w:p>
    <w:p>
      <w:pPr>
        <w:pStyle w:val="Style23"/>
        <w:spacing w:before="360" w:after="120"/>
        <w:rPr>
          <w:rStyle w:val="Style8"/>
          <w:i w:val="false"/>
          <w:i w:val="false"/>
          <w:iCs w:val="false"/>
          <w:shd w:fill="auto" w:val="clear"/>
        </w:rPr>
      </w:pPr>
      <w:bookmarkStart w:id="364" w:name="_Toc228877726"/>
      <w:r>
        <w:rPr>
          <w:rStyle w:val="Style8"/>
          <w:i w:val="false"/>
          <w:iCs w:val="false"/>
          <w:shd w:fill="auto" w:val="clear"/>
        </w:rPr>
        <w:t>Отборочные критерии рассмотрения первых частей заявок</w:t>
      </w:r>
      <w:bookmarkEnd w:id="364"/>
    </w:p>
    <w:tbl>
      <w:tblPr>
        <w:tblStyle w:val="af9"/>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412"/>
        <w:gridCol w:w="8506"/>
        <w:gridCol w:w="3117"/>
        <w:gridCol w:w="2090"/>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506"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отборочного критерия</w:t>
            </w:r>
          </w:p>
        </w:tc>
        <w:tc>
          <w:tcPr>
            <w:tcW w:w="3117"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9918" w:type="dxa"/>
            <w:gridSpan w:val="2"/>
            <w:tcBorders/>
          </w:tcPr>
          <w:p>
            <w:pPr>
              <w:pStyle w:val="Style28"/>
              <w:keepNext w:val="true"/>
              <w:widowControl w:val="false"/>
              <w:suppressAutoHyphens w:val="true"/>
              <w:spacing w:before="60" w:after="60"/>
              <w:rPr>
                <w:b/>
                <w:bCs/>
              </w:rPr>
            </w:pPr>
            <w:r>
              <w:rPr>
                <w:rFonts w:eastAsia="Calibri" w:cs=""/>
                <w:b/>
                <w:bCs/>
                <w:kern w:val="0"/>
                <w:sz w:val="26"/>
                <w:szCs w:val="22"/>
                <w:lang w:val="ru-RU" w:eastAsia="en-US" w:bidi="ar-SA"/>
              </w:rPr>
              <w:t>Состав и правильность оформления первой части заявки, в том числе:</w:t>
            </w:r>
          </w:p>
        </w:tc>
        <w:tc>
          <w:tcPr>
            <w:tcW w:w="3117" w:type="dxa"/>
            <w:tcBorders/>
          </w:tcPr>
          <w:p>
            <w:pPr>
              <w:pStyle w:val="Style28"/>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8"/>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Наличие в составе первой части заявки обязательных к предоставлению (для целей рассмотрения первых частей заявок в рамках отборочной стадии) документов в соответствии с требованиями </w:t>
            </w:r>
            <w:hyperlink w:anchor="Прил06_СоставЗаявки">
              <w:r>
                <w:rPr>
                  <w:rStyle w:val="Style11"/>
                  <w:rFonts w:eastAsia="Calibri" w:cs=""/>
                  <w:kern w:val="0"/>
                  <w:sz w:val="26"/>
                  <w:szCs w:val="22"/>
                  <w:lang w:val="ru-RU" w:eastAsia="en-US" w:bidi="ar-SA"/>
                </w:rPr>
                <w:t>Приложения № 6 «Состав заявки»</w:t>
              </w:r>
            </w:hyperlink>
            <w:r>
              <w:rPr>
                <w:rFonts w:eastAsia="Calibri" w:cs=""/>
                <w:kern w:val="0"/>
                <w:sz w:val="26"/>
                <w:szCs w:val="22"/>
                <w:lang w:val="ru-RU" w:eastAsia="en-US" w:bidi="ar-SA"/>
              </w:rPr>
              <w:t>, а также правильность их оформления (в т.ч. в части языка заявки)</w:t>
            </w:r>
          </w:p>
        </w:tc>
        <w:tc>
          <w:tcPr>
            <w:tcW w:w="3117" w:type="dxa"/>
            <w:tcBorders/>
          </w:tcPr>
          <w:p>
            <w:pPr>
              <w:pStyle w:val="Style28"/>
              <w:widowControl w:val="false"/>
              <w:suppressAutoHyphens w:val="true"/>
              <w:spacing w:before="60" w:after="60"/>
              <w:jc w:val="center"/>
              <w:rPr>
                <w:rStyle w:val="Style11"/>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_Ref125362119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4.6</w:t>
            </w:r>
            <w:r>
              <w:rPr>
                <w:sz w:val="26"/>
                <w:kern w:val="0"/>
                <w:szCs w:val="22"/>
                <w:rFonts w:eastAsia="Calibri" w:cs=""/>
                <w:lang w:val="ru-RU" w:eastAsia="en-US" w:bidi="ar-SA"/>
              </w:rPr>
              <w:fldChar w:fldCharType="end"/>
            </w:r>
            <w:r>
              <w:rPr>
                <w:rFonts w:eastAsia="Calibri" w:cs=""/>
                <w:kern w:val="0"/>
                <w:sz w:val="26"/>
                <w:szCs w:val="22"/>
                <w:lang w:val="ru-RU" w:eastAsia="en-US" w:bidi="ar-SA"/>
              </w:rPr>
              <w:t>,</w:t>
              <w:br/>
            </w:r>
            <w:hyperlink w:anchor="Прил06_СоставЗаявки">
              <w:r>
                <w:rPr>
                  <w:rStyle w:val="Style11"/>
                  <w:rFonts w:eastAsia="Calibri" w:cs=""/>
                  <w:kern w:val="0"/>
                  <w:sz w:val="26"/>
                  <w:szCs w:val="22"/>
                  <w:lang w:val="ru-RU" w:eastAsia="en-US" w:bidi="ar-SA"/>
                </w:rPr>
                <w:t>Приложение № 6</w:t>
              </w:r>
            </w:hyperlink>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Отсутствие в материалах (документах) первой части заявки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w:t>
            </w:r>
          </w:p>
        </w:tc>
        <w:tc>
          <w:tcPr>
            <w:tcW w:w="3117"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Отсутствие в материалах первой части заявки сведений об Участнике и (или) о его ценовом предложении</w:t>
            </w:r>
          </w:p>
        </w:tc>
        <w:tc>
          <w:tcPr>
            <w:tcW w:w="3117"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9918" w:type="dxa"/>
            <w:gridSpan w:val="2"/>
            <w:tcBorders/>
          </w:tcPr>
          <w:p>
            <w:pPr>
              <w:pStyle w:val="Style28"/>
              <w:keepNext w:val="true"/>
              <w:widowControl w:val="false"/>
              <w:suppressAutoHyphens w:val="true"/>
              <w:spacing w:before="60" w:after="60"/>
              <w:rPr>
                <w:b/>
                <w:bCs/>
              </w:rPr>
            </w:pPr>
            <w:r>
              <w:rPr>
                <w:rFonts w:eastAsia="Calibri" w:cs=""/>
                <w:b/>
                <w:bCs/>
                <w:kern w:val="0"/>
                <w:sz w:val="26"/>
                <w:szCs w:val="22"/>
                <w:lang w:val="ru-RU" w:eastAsia="en-US" w:bidi="ar-SA"/>
              </w:rPr>
              <w:t xml:space="preserve">Соответствие Технического предложения Участника </w:t>
            </w:r>
            <w:hyperlink w:anchor="Прил01_ТехТребования">
              <w:r>
                <w:rPr>
                  <w:rStyle w:val="Style11"/>
                  <w:rFonts w:eastAsia="Calibri" w:cs=""/>
                  <w:b/>
                  <w:bCs/>
                  <w:kern w:val="0"/>
                  <w:sz w:val="26"/>
                  <w:szCs w:val="22"/>
                  <w:lang w:val="ru-RU" w:eastAsia="en-US" w:bidi="ar-SA"/>
                </w:rPr>
                <w:t>Техническим требованиям (Приложение № 1)</w:t>
              </w:r>
            </w:hyperlink>
            <w:r>
              <w:rPr>
                <w:rFonts w:eastAsia="Calibri" w:cs=""/>
                <w:b/>
                <w:bCs/>
                <w:kern w:val="0"/>
                <w:sz w:val="26"/>
                <w:szCs w:val="22"/>
                <w:lang w:val="ru-RU" w:eastAsia="en-US" w:bidi="ar-SA"/>
              </w:rPr>
              <w:t>, в том числе:</w:t>
            </w:r>
          </w:p>
        </w:tc>
        <w:tc>
          <w:tcPr>
            <w:tcW w:w="3117" w:type="dxa"/>
            <w:tcBorders/>
          </w:tcPr>
          <w:p>
            <w:pPr>
              <w:pStyle w:val="Style28"/>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8"/>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Соответствие объемов и состава работ / услуг, технологии производства работ, предложенных Участником в Техническом предложении, требованиям, указанным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p>
        </w:tc>
        <w:tc>
          <w:tcPr>
            <w:tcW w:w="311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Соответствие номенклатуры, количества и характеристик материалов / оборудования, предложенных Участником в Техническом предложении, требованиям, указанным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p>
        </w:tc>
        <w:tc>
          <w:tcPr>
            <w:tcW w:w="311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Соответствие сроков (и (или) этапов) реализации Договора, предложенных Участником в Техническом предложении, указанным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и (или) в </w:t>
            </w:r>
            <w:hyperlink w:anchor="Прил02_ПроектДоговора">
              <w:r>
                <w:rPr>
                  <w:rStyle w:val="Style11"/>
                  <w:rFonts w:eastAsia="Calibri" w:cs=""/>
                  <w:kern w:val="0"/>
                  <w:sz w:val="26"/>
                  <w:szCs w:val="22"/>
                  <w:lang w:val="ru-RU" w:eastAsia="en-US" w:bidi="ar-SA"/>
                </w:rPr>
                <w:t>Проекте договора (Приложение № 2)</w:t>
              </w:r>
            </w:hyperlink>
            <w:r>
              <w:rPr>
                <w:rFonts w:eastAsia="Calibri" w:cs=""/>
                <w:kern w:val="0"/>
                <w:sz w:val="26"/>
                <w:szCs w:val="22"/>
                <w:lang w:val="ru-RU" w:eastAsia="en-US" w:bidi="ar-SA"/>
              </w:rPr>
              <w:t>, или согласие с ними в Письме о подаче оферты</w:t>
            </w:r>
          </w:p>
        </w:tc>
        <w:tc>
          <w:tcPr>
            <w:tcW w:w="3117" w:type="dxa"/>
            <w:tcBorders/>
          </w:tcPr>
          <w:p>
            <w:pPr>
              <w:pStyle w:val="Style28"/>
              <w:widowControl w:val="false"/>
              <w:suppressAutoHyphens w:val="true"/>
              <w:spacing w:before="60" w:after="60"/>
              <w:jc w:val="center"/>
              <w:rPr/>
            </w:pPr>
            <w:hyperlink w:anchor="Прил01_ТехТребования">
              <w:r>
                <w:rPr>
                  <w:rStyle w:val="Style11"/>
                  <w:rFonts w:eastAsia="Calibri" w:cs=""/>
                  <w:kern w:val="0"/>
                  <w:sz w:val="26"/>
                  <w:szCs w:val="22"/>
                  <w:lang w:val="ru-RU" w:eastAsia="en-US" w:bidi="ar-SA"/>
                </w:rPr>
                <w:t>Приложение № 1</w:t>
              </w:r>
            </w:hyperlink>
            <w:r>
              <w:rPr>
                <w:rFonts w:eastAsia="Calibri" w:cs=""/>
                <w:kern w:val="0"/>
                <w:sz w:val="26"/>
                <w:szCs w:val="22"/>
                <w:lang w:val="ru-RU" w:eastAsia="en-US" w:bidi="ar-SA"/>
              </w:rPr>
              <w:t>,</w:t>
              <w:br/>
            </w:r>
            <w:hyperlink w:anchor="Прил02_ПроектДоговора">
              <w:r>
                <w:rPr>
                  <w:rStyle w:val="Style11"/>
                  <w:rFonts w:eastAsia="Calibri" w:cs=""/>
                  <w:kern w:val="0"/>
                  <w:sz w:val="26"/>
                  <w:szCs w:val="22"/>
                  <w:lang w:val="ru-RU" w:eastAsia="en-US" w:bidi="ar-SA"/>
                </w:rPr>
                <w:t>Приложение № 2</w:t>
              </w:r>
            </w:hyperlink>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Соответствие требованиям к гарантии на поставляемые материалы / оборудование и результаты выполненных работ, указанным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и (или) в </w:t>
            </w:r>
            <w:hyperlink w:anchor="Прил02_ПроектДоговора">
              <w:r>
                <w:rPr>
                  <w:rStyle w:val="Style11"/>
                  <w:rFonts w:eastAsia="Calibri" w:cs=""/>
                  <w:kern w:val="0"/>
                  <w:sz w:val="26"/>
                  <w:szCs w:val="22"/>
                  <w:lang w:val="ru-RU" w:eastAsia="en-US" w:bidi="ar-SA"/>
                </w:rPr>
                <w:t>Проекте договора (Приложение № 2)</w:t>
              </w:r>
            </w:hyperlink>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28"/>
              <w:widowControl w:val="false"/>
              <w:suppressAutoHyphens w:val="true"/>
              <w:spacing w:before="60" w:after="60"/>
              <w:jc w:val="center"/>
              <w:rPr/>
            </w:pPr>
            <w:hyperlink w:anchor="Прил01_ТехТребования">
              <w:r>
                <w:rPr>
                  <w:rStyle w:val="Style11"/>
                  <w:rFonts w:eastAsia="Calibri" w:cs=""/>
                  <w:kern w:val="0"/>
                  <w:sz w:val="26"/>
                  <w:szCs w:val="22"/>
                  <w:lang w:val="ru-RU" w:eastAsia="en-US" w:bidi="ar-SA"/>
                </w:rPr>
                <w:t>Приложение № 1</w:t>
              </w:r>
            </w:hyperlink>
            <w:r>
              <w:rPr>
                <w:rFonts w:eastAsia="Calibri" w:cs=""/>
                <w:kern w:val="0"/>
                <w:sz w:val="26"/>
                <w:szCs w:val="22"/>
                <w:lang w:val="ru-RU" w:eastAsia="en-US" w:bidi="ar-SA"/>
              </w:rPr>
              <w:t>,</w:t>
              <w:br/>
            </w:r>
            <w:hyperlink w:anchor="Прил02_ПроектДоговора">
              <w:r>
                <w:rPr>
                  <w:rStyle w:val="Style11"/>
                  <w:rFonts w:eastAsia="Calibri" w:cs=""/>
                  <w:kern w:val="0"/>
                  <w:sz w:val="26"/>
                  <w:szCs w:val="22"/>
                  <w:lang w:val="ru-RU" w:eastAsia="en-US" w:bidi="ar-SA"/>
                </w:rPr>
                <w:t>Приложение № 2</w:t>
              </w:r>
            </w:hyperlink>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Соответствие предлагаемой к поставке продукции дополнительным требованиям, установленным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с предоставлением требуемых подтверждающих документов / сведений</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28"/>
              <w:widowControl w:val="false"/>
              <w:suppressAutoHyphens w:val="true"/>
              <w:spacing w:before="60" w:after="60"/>
              <w:jc w:val="center"/>
              <w:rPr/>
            </w:pP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bl>
    <w:p>
      <w:pPr>
        <w:pStyle w:val="Style23"/>
        <w:spacing w:before="360" w:after="120"/>
        <w:rPr>
          <w:rStyle w:val="Style8"/>
          <w:i w:val="false"/>
          <w:i w:val="false"/>
          <w:iCs w:val="false"/>
          <w:shd w:fill="auto" w:val="clear"/>
        </w:rPr>
      </w:pPr>
      <w:bookmarkStart w:id="365" w:name="_Toc228877728"/>
      <w:bookmarkStart w:id="366" w:name="_Hlk132891087"/>
      <w:r>
        <w:rPr>
          <w:rStyle w:val="Style8"/>
          <w:i w:val="false"/>
          <w:iCs w:val="false"/>
          <w:shd w:fill="auto" w:val="clear"/>
        </w:rPr>
        <w:t>Отборочные критерии рассмотрения вторых частей заявок</w:t>
      </w:r>
      <w:bookmarkEnd w:id="365"/>
      <w:bookmarkEnd w:id="366"/>
    </w:p>
    <w:tbl>
      <w:tblPr>
        <w:tblStyle w:val="af9"/>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400"/>
        <w:gridCol w:w="8094"/>
        <w:gridCol w:w="3567"/>
        <w:gridCol w:w="2064"/>
      </w:tblGrid>
      <w:tr>
        <w:trPr>
          <w:cnfStyle w:val="100000000000" w:firstRow="1" w:lastRow="0" w:firstColumn="0" w:lastColumn="0" w:oddVBand="0" w:evenVBand="0" w:oddHBand="0" w:evenHBand="0" w:firstRowFirstColumn="0" w:firstRowLastColumn="0" w:lastRowFirstColumn="0" w:lastRowLastColumn="0"/>
        </w:trPr>
        <w:tc>
          <w:tcPr>
            <w:tcW w:w="1400"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094"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отборочного критерия</w:t>
            </w:r>
          </w:p>
        </w:tc>
        <w:tc>
          <w:tcPr>
            <w:tcW w:w="3567"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64"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9494" w:type="dxa"/>
            <w:gridSpan w:val="2"/>
            <w:tcBorders/>
          </w:tcPr>
          <w:p>
            <w:pPr>
              <w:pStyle w:val="Style28"/>
              <w:keepNext w:val="true"/>
              <w:widowControl w:val="false"/>
              <w:suppressAutoHyphens w:val="true"/>
              <w:spacing w:before="60" w:after="60"/>
              <w:rPr>
                <w:b/>
                <w:bCs/>
              </w:rPr>
            </w:pPr>
            <w:r>
              <w:rPr>
                <w:rFonts w:eastAsia="Calibri" w:cs=""/>
                <w:b/>
                <w:bCs/>
                <w:kern w:val="0"/>
                <w:sz w:val="26"/>
                <w:szCs w:val="22"/>
                <w:lang w:val="ru-RU" w:eastAsia="en-US" w:bidi="ar-SA"/>
              </w:rPr>
              <w:t>Состав и правильность оформления второй части заявки, в том числе:</w:t>
            </w:r>
          </w:p>
        </w:tc>
        <w:tc>
          <w:tcPr>
            <w:tcW w:w="3567" w:type="dxa"/>
            <w:tcBorders/>
          </w:tcPr>
          <w:p>
            <w:pPr>
              <w:pStyle w:val="Style28"/>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64" w:type="dxa"/>
            <w:tcBorders/>
          </w:tcPr>
          <w:p>
            <w:pPr>
              <w:pStyle w:val="Style28"/>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00" w:type="dxa"/>
            <w:tcBorders/>
          </w:tcPr>
          <w:p>
            <w:pPr>
              <w:pStyle w:val="Style28"/>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94"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Наличие в составе второй части заявки всех обязательных к предоставлению (для целей рассмотрения вторых частей заявок в рамках отборочной стадии) документов в соответствии с требованиями </w:t>
            </w:r>
            <w:hyperlink w:anchor="Прил06_СоставЗаявки">
              <w:r>
                <w:rPr>
                  <w:rStyle w:val="Style11"/>
                  <w:rFonts w:eastAsia="Calibri" w:cs=""/>
                  <w:kern w:val="0"/>
                  <w:sz w:val="26"/>
                  <w:szCs w:val="22"/>
                  <w:lang w:val="ru-RU" w:eastAsia="en-US" w:bidi="ar-SA"/>
                </w:rPr>
                <w:t>Приложения № 6 «Состав заявки»</w:t>
              </w:r>
            </w:hyperlink>
            <w:r>
              <w:rPr>
                <w:rFonts w:eastAsia="Calibri" w:cs=""/>
                <w:kern w:val="0"/>
                <w:sz w:val="26"/>
                <w:szCs w:val="22"/>
                <w:lang w:val="ru-RU" w:eastAsia="en-US" w:bidi="ar-SA"/>
              </w:rPr>
              <w:t>, а также правильность их оформления (в т.ч. в части наличия должных печатей, подписей, формы заверения, языка и валюты заявки)</w:t>
            </w:r>
          </w:p>
        </w:tc>
        <w:tc>
          <w:tcPr>
            <w:tcW w:w="3567" w:type="dxa"/>
            <w:tcBorders/>
          </w:tcPr>
          <w:p>
            <w:pPr>
              <w:pStyle w:val="Style28"/>
              <w:widowControl w:val="false"/>
              <w:suppressAutoHyphens w:val="true"/>
              <w:spacing w:before="60" w:after="60"/>
              <w:jc w:val="center"/>
              <w:rPr>
                <w:rStyle w:val="Style11"/>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_Ref125362119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4.6</w:t>
            </w:r>
            <w:r>
              <w:rPr>
                <w:sz w:val="26"/>
                <w:kern w:val="0"/>
                <w:szCs w:val="22"/>
                <w:rFonts w:eastAsia="Calibri" w:cs=""/>
                <w:lang w:val="ru-RU" w:eastAsia="en-US" w:bidi="ar-SA"/>
              </w:rPr>
              <w:fldChar w:fldCharType="end"/>
            </w:r>
            <w:r>
              <w:rPr>
                <w:rFonts w:eastAsia="Calibri" w:cs=""/>
                <w:kern w:val="0"/>
                <w:sz w:val="26"/>
                <w:szCs w:val="22"/>
                <w:lang w:val="ru-RU" w:eastAsia="en-US" w:bidi="ar-SA"/>
              </w:rPr>
              <w:t>,</w:t>
              <w:br/>
            </w:r>
            <w:hyperlink w:anchor="Прил06_СоставЗаявки">
              <w:r>
                <w:rPr>
                  <w:rStyle w:val="Style11"/>
                  <w:rFonts w:eastAsia="Calibri" w:cs=""/>
                  <w:kern w:val="0"/>
                  <w:sz w:val="26"/>
                  <w:szCs w:val="22"/>
                  <w:lang w:val="ru-RU" w:eastAsia="en-US" w:bidi="ar-SA"/>
                </w:rPr>
                <w:t>Приложение № 6</w:t>
              </w:r>
            </w:hyperlink>
          </w:p>
        </w:tc>
        <w:tc>
          <w:tcPr>
            <w:tcW w:w="2064"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br/>
              <w:t>Юр</w:t>
            </w:r>
          </w:p>
        </w:tc>
      </w:tr>
      <w:tr>
        <w:trPr/>
        <w:tc>
          <w:tcPr>
            <w:tcW w:w="1400" w:type="dxa"/>
            <w:tcBorders/>
          </w:tcPr>
          <w:p>
            <w:pPr>
              <w:pStyle w:val="Style28"/>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67" w:name="_Ref132890414"/>
            <w:bookmarkStart w:id="368" w:name="_Ref132890414"/>
            <w:bookmarkEnd w:id="368"/>
          </w:p>
        </w:tc>
        <w:tc>
          <w:tcPr>
            <w:tcW w:w="8094"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Наличие обеспечения обязательств Участника, связанного с подачей заявки, в виде независимой гарантии и ее соответствие установленным требованиям Документации о закупке – если подразделом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предусмотрена обязанность Участников предоставить обеспечение заявки на участие в закупке и в случае отсутствия внесение денежных средств на специальный банковский счет, открытый Участником в банке, включенном в перечень, определенный Правительством Российской Федерации в соответствии с Законом 44-ФЗ</w:t>
            </w:r>
          </w:p>
        </w:tc>
        <w:tc>
          <w:tcPr>
            <w:tcW w:w="3567"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_Ref130455226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4.18</w:t>
            </w:r>
            <w:r>
              <w:rPr>
                <w:sz w:val="26"/>
                <w:kern w:val="0"/>
                <w:szCs w:val="22"/>
                <w:rFonts w:eastAsia="Calibri" w:cs=""/>
                <w:lang w:val="ru-RU" w:eastAsia="en-US" w:bidi="ar-SA"/>
              </w:rPr>
              <w:fldChar w:fldCharType="end"/>
            </w:r>
          </w:p>
        </w:tc>
        <w:tc>
          <w:tcPr>
            <w:tcW w:w="2064"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 в части наличия сведений в реестре,</w:t>
            </w:r>
          </w:p>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Фин – в части соответствия</w:t>
            </w:r>
          </w:p>
        </w:tc>
      </w:tr>
      <w:tr>
        <w:trPr/>
        <w:tc>
          <w:tcPr>
            <w:tcW w:w="1400" w:type="dxa"/>
            <w:tcBorders/>
          </w:tcPr>
          <w:p>
            <w:pPr>
              <w:pStyle w:val="Style28"/>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94"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Отсутствие в материалах (документах) второй части заявки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w:t>
            </w:r>
          </w:p>
        </w:tc>
        <w:tc>
          <w:tcPr>
            <w:tcW w:w="3567"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p>
        </w:tc>
        <w:tc>
          <w:tcPr>
            <w:tcW w:w="2064"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br/>
              <w:t>Юр</w:t>
            </w:r>
          </w:p>
        </w:tc>
      </w:tr>
      <w:tr>
        <w:trPr/>
        <w:tc>
          <w:tcPr>
            <w:tcW w:w="9494" w:type="dxa"/>
            <w:gridSpan w:val="2"/>
            <w:tcBorders/>
          </w:tcPr>
          <w:p>
            <w:pPr>
              <w:pStyle w:val="Style28"/>
              <w:keepNext w:val="true"/>
              <w:widowControl w:val="false"/>
              <w:suppressAutoHyphens w:val="true"/>
              <w:spacing w:before="60" w:after="60"/>
              <w:rPr>
                <w:b/>
                <w:bCs/>
              </w:rPr>
            </w:pPr>
            <w:r>
              <w:rPr>
                <w:rFonts w:eastAsia="Calibri" w:cs=""/>
                <w:b/>
                <w:bCs/>
                <w:kern w:val="0"/>
                <w:sz w:val="26"/>
                <w:szCs w:val="22"/>
                <w:lang w:val="ru-RU" w:eastAsia="en-US" w:bidi="ar-SA"/>
              </w:rPr>
              <w:t>Соответствие Письма о подаче оферты:</w:t>
            </w:r>
          </w:p>
        </w:tc>
        <w:tc>
          <w:tcPr>
            <w:tcW w:w="3567" w:type="dxa"/>
            <w:tcBorders/>
          </w:tcPr>
          <w:p>
            <w:pPr>
              <w:pStyle w:val="Style28"/>
              <w:keepNext w:val="true"/>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c>
          <w:tcPr>
            <w:tcW w:w="2064" w:type="dxa"/>
            <w:tcBorders/>
          </w:tcPr>
          <w:p>
            <w:pPr>
              <w:pStyle w:val="Style28"/>
              <w:keepNext w:val="true"/>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r>
      <w:tr>
        <w:trPr/>
        <w:tc>
          <w:tcPr>
            <w:tcW w:w="1400" w:type="dxa"/>
            <w:tcBorders/>
          </w:tcPr>
          <w:p>
            <w:pPr>
              <w:pStyle w:val="Style28"/>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94"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(в том числе содержание) Письма о подаче оферты установленной форме и иным требованиям Документации о закупке, в т.ч. в части срока действия заявки</w:t>
            </w:r>
          </w:p>
        </w:tc>
        <w:tc>
          <w:tcPr>
            <w:tcW w:w="356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w:t>
              <w:br/>
            </w:r>
            <w:hyperlink w:anchor="Прил04_ФормыЗаявки">
              <w:r>
                <w:rPr>
                  <w:rStyle w:val="Style11"/>
                  <w:rFonts w:eastAsia="Calibri" w:cs=""/>
                  <w:kern w:val="0"/>
                  <w:sz w:val="26"/>
                  <w:szCs w:val="22"/>
                  <w:lang w:val="ru-RU" w:eastAsia="en-US" w:bidi="ar-SA"/>
                </w:rPr>
                <w:t>Приложение № 4</w:t>
              </w:r>
            </w:hyperlink>
          </w:p>
        </w:tc>
        <w:tc>
          <w:tcPr>
            <w:tcW w:w="2064"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9494" w:type="dxa"/>
            <w:gridSpan w:val="2"/>
            <w:tcBorders/>
          </w:tcPr>
          <w:p>
            <w:pPr>
              <w:pStyle w:val="Style28"/>
              <w:keepNext w:val="true"/>
              <w:widowControl w:val="false"/>
              <w:suppressAutoHyphens w:val="true"/>
              <w:spacing w:before="60" w:after="60"/>
              <w:rPr>
                <w:b/>
                <w:bCs/>
              </w:rPr>
            </w:pPr>
            <w:r>
              <w:rPr>
                <w:rFonts w:eastAsia="Calibri" w:cs=""/>
                <w:b/>
                <w:bCs/>
                <w:kern w:val="0"/>
                <w:sz w:val="26"/>
                <w:szCs w:val="22"/>
                <w:lang w:val="ru-RU" w:eastAsia="en-US" w:bidi="ar-SA"/>
              </w:rPr>
              <w:t>Соответствие Участника установленным требованиям Документации о закупке, в том числе:</w:t>
            </w:r>
          </w:p>
        </w:tc>
        <w:tc>
          <w:tcPr>
            <w:tcW w:w="3567" w:type="dxa"/>
            <w:tcBorders/>
          </w:tcPr>
          <w:p>
            <w:pPr>
              <w:pStyle w:val="Style28"/>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64" w:type="dxa"/>
            <w:tcBorders/>
          </w:tcPr>
          <w:p>
            <w:pPr>
              <w:pStyle w:val="Style28"/>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00" w:type="dxa"/>
            <w:tcBorders/>
          </w:tcPr>
          <w:p>
            <w:pPr>
              <w:pStyle w:val="Style28"/>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94"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_Ref125552433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28"/>
              <w:widowControl w:val="false"/>
              <w:suppressAutoHyphens w:val="true"/>
              <w:spacing w:before="60" w:after="60"/>
              <w:rPr>
                <w:i/>
                <w:i/>
                <w:iCs/>
              </w:rPr>
            </w:pPr>
            <w:r>
              <w:rPr>
                <w:rFonts w:eastAsia="Calibri" w:cs=""/>
                <w:i/>
                <w:iCs/>
                <w:kern w:val="0"/>
                <w:sz w:val="26"/>
                <w:szCs w:val="22"/>
                <w:lang w:val="ru-RU" w:eastAsia="en-US" w:bidi="ar-SA"/>
              </w:rPr>
              <w:t>(в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его аккредитации (при необходимости). 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_Ref138341423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5.2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56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64"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Юр</w:t>
            </w:r>
          </w:p>
        </w:tc>
      </w:tr>
      <w:tr>
        <w:trPr/>
        <w:tc>
          <w:tcPr>
            <w:tcW w:w="1400" w:type="dxa"/>
            <w:tcBorders/>
          </w:tcPr>
          <w:p>
            <w:pPr>
              <w:pStyle w:val="Style28"/>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94"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_Ref132893662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tc>
        <w:tc>
          <w:tcPr>
            <w:tcW w:w="356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64"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1400" w:type="dxa"/>
            <w:tcBorders/>
          </w:tcPr>
          <w:p>
            <w:pPr>
              <w:pStyle w:val="Style28"/>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94"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3 обязательных требований к Участникам</w:t>
            </w:r>
          </w:p>
        </w:tc>
        <w:tc>
          <w:tcPr>
            <w:tcW w:w="356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64"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1400" w:type="dxa"/>
            <w:tcBorders/>
          </w:tcPr>
          <w:p>
            <w:pPr>
              <w:pStyle w:val="Style28"/>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94"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_Ref186220330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28"/>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установления режима запрета закупки иностранной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_Ref186219943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4.14</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56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подразделы</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_Ref186219943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4.14</w:t>
            </w:r>
            <w:r>
              <w:rPr>
                <w:sz w:val="26"/>
                <w:kern w:val="0"/>
                <w:szCs w:val="22"/>
                <w:rFonts w:eastAsia="Calibri" w:cs=""/>
                <w:lang w:val="ru-RU" w:eastAsia="en-US" w:bidi="ar-SA"/>
              </w:rPr>
              <w:fldChar w:fldCharType="end"/>
            </w:r>
            <w:r>
              <w:rPr>
                <w:rFonts w:eastAsia="Calibri" w:cs=""/>
                <w:kern w:val="0"/>
                <w:sz w:val="26"/>
                <w:szCs w:val="22"/>
                <w:lang w:val="ru-RU" w:eastAsia="en-US" w:bidi="ar-SA"/>
              </w:rPr>
              <w:t>,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64"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00" w:type="dxa"/>
            <w:tcBorders/>
          </w:tcPr>
          <w:p>
            <w:pPr>
              <w:pStyle w:val="Style28"/>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94"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_Ref186220335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5</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28"/>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установления режима ограничения закупки иностранной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_Ref186219943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4.14</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56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 xml:space="preserve">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_Ref186219943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4.14</w:t>
            </w:r>
            <w:r>
              <w:rPr>
                <w:sz w:val="26"/>
                <w:kern w:val="0"/>
                <w:szCs w:val="22"/>
                <w:rFonts w:eastAsia="Calibri" w:cs=""/>
                <w:lang w:val="ru-RU" w:eastAsia="en-US" w:bidi="ar-SA"/>
              </w:rPr>
              <w:fldChar w:fldCharType="end"/>
            </w:r>
            <w:r>
              <w:rPr>
                <w:rFonts w:eastAsia="Calibri" w:cs=""/>
                <w:kern w:val="0"/>
                <w:sz w:val="26"/>
                <w:szCs w:val="22"/>
                <w:lang w:val="ru-RU" w:eastAsia="en-US" w:bidi="ar-SA"/>
              </w:rPr>
              <w:t>,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64"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00" w:type="dxa"/>
            <w:tcBorders/>
          </w:tcPr>
          <w:p>
            <w:pPr>
              <w:pStyle w:val="Style28"/>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94"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специальным требованиям к Участникам</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56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_Ref125361442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8.3</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64"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00" w:type="dxa"/>
            <w:tcBorders/>
          </w:tcPr>
          <w:p>
            <w:pPr>
              <w:pStyle w:val="Style28"/>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94"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Генерального подрядчика установленным в отношении его требованиям:</w:t>
            </w:r>
          </w:p>
          <w:p>
            <w:pPr>
              <w:pStyle w:val="Style28"/>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проведения закупки, принять участие в которой можно от лица Генерального подрядчика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_Ref125359973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1.2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_Ref125361702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3.2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 и заявка подана от его лица)</w:t>
            </w:r>
          </w:p>
        </w:tc>
        <w:tc>
          <w:tcPr>
            <w:tcW w:w="3567"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c>
          <w:tcPr>
            <w:tcW w:w="2064"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r>
      <w:tr>
        <w:trPr/>
        <w:tc>
          <w:tcPr>
            <w:tcW w:w="1400" w:type="dxa"/>
            <w:tcBorders/>
          </w:tcPr>
          <w:p>
            <w:pPr>
              <w:pStyle w:val="Style28"/>
              <w:widowControl w:val="false"/>
              <w:numPr>
                <w:ilvl w:val="1"/>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94" w:type="dxa"/>
            <w:tcBorders/>
          </w:tcPr>
          <w:p>
            <w:pPr>
              <w:pStyle w:val="Style28"/>
              <w:widowControl w:val="false"/>
              <w:numPr>
                <w:ilvl w:val="0"/>
                <w:numId w:val="7"/>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части требований пунктов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_Ref125370187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_Ref125553847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w:t>
            </w:r>
            <w:r>
              <w:rPr>
                <w:sz w:val="26"/>
                <w:kern w:val="0"/>
                <w:szCs w:val="22"/>
                <w:rFonts w:eastAsia="Calibri" w:cs=""/>
                <w:lang w:val="ru-RU" w:eastAsia="en-US" w:bidi="ar-SA"/>
              </w:rPr>
              <w:fldChar w:fldCharType="end"/>
            </w:r>
          </w:p>
        </w:tc>
        <w:tc>
          <w:tcPr>
            <w:tcW w:w="356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64"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00" w:type="dxa"/>
            <w:tcBorders/>
          </w:tcPr>
          <w:p>
            <w:pPr>
              <w:pStyle w:val="Style28"/>
              <w:widowControl w:val="false"/>
              <w:numPr>
                <w:ilvl w:val="1"/>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94" w:type="dxa"/>
            <w:tcBorders/>
          </w:tcPr>
          <w:p>
            <w:pPr>
              <w:pStyle w:val="Style28"/>
              <w:widowControl w:val="false"/>
              <w:numPr>
                <w:ilvl w:val="0"/>
                <w:numId w:val="7"/>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части требований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_Ref125370193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2</w:t>
            </w:r>
            <w:r>
              <w:rPr>
                <w:sz w:val="26"/>
                <w:kern w:val="0"/>
                <w:szCs w:val="22"/>
                <w:rFonts w:eastAsia="Calibri" w:cs=""/>
                <w:lang w:val="ru-RU" w:eastAsia="en-US" w:bidi="ar-SA"/>
              </w:rPr>
              <w:fldChar w:fldCharType="end"/>
            </w:r>
          </w:p>
        </w:tc>
        <w:tc>
          <w:tcPr>
            <w:tcW w:w="356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64"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r>
          </w:p>
        </w:tc>
      </w:tr>
      <w:tr>
        <w:trPr/>
        <w:tc>
          <w:tcPr>
            <w:tcW w:w="9494" w:type="dxa"/>
            <w:gridSpan w:val="2"/>
            <w:tcBorders/>
          </w:tcPr>
          <w:p>
            <w:pPr>
              <w:pStyle w:val="Style28"/>
              <w:keepNext w:val="true"/>
              <w:widowControl w:val="false"/>
              <w:suppressAutoHyphens w:val="true"/>
              <w:spacing w:before="60" w:after="60"/>
              <w:rPr>
                <w:b/>
                <w:bCs/>
              </w:rPr>
            </w:pPr>
            <w:r>
              <w:rPr>
                <w:rFonts w:eastAsia="Calibri" w:cs=""/>
                <w:b/>
                <w:bCs/>
                <w:kern w:val="0"/>
                <w:sz w:val="26"/>
                <w:szCs w:val="22"/>
                <w:lang w:val="ru-RU" w:eastAsia="en-US" w:bidi="ar-SA"/>
              </w:rPr>
              <w:t xml:space="preserve">Соответствие Технического предложения Участника </w:t>
            </w:r>
            <w:hyperlink w:anchor="Прил01_ТехТребования">
              <w:r>
                <w:rPr>
                  <w:rStyle w:val="Style11"/>
                  <w:rFonts w:eastAsia="Calibri" w:cs=""/>
                  <w:b/>
                  <w:bCs/>
                  <w:kern w:val="0"/>
                  <w:sz w:val="26"/>
                  <w:szCs w:val="22"/>
                  <w:lang w:val="ru-RU" w:eastAsia="en-US" w:bidi="ar-SA"/>
                </w:rPr>
                <w:t>Техническим требованиям (Приложение № 1)</w:t>
              </w:r>
            </w:hyperlink>
            <w:r>
              <w:rPr>
                <w:rFonts w:eastAsia="Calibri" w:cs=""/>
                <w:b/>
                <w:bCs/>
                <w:kern w:val="0"/>
                <w:sz w:val="26"/>
                <w:szCs w:val="22"/>
                <w:lang w:val="ru-RU" w:eastAsia="en-US" w:bidi="ar-SA"/>
              </w:rPr>
              <w:t>, в том числе:</w:t>
            </w:r>
          </w:p>
        </w:tc>
        <w:tc>
          <w:tcPr>
            <w:tcW w:w="3567" w:type="dxa"/>
            <w:tcBorders/>
          </w:tcPr>
          <w:p>
            <w:pPr>
              <w:pStyle w:val="Style28"/>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64" w:type="dxa"/>
            <w:tcBorders/>
          </w:tcPr>
          <w:p>
            <w:pPr>
              <w:pStyle w:val="Style28"/>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00" w:type="dxa"/>
            <w:tcBorders/>
          </w:tcPr>
          <w:p>
            <w:pPr>
              <w:pStyle w:val="Style28"/>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94"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предложения требованиям к стране происхождения поставляемого товара, установленным в Технических требованиях</w:t>
            </w:r>
          </w:p>
          <w:p>
            <w:pPr>
              <w:pStyle w:val="Style28"/>
              <w:widowControl w:val="false"/>
              <w:suppressAutoHyphens w:val="true"/>
              <w:spacing w:before="60" w:after="60"/>
              <w:rPr>
                <w:rFonts w:ascii="Times New Roman" w:hAnsi="Times New Roman" w:eastAsia="Calibri" w:cs=""/>
                <w:kern w:val="0"/>
                <w:sz w:val="26"/>
                <w:szCs w:val="22"/>
                <w:lang w:eastAsia="en-US" w:bidi="ar-SA"/>
              </w:rPr>
            </w:pPr>
            <w:r>
              <w:rPr>
                <w:rFonts w:eastAsia="Calibri" w:cs=""/>
                <w:i/>
                <w:iCs/>
                <w:kern w:val="0"/>
                <w:sz w:val="26"/>
                <w:szCs w:val="22"/>
                <w:lang w:val="ru-RU" w:eastAsia="en-US" w:bidi="ar-SA"/>
              </w:rPr>
              <w:t>(пункт применяется только в случае исполнения Заказчиком норм в части минимальной обязательной доли закупок товаров российского происхождения (подраздел</w:t>
            </w:r>
            <w:r>
              <w:rPr>
                <w:rFonts w:eastAsia="Calibri" w:cs=""/>
                <w:i/>
                <w:iCs/>
                <w:kern w:val="0"/>
                <w:sz w:val="26"/>
                <w:szCs w:val="22"/>
                <w:lang w:val="en-US" w:eastAsia="en-US" w:bidi="ar-SA"/>
              </w:rPr>
              <w:t> </w:t>
            </w:r>
            <w:r>
              <w:rPr>
                <w:rFonts w:eastAsia="Calibri" w:cs=""/>
                <w:i/>
                <w:iCs/>
                <w:kern w:val="0"/>
                <w:sz w:val="26"/>
                <w:szCs w:val="22"/>
                <w:lang w:val="en-US" w:eastAsia="en-US" w:bidi="ar-SA"/>
              </w:rPr>
              <w:fldChar w:fldCharType="begin"/>
            </w:r>
            <w:r>
              <w:rPr>
                <w:sz w:val="26"/>
                <w:i/>
                <w:kern w:val="0"/>
                <w:szCs w:val="22"/>
                <w:iCs/>
                <w:rFonts w:eastAsia="Calibri" w:cs=""/>
                <w:lang w:val="en-US" w:eastAsia="en-US" w:bidi="ar-SA"/>
              </w:rPr>
              <w:instrText xml:space="preserve"> REF _Ref186219943 \r \h </w:instrText>
            </w:r>
            <w:r>
              <w:rPr>
                <w:sz w:val="26"/>
                <w:i/>
                <w:kern w:val="0"/>
                <w:szCs w:val="22"/>
                <w:iCs/>
                <w:rFonts w:eastAsia="Calibri" w:cs=""/>
                <w:lang w:val="en-US" w:eastAsia="en-US" w:bidi="ar-SA"/>
              </w:rPr>
              <w:fldChar w:fldCharType="separate"/>
            </w:r>
            <w:r>
              <w:rPr>
                <w:sz w:val="26"/>
                <w:i/>
                <w:kern w:val="0"/>
                <w:szCs w:val="22"/>
                <w:iCs/>
                <w:rFonts w:eastAsia="Calibri" w:cs=""/>
                <w:lang w:val="en-US" w:eastAsia="en-US" w:bidi="ar-SA"/>
              </w:rPr>
              <w:t>4.14</w:t>
            </w:r>
            <w:r>
              <w:rPr>
                <w:sz w:val="26"/>
                <w:i/>
                <w:kern w:val="0"/>
                <w:szCs w:val="22"/>
                <w:iCs/>
                <w:rFonts w:eastAsia="Calibri" w:cs=""/>
                <w:lang w:val="en-US" w:eastAsia="en-US" w:bidi="ar-SA"/>
              </w:rPr>
              <w:fldChar w:fldCharType="end"/>
            </w:r>
            <w:r>
              <w:rPr>
                <w:rFonts w:eastAsia="Calibri" w:cs=""/>
                <w:i/>
                <w:iCs/>
                <w:kern w:val="0"/>
                <w:sz w:val="26"/>
                <w:szCs w:val="22"/>
                <w:lang w:val="ru-RU" w:eastAsia="en-US" w:bidi="ar-SA"/>
              </w:rPr>
              <w:t>))</w:t>
            </w:r>
          </w:p>
        </w:tc>
        <w:tc>
          <w:tcPr>
            <w:tcW w:w="356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подразделы</w:t>
            </w:r>
            <w:r>
              <w:rPr>
                <w:rFonts w:eastAsia="Calibri" w:cs=""/>
                <w:kern w:val="0"/>
                <w:sz w:val="26"/>
                <w:szCs w:val="22"/>
                <w:lang w:val="en-US" w:eastAsia="en-US" w:bidi="ar-SA"/>
              </w:rPr>
              <w:t> </w:t>
            </w:r>
            <w:r>
              <w:rPr>
                <w:rFonts w:eastAsia="Calibri" w:cs=""/>
                <w:kern w:val="0"/>
                <w:sz w:val="26"/>
                <w:szCs w:val="22"/>
                <w:lang w:val="en-US" w:eastAsia="en-US" w:bidi="ar-SA"/>
              </w:rPr>
              <w:fldChar w:fldCharType="begin"/>
            </w:r>
            <w:r>
              <w:rPr>
                <w:sz w:val="26"/>
                <w:kern w:val="0"/>
                <w:szCs w:val="22"/>
                <w:rFonts w:eastAsia="Calibri" w:cs=""/>
                <w:lang w:val="en-US" w:eastAsia="en-US" w:bidi="ar-SA"/>
              </w:rPr>
              <w:instrText xml:space="preserve"> REF _Ref130281199 \r \h </w:instrText>
            </w:r>
            <w:r>
              <w:rPr>
                <w:sz w:val="26"/>
                <w:kern w:val="0"/>
                <w:szCs w:val="22"/>
                <w:rFonts w:eastAsia="Calibri" w:cs=""/>
                <w:lang w:val="en-US" w:eastAsia="en-US" w:bidi="ar-SA"/>
              </w:rPr>
              <w:fldChar w:fldCharType="separate"/>
            </w:r>
            <w:r>
              <w:rPr>
                <w:sz w:val="26"/>
                <w:kern w:val="0"/>
                <w:szCs w:val="22"/>
                <w:rFonts w:eastAsia="Calibri" w:cs=""/>
                <w:lang w:val="en-US" w:eastAsia="en-US" w:bidi="ar-SA"/>
              </w:rPr>
              <w:t>4.3</w:t>
            </w:r>
            <w:r>
              <w:rPr>
                <w:sz w:val="26"/>
                <w:kern w:val="0"/>
                <w:szCs w:val="22"/>
                <w:rFonts w:eastAsia="Calibri" w:cs=""/>
                <w:lang w:val="en-US"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_Ref186219943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4.14</w:t>
            </w:r>
            <w:r>
              <w:rPr>
                <w:sz w:val="26"/>
                <w:kern w:val="0"/>
                <w:szCs w:val="22"/>
                <w:rFonts w:eastAsia="Calibri" w:cs=""/>
                <w:lang w:val="ru-RU" w:eastAsia="en-US" w:bidi="ar-SA"/>
              </w:rPr>
              <w:fldChar w:fldCharType="end"/>
            </w:r>
            <w:r>
              <w:rPr>
                <w:rFonts w:eastAsia="Calibri" w:cs=""/>
                <w:kern w:val="0"/>
                <w:sz w:val="26"/>
                <w:szCs w:val="22"/>
                <w:lang w:val="en-US" w:eastAsia="en-US" w:bidi="ar-SA"/>
              </w:rPr>
              <w:br/>
            </w:r>
            <w:hyperlink w:anchor="Прил01_ТехТребования">
              <w:r>
                <w:rPr>
                  <w:rStyle w:val="Style11"/>
                  <w:rFonts w:eastAsia="Calibri" w:cs=""/>
                  <w:kern w:val="0"/>
                  <w:sz w:val="26"/>
                  <w:szCs w:val="22"/>
                  <w:lang w:val="ru-RU" w:eastAsia="en-US" w:bidi="ar-SA"/>
                </w:rPr>
                <w:t>Приложение № 1</w:t>
              </w:r>
            </w:hyperlink>
          </w:p>
        </w:tc>
        <w:tc>
          <w:tcPr>
            <w:tcW w:w="2064"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00" w:type="dxa"/>
            <w:tcBorders/>
          </w:tcPr>
          <w:p>
            <w:pPr>
              <w:pStyle w:val="Style28"/>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94"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Соответствие предлагаемой к поставке продукции иным требованиям, установленным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с предоставлением требуемых подтверждающих документов</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567" w:type="dxa"/>
            <w:tcBorders/>
          </w:tcPr>
          <w:p>
            <w:pPr>
              <w:pStyle w:val="Style28"/>
              <w:widowControl w:val="false"/>
              <w:suppressAutoHyphens w:val="true"/>
              <w:spacing w:before="60" w:after="60"/>
              <w:jc w:val="center"/>
              <w:rPr/>
            </w:pPr>
            <w:hyperlink w:anchor="Прил01_ТехТребования">
              <w:r>
                <w:rPr>
                  <w:rStyle w:val="Style11"/>
                  <w:rFonts w:eastAsia="Calibri" w:cs=""/>
                  <w:kern w:val="0"/>
                  <w:sz w:val="26"/>
                  <w:szCs w:val="22"/>
                  <w:lang w:val="ru-RU" w:eastAsia="en-US" w:bidi="ar-SA"/>
                </w:rPr>
                <w:t>Приложение № 1</w:t>
              </w:r>
            </w:hyperlink>
          </w:p>
        </w:tc>
        <w:tc>
          <w:tcPr>
            <w:tcW w:w="2064"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bl>
    <w:p>
      <w:pPr>
        <w:pStyle w:val="Style23"/>
        <w:spacing w:before="360" w:after="120"/>
        <w:rPr>
          <w:rStyle w:val="Style8"/>
          <w:i w:val="false"/>
          <w:i w:val="false"/>
          <w:iCs w:val="false"/>
          <w:shd w:fill="auto" w:val="clear"/>
        </w:rPr>
      </w:pPr>
      <w:bookmarkStart w:id="369" w:name="_Toc228877729"/>
      <w:r>
        <w:rPr>
          <w:rStyle w:val="Style8"/>
          <w:i w:val="false"/>
          <w:iCs w:val="false"/>
          <w:shd w:fill="auto" w:val="clear"/>
        </w:rPr>
        <w:t>Отборочные критерии рассмотрения ценовых предложений</w:t>
      </w:r>
      <w:bookmarkEnd w:id="369"/>
    </w:p>
    <w:tbl>
      <w:tblPr>
        <w:tblStyle w:val="af9"/>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412"/>
        <w:gridCol w:w="8506"/>
        <w:gridCol w:w="3117"/>
        <w:gridCol w:w="2090"/>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506"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отборочного критерия</w:t>
            </w:r>
          </w:p>
        </w:tc>
        <w:tc>
          <w:tcPr>
            <w:tcW w:w="3117"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9918" w:type="dxa"/>
            <w:gridSpan w:val="2"/>
            <w:tcBorders/>
          </w:tcPr>
          <w:p>
            <w:pPr>
              <w:pStyle w:val="Style28"/>
              <w:keepNext w:val="true"/>
              <w:widowControl w:val="false"/>
              <w:suppressAutoHyphens w:val="true"/>
              <w:spacing w:before="60" w:after="60"/>
              <w:rPr>
                <w:b/>
                <w:bCs/>
              </w:rPr>
            </w:pPr>
            <w:r>
              <w:rPr>
                <w:rFonts w:eastAsia="Calibri" w:cs=""/>
                <w:b/>
                <w:bCs/>
                <w:kern w:val="0"/>
                <w:sz w:val="26"/>
                <w:szCs w:val="22"/>
                <w:lang w:val="ru-RU" w:eastAsia="en-US" w:bidi="ar-SA"/>
              </w:rPr>
              <w:t>Состав, содержание и правильность оформления ценового предложения, в том числе:</w:t>
            </w:r>
          </w:p>
        </w:tc>
        <w:tc>
          <w:tcPr>
            <w:tcW w:w="3117" w:type="dxa"/>
            <w:tcBorders/>
          </w:tcPr>
          <w:p>
            <w:pPr>
              <w:pStyle w:val="Style28"/>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8"/>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8"/>
              <w:widowControl w:val="false"/>
              <w:numPr>
                <w:ilvl w:val="0"/>
                <w:numId w:val="11"/>
              </w:numPr>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Соответствие ценового предложения по составу требованиям </w:t>
            </w:r>
            <w:hyperlink w:anchor="Прил06_СоставЗаявки">
              <w:r>
                <w:rPr>
                  <w:rStyle w:val="Style11"/>
                  <w:rFonts w:eastAsia="Calibri" w:cs=""/>
                  <w:kern w:val="0"/>
                  <w:sz w:val="26"/>
                  <w:szCs w:val="22"/>
                  <w:lang w:val="ru-RU" w:eastAsia="en-US" w:bidi="ar-SA"/>
                </w:rPr>
                <w:t>Приложения № 6 «Состав заявки»</w:t>
              </w:r>
            </w:hyperlink>
            <w:r>
              <w:rPr>
                <w:rFonts w:eastAsia="Calibri" w:cs=""/>
                <w:kern w:val="0"/>
                <w:sz w:val="26"/>
                <w:szCs w:val="22"/>
                <w:lang w:val="ru-RU" w:eastAsia="en-US" w:bidi="ar-SA"/>
              </w:rPr>
              <w:t>, а также правильности оформления документов, входящих в его состав, в том числе установленной форме и иным и иным требованиям Документации о закупке (в т.ч. в части языка и валюты заявки)</w:t>
            </w:r>
          </w:p>
        </w:tc>
        <w:tc>
          <w:tcPr>
            <w:tcW w:w="3117"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_Ref125362119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4.6</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Приложение №1,</w:t>
            </w:r>
          </w:p>
          <w:p>
            <w:pPr>
              <w:pStyle w:val="Style28"/>
              <w:widowControl w:val="false"/>
              <w:suppressAutoHyphens w:val="true"/>
              <w:spacing w:before="60" w:after="60"/>
              <w:jc w:val="center"/>
              <w:rPr>
                <w:rStyle w:val="Style11"/>
              </w:rPr>
            </w:pPr>
            <w:hyperlink w:anchor="Прил06_СоставЗаявки">
              <w:r>
                <w:rPr>
                  <w:rStyle w:val="Style11"/>
                  <w:rFonts w:eastAsia="Calibri" w:cs=""/>
                  <w:kern w:val="0"/>
                  <w:sz w:val="26"/>
                  <w:szCs w:val="22"/>
                  <w:lang w:val="ru-RU" w:eastAsia="en-US" w:bidi="ar-SA"/>
                </w:rPr>
                <w:t>Приложение № 6</w:t>
              </w:r>
            </w:hyperlink>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r>
        <w:trPr/>
        <w:tc>
          <w:tcPr>
            <w:tcW w:w="1412" w:type="dxa"/>
            <w:tcBorders/>
          </w:tcPr>
          <w:p>
            <w:pPr>
              <w:pStyle w:val="Style28"/>
              <w:widowControl w:val="false"/>
              <w:numPr>
                <w:ilvl w:val="0"/>
                <w:numId w:val="11"/>
              </w:numPr>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Отсутствие в материалах (документов) ценового предложения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w:t>
            </w:r>
          </w:p>
        </w:tc>
        <w:tc>
          <w:tcPr>
            <w:tcW w:w="3117"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_Ref132797154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4.11</w:t>
            </w:r>
            <w:r>
              <w:rPr>
                <w:sz w:val="26"/>
                <w:kern w:val="0"/>
                <w:szCs w:val="22"/>
                <w:rFonts w:eastAsia="Calibri" w:cs=""/>
                <w:lang w:val="ru-RU" w:eastAsia="en-US" w:bidi="ar-SA"/>
              </w:rPr>
              <w:fldChar w:fldCharType="end"/>
            </w:r>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r>
        <w:trPr/>
        <w:tc>
          <w:tcPr>
            <w:tcW w:w="9918" w:type="dxa"/>
            <w:gridSpan w:val="2"/>
            <w:tcBorders/>
          </w:tcPr>
          <w:p>
            <w:pPr>
              <w:pStyle w:val="Style28"/>
              <w:keepNext w:val="true"/>
              <w:widowControl w:val="false"/>
              <w:suppressAutoHyphens w:val="true"/>
              <w:spacing w:before="60" w:after="60"/>
              <w:rPr>
                <w:b/>
                <w:bCs/>
              </w:rPr>
            </w:pPr>
            <w:r>
              <w:rPr>
                <w:rFonts w:eastAsia="Calibri" w:cs=""/>
                <w:b/>
                <w:bCs/>
                <w:kern w:val="0"/>
                <w:sz w:val="26"/>
                <w:szCs w:val="22"/>
                <w:lang w:val="ru-RU" w:eastAsia="en-US" w:bidi="ar-SA"/>
              </w:rPr>
              <w:t>Соответствие Коммерческого предложения Участника требованиям Документации о закупке, в том числе:</w:t>
            </w:r>
          </w:p>
        </w:tc>
        <w:tc>
          <w:tcPr>
            <w:tcW w:w="3117" w:type="dxa"/>
            <w:tcBorders/>
          </w:tcPr>
          <w:p>
            <w:pPr>
              <w:pStyle w:val="Style28"/>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8"/>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8"/>
              <w:widowControl w:val="false"/>
              <w:numPr>
                <w:ilvl w:val="0"/>
                <w:numId w:val="11"/>
              </w:numPr>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Коммерческого предложения (проверка наличия в составе заявки всех необходимых документов, оценка правильности их оформления; проверка отсутствия противоречий в представленных в составе Коммерческого предложения (и приложениях к нему) документах)</w:t>
            </w:r>
          </w:p>
        </w:tc>
        <w:tc>
          <w:tcPr>
            <w:tcW w:w="3117"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_Ref132797154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4.11</w:t>
            </w:r>
            <w:r>
              <w:rPr>
                <w:sz w:val="26"/>
                <w:kern w:val="0"/>
                <w:szCs w:val="22"/>
                <w:rFonts w:eastAsia="Calibri" w:cs=""/>
                <w:lang w:val="ru-RU" w:eastAsia="en-US" w:bidi="ar-SA"/>
              </w:rPr>
              <w:fldChar w:fldCharType="end"/>
            </w:r>
          </w:p>
          <w:p>
            <w:pPr>
              <w:pStyle w:val="Style28"/>
              <w:widowControl w:val="false"/>
              <w:suppressAutoHyphens w:val="true"/>
              <w:spacing w:before="60" w:after="60"/>
              <w:jc w:val="center"/>
              <w:rPr/>
            </w:pPr>
            <w:r>
              <w:rPr>
                <w:rFonts w:eastAsia="Calibri" w:cs=""/>
                <w:kern w:val="0"/>
                <w:sz w:val="26"/>
                <w:szCs w:val="22"/>
                <w:lang w:val="ru-RU" w:eastAsia="en-US" w:bidi="ar-SA"/>
              </w:rPr>
              <w:t>Приложение №1,</w:t>
              <w:br/>
            </w:r>
            <w:hyperlink w:anchor="Прил04_ФормыЗаявки">
              <w:r>
                <w:rPr>
                  <w:rStyle w:val="Style11"/>
                  <w:rFonts w:eastAsia="Calibri" w:cs=""/>
                  <w:kern w:val="0"/>
                  <w:sz w:val="26"/>
                  <w:szCs w:val="22"/>
                  <w:lang w:val="ru-RU" w:eastAsia="en-US" w:bidi="ar-SA"/>
                </w:rPr>
                <w:t>Приложение № 4</w:t>
              </w:r>
            </w:hyperlink>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r>
        <w:trPr/>
        <w:tc>
          <w:tcPr>
            <w:tcW w:w="1412" w:type="dxa"/>
            <w:tcBorders/>
          </w:tcPr>
          <w:p>
            <w:pPr>
              <w:pStyle w:val="Style28"/>
              <w:widowControl w:val="false"/>
              <w:numPr>
                <w:ilvl w:val="0"/>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pPr>
            <w:r>
              <w:rPr>
                <w:rFonts w:eastAsia="Calibri" w:cs=""/>
                <w:kern w:val="0"/>
                <w:sz w:val="26"/>
                <w:szCs w:val="22"/>
                <w:lang w:val="ru-RU" w:eastAsia="en-US" w:bidi="ar-SA"/>
              </w:rPr>
              <w:t>Соответствие предложения установленным законодательством требованиям к предоставлению национального режима, в том числе в части указания сведений, которые подтверждают страну происхождения товара в составе заявке в форме Коммерческого предложения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режима запрета или ограничения закупки иностранной продукции, а также при исполнении Заказчиком норм в части минимальной обязательной доли закупок товаров российского происхождения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_Ref186219943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4.14</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_Ref130281199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_Ref186219943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4.14</w:t>
            </w:r>
            <w:r>
              <w:rPr>
                <w:sz w:val="26"/>
                <w:kern w:val="0"/>
                <w:szCs w:val="22"/>
                <w:rFonts w:eastAsia="Calibri" w:cs=""/>
                <w:lang w:val="ru-RU" w:eastAsia="en-US" w:bidi="ar-SA"/>
              </w:rPr>
              <w:fldChar w:fldCharType="end"/>
            </w:r>
          </w:p>
          <w:p>
            <w:pPr>
              <w:pStyle w:val="Style28"/>
              <w:widowControl w:val="false"/>
              <w:suppressAutoHyphens w:val="true"/>
              <w:spacing w:before="60" w:after="60"/>
              <w:jc w:val="center"/>
              <w:rPr/>
            </w:pP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br/>
              <w:t>(форма Коммерческого предложения)</w:t>
            </w:r>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8"/>
              <w:widowControl w:val="false"/>
              <w:numPr>
                <w:ilvl w:val="0"/>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pPr>
            <w:r>
              <w:rPr>
                <w:rFonts w:eastAsia="Calibri" w:cs=""/>
                <w:kern w:val="0"/>
                <w:sz w:val="26"/>
                <w:szCs w:val="22"/>
                <w:lang w:val="ru-RU" w:eastAsia="en-US" w:bidi="ar-SA"/>
              </w:rPr>
              <w:t>Соответствие подтверждающей документации, прилагаемой к</w:t>
            </w:r>
            <w:r>
              <w:rPr>
                <w:rFonts w:eastAsia="Calibri" w:cs=""/>
                <w:kern w:val="0"/>
                <w:sz w:val="26"/>
                <w:szCs w:val="22"/>
                <w:lang w:val="en-US" w:eastAsia="en-US" w:bidi="ar-SA"/>
              </w:rPr>
              <w:t> </w:t>
            </w:r>
            <w:r>
              <w:rPr>
                <w:rFonts w:eastAsia="Calibri" w:cs=""/>
                <w:kern w:val="0"/>
                <w:sz w:val="26"/>
                <w:szCs w:val="22"/>
                <w:lang w:val="ru-RU" w:eastAsia="en-US" w:bidi="ar-SA"/>
              </w:rPr>
              <w:t>Коммерческому приложению (форма 3)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xml:space="preserve">) требованиям, указанным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p>
          <w:p>
            <w:pPr>
              <w:pStyle w:val="Style28"/>
              <w:widowControl w:val="false"/>
              <w:suppressAutoHyphens w:val="true"/>
              <w:spacing w:before="60" w:after="60"/>
              <w:rPr/>
            </w:pPr>
            <w:r>
              <w:rPr>
                <w:rFonts w:eastAsia="Calibri" w:cs=""/>
                <w:i/>
                <w:iCs/>
                <w:kern w:val="0"/>
                <w:sz w:val="26"/>
                <w:szCs w:val="22"/>
                <w:lang w:val="ru-RU" w:eastAsia="en-US" w:bidi="ar-SA"/>
              </w:rPr>
              <w:t xml:space="preserve">(пункт применяется только в случае установления соответствующих требований в </w:t>
            </w:r>
            <w:hyperlink w:anchor="Прил01_ТехТребования">
              <w:r>
                <w:rPr>
                  <w:rStyle w:val="Style11"/>
                  <w:rFonts w:eastAsia="Calibri" w:cs=""/>
                  <w:i/>
                  <w:iCs/>
                  <w:kern w:val="0"/>
                  <w:sz w:val="26"/>
                  <w:szCs w:val="22"/>
                  <w:lang w:val="ru-RU" w:eastAsia="en-US" w:bidi="ar-SA"/>
                </w:rPr>
                <w:t>Технических требованиях (Приложение № 1)</w:t>
              </w:r>
            </w:hyperlink>
            <w:r>
              <w:rPr>
                <w:rFonts w:eastAsia="Calibri" w:cs=""/>
                <w:i/>
                <w:iCs/>
                <w:kern w:val="0"/>
                <w:sz w:val="26"/>
                <w:szCs w:val="22"/>
                <w:lang w:val="ru-RU" w:eastAsia="en-US" w:bidi="ar-SA"/>
              </w:rPr>
              <w:t>)</w:t>
            </w:r>
          </w:p>
        </w:tc>
        <w:tc>
          <w:tcPr>
            <w:tcW w:w="3117" w:type="dxa"/>
            <w:tcBorders/>
          </w:tcPr>
          <w:p>
            <w:pPr>
              <w:pStyle w:val="Style28"/>
              <w:widowControl w:val="false"/>
              <w:suppressAutoHyphens w:val="true"/>
              <w:spacing w:before="60" w:after="60"/>
              <w:jc w:val="center"/>
              <w:rPr/>
            </w:pP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bl>
    <w:p>
      <w:pPr>
        <w:pStyle w:val="Style23"/>
        <w:rPr>
          <w:rStyle w:val="Style8"/>
          <w:i w:val="false"/>
          <w:i w:val="false"/>
          <w:iCs w:val="false"/>
          <w:shd w:fill="auto" w:val="clear"/>
        </w:rPr>
      </w:pPr>
      <w:bookmarkStart w:id="370" w:name="_Toc228877730"/>
      <w:r>
        <w:rPr>
          <w:rStyle w:val="Style8"/>
          <w:i w:val="false"/>
          <w:iCs w:val="false"/>
          <w:shd w:fill="auto" w:val="clear"/>
        </w:rPr>
        <w:t>Дополнительные критерии проверки заявок на соответствие условиям Документации о закупке</w:t>
      </w:r>
      <w:bookmarkEnd w:id="370"/>
    </w:p>
    <w:p>
      <w:pPr>
        <w:pStyle w:val="Style28"/>
        <w:keepNext w:val="true"/>
        <w:spacing w:before="120" w:after="120"/>
        <w:rPr/>
      </w:pPr>
      <w:r>
        <w:rPr/>
        <w:t>Несоответствие одному или всем дополнительным критериям не является основанием для отклонения заявки.</w:t>
      </w:r>
    </w:p>
    <w:tbl>
      <w:tblPr>
        <w:tblStyle w:val="af9"/>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412"/>
        <w:gridCol w:w="8506"/>
        <w:gridCol w:w="3117"/>
        <w:gridCol w:w="2090"/>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506"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отборочного критерия</w:t>
            </w:r>
          </w:p>
        </w:tc>
        <w:tc>
          <w:tcPr>
            <w:tcW w:w="3117"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1412" w:type="dxa"/>
            <w:tcBorders/>
          </w:tcPr>
          <w:p>
            <w:pPr>
              <w:pStyle w:val="Style28"/>
              <w:widowControl w:val="false"/>
              <w:numPr>
                <w:ilvl w:val="0"/>
                <w:numId w:val="12"/>
              </w:numPr>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Возможность применения преимущества, если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установлен режим преимущества российской продукции, в отношении заявки с российской продукцией (на поставку товара российского происхождения (в том числе поставляемого при выполнении работ, оказании услуг))</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режима преимущества российской продукции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_Ref186219943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4.14</w:t>
            </w:r>
            <w:r>
              <w:rPr>
                <w:sz w:val="26"/>
                <w:kern w:val="0"/>
                <w:szCs w:val="22"/>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28"/>
              <w:widowControl w:val="false"/>
              <w:suppressAutoHyphens w:val="true"/>
              <w:spacing w:before="60" w:after="60"/>
              <w:jc w:val="center"/>
              <w:rPr>
                <w:rStyle w:val="Style11"/>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_Ref132816300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4.14</w:t>
            </w:r>
            <w:r>
              <w:rPr>
                <w:sz w:val="26"/>
                <w:kern w:val="0"/>
                <w:szCs w:val="22"/>
                <w:rFonts w:eastAsia="Calibri" w:cs=""/>
                <w:lang w:val="ru-RU" w:eastAsia="en-US" w:bidi="ar-SA"/>
              </w:rPr>
              <w:fldChar w:fldCharType="end"/>
            </w:r>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bl>
    <w:p>
      <w:pPr>
        <w:pStyle w:val="Style28"/>
        <w:keepNext w:val="true"/>
        <w:tabs>
          <w:tab w:val="clear" w:pos="708"/>
          <w:tab w:val="left" w:pos="851" w:leader="none"/>
        </w:tabs>
        <w:spacing w:before="240" w:after="0"/>
        <w:rPr>
          <w:b/>
          <w:bCs/>
        </w:rPr>
      </w:pPr>
      <w:r>
        <w:rPr>
          <w:b/>
          <w:bCs/>
        </w:rPr>
        <w:t>* Направления оценки заявок:</w:t>
      </w:r>
    </w:p>
    <w:p>
      <w:pPr>
        <w:pStyle w:val="Style28"/>
        <w:tabs>
          <w:tab w:val="clear" w:pos="708"/>
          <w:tab w:val="left" w:pos="1134" w:leader="none"/>
        </w:tabs>
        <w:ind w:left="1701" w:hanging="1701"/>
        <w:rPr/>
      </w:pPr>
      <w:r>
        <w:rPr>
          <w:b/>
          <w:bCs/>
        </w:rPr>
        <w:t>Орг</w:t>
      </w:r>
      <w:r>
        <w:rPr/>
        <w:tab/>
        <w:t>–</w:t>
        <w:tab/>
        <w:t xml:space="preserve">проверка наличия в составе заявки необходимых документов для рассмотрения экспертом по своему направлению: проверка наличия в составе заявке и оценка правильности оформления Письма о подаче оферты; наличия обеспечения обязательств Участника, связанного с подачей заявки, в виде независимой гарантии (в том числе наличие сведений о ней в соответствующем реестре в ЕИС)– в случае отсутствия внесенных Участником денежных средств на специальный банковский счет </w:t>
      </w:r>
      <w:r>
        <w:rPr>
          <w:i/>
          <w:iCs/>
        </w:rPr>
        <w:t>(последние применяется только в случае установления соответствующих требований)</w:t>
      </w:r>
      <w:r>
        <w:rPr/>
        <w:t>; наличие у Участника статуса «аккредитован», либо статуса «аккредитация не требуется» (или наличие заявки на аккредитацию (при необходимости)), участвует в процедуре актуализации статуса аккредитации (при необходимости); проверка отсутствие сведений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проверка наличия информации об Участнике в Реестре МСП (https://rmsp.nalog.ru/index.html), а в отношении физических лиц, не являющихся индивидуальными предпринимателями и применяющих специальный налоговый режим «Налог на</w:t>
      </w:r>
      <w:r>
        <w:rPr>
          <w:lang w:val="en-US"/>
        </w:rPr>
        <w:t> </w:t>
      </w:r>
      <w:r>
        <w:rPr/>
        <w:t>профессиональный доход» –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 (https://npd.nalog.ru/check-status/);</w:t>
      </w:r>
    </w:p>
    <w:p>
      <w:pPr>
        <w:pStyle w:val="Style28"/>
        <w:tabs>
          <w:tab w:val="clear" w:pos="708"/>
          <w:tab w:val="left" w:pos="1134" w:leader="none"/>
        </w:tabs>
        <w:ind w:left="1701" w:hanging="1701"/>
        <w:rPr/>
      </w:pPr>
      <w:r>
        <w:rPr>
          <w:b/>
          <w:bCs/>
        </w:rPr>
        <w:t>Тех</w:t>
      </w:r>
      <w:r>
        <w:rPr/>
        <w:tab/>
        <w:t>–</w:t>
        <w:tab/>
        <w:t>проверка наличия в составе заявки всех необходимых документов для рассмотрения экспертом по своему направлению, а также правильности их оформления; в целях применения законодательства о национальном режиме: а) при закупке товаров (в том числе поставляемых при выполнении работ, оказании услуг) – оценка сведений о стране происхождения предлагаемого к поставке товара; б) при закупке работ, услуг – оценка сведений о стране регистрации Участника (стране регистрации лица, согласно заявке выполняющего работу, оказывающего услугу); оценка Технических предложений и сведений, подтверждающих соответствия Участника специальным требованиям Документации о закупке; оценка квалификационных данных Участника (в рамках оценки заявок по соответствующим критериям оценки), проверка технической части подтверждающей документации, прилагаемой к Коммерческому предложению (при наличии), а также, при необходимости, технических условий исполнения Договора;</w:t>
      </w:r>
    </w:p>
    <w:p>
      <w:pPr>
        <w:pStyle w:val="Style28"/>
        <w:tabs>
          <w:tab w:val="clear" w:pos="708"/>
          <w:tab w:val="left" w:pos="1134" w:leader="none"/>
        </w:tabs>
        <w:ind w:left="1701" w:hanging="1701"/>
        <w:rPr/>
      </w:pPr>
      <w:r>
        <w:rPr>
          <w:b/>
          <w:bCs/>
        </w:rPr>
        <w:t>Юр</w:t>
      </w:r>
      <w:r>
        <w:rPr/>
        <w:tab/>
        <w:t>–</w:t>
        <w:tab/>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наличия должных печатей, подписей формы заверения, языка заявки); оценка юридических аспектов заявки, в том числе оценка правомочности подписанта доверенности (при необходимости) на основании выписки из ЕГРЮЛ (выписка из ЕГРЮЛ доступна на официальном сервисе ФНС России https://egrul.nalog.ru/index.html);</w:t>
      </w:r>
    </w:p>
    <w:p>
      <w:pPr>
        <w:pStyle w:val="Style28"/>
        <w:keepNext w:val="true"/>
        <w:tabs>
          <w:tab w:val="clear" w:pos="708"/>
          <w:tab w:val="left" w:pos="1134" w:leader="none"/>
        </w:tabs>
        <w:ind w:left="1701" w:hanging="1701"/>
        <w:rPr/>
      </w:pPr>
      <w:r>
        <w:rPr>
          <w:b/>
          <w:bCs/>
        </w:rPr>
        <w:t>Цена</w:t>
      </w:r>
      <w:r>
        <w:rPr/>
        <w:tab/>
        <w:t>–</w:t>
        <w:tab/>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языка и валюты заявки); проверка отсутствия противоречий в представленных в составе Коммерческого предложения (и приложениях к нему) документах; проверка соответствия подтверждающей документации (сметная документация и т.п.), прилагаемой к Коммерческому приложению, требованиям, указанным в Технических требованиях (при наличии такой документации и если ее предоставление требовалось в Документации о закупке), в том числе в части   непревышения ценового предложения участника установленного размера НМЦ.</w:t>
      </w:r>
    </w:p>
    <w:p>
      <w:pPr>
        <w:pStyle w:val="Style28"/>
        <w:tabs>
          <w:tab w:val="clear" w:pos="708"/>
          <w:tab w:val="left" w:pos="1134" w:leader="none"/>
        </w:tabs>
        <w:ind w:left="1701" w:hanging="1701"/>
        <w:rPr/>
      </w:pPr>
      <w:r>
        <w:rPr>
          <w:b/>
          <w:bCs/>
        </w:rPr>
        <w:t>Фин</w:t>
      </w:r>
      <w:r>
        <w:rPr/>
        <w:tab/>
        <w:t>–</w:t>
        <w:tab/>
        <w:t xml:space="preserve">оценка независимой гарантии, в том числе правильность оформления рассматриваемых документов (в т.ч. в части наличия должных печатей, подписей формы заверения, языка и валюты заявки) </w:t>
      </w:r>
      <w:r>
        <w:rPr>
          <w:i/>
          <w:iCs/>
        </w:rPr>
        <w:t>(финансовая экспертиза проводится по инициативе эксперта по направлениям Орг, в случае наличия в заявке независимой гарантии)</w:t>
      </w:r>
      <w:r>
        <w:rPr/>
        <w:t>.</w:t>
      </w:r>
    </w:p>
    <w:p>
      <w:pPr>
        <w:pStyle w:val="Style28"/>
        <w:rPr/>
      </w:pPr>
      <w:r>
        <w:rPr/>
        <w:t>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материалов (документов), являющихся предметом его экспертизы).</w:t>
      </w:r>
    </w:p>
    <w:p>
      <w:pPr>
        <w:pStyle w:val="Style22"/>
        <w:rPr/>
      </w:pPr>
      <w:bookmarkStart w:id="371" w:name="_Ref125361648"/>
      <w:bookmarkStart w:id="372" w:name="_Ref125361951"/>
      <w:bookmarkStart w:id="373" w:name="_Ref125366013"/>
      <w:bookmarkStart w:id="374" w:name="_Ref125366280"/>
      <w:bookmarkStart w:id="375" w:name="_Ref125366285"/>
      <w:bookmarkStart w:id="376" w:name="_Ref125368140"/>
      <w:bookmarkStart w:id="377" w:name="_Ref125368150"/>
      <w:bookmarkStart w:id="378" w:name="_Ref125368165"/>
      <w:bookmarkStart w:id="379" w:name="_Ref125368172"/>
      <w:bookmarkStart w:id="380" w:name="_Ref125368184"/>
      <w:bookmarkStart w:id="381" w:name="_Ref125368283"/>
      <w:bookmarkStart w:id="382" w:name="_Ref125368291"/>
      <w:bookmarkStart w:id="383" w:name="_Ref125368302"/>
      <w:bookmarkStart w:id="384" w:name="_Ref125368313"/>
      <w:bookmarkStart w:id="385" w:name="_Ref125368331"/>
      <w:bookmarkStart w:id="386" w:name="_Ref125369021"/>
      <w:bookmarkStart w:id="387" w:name="_Ref125369438"/>
      <w:bookmarkStart w:id="388" w:name="_Toc228877731"/>
      <w:bookmarkStart w:id="389" w:name="Прил08_ПорядокОценки"/>
      <w:bookmarkEnd w:id="389"/>
      <w:r>
        <w:rPr/>
        <w:t>Приложение № 8 – Порядок и критерии оценки и сопоставления заявок</w:t>
      </w:r>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p>
    <w:p>
      <w:pPr>
        <w:pStyle w:val="Style23"/>
        <w:rPr/>
      </w:pPr>
      <w:bookmarkStart w:id="390" w:name="_Toc228877732"/>
      <w:r>
        <w:rPr/>
        <w:t>Порядок и критерии оценки и сопоставления заявок</w:t>
      </w:r>
      <w:bookmarkEnd w:id="390"/>
    </w:p>
    <w:p>
      <w:pPr>
        <w:pStyle w:val="Style24"/>
        <w:rPr/>
      </w:pPr>
      <w:r>
        <w:rPr/>
        <w:t>Расчет итоговой оценки предпочтительности каждой заявки, успешно прошедшей отборочную стадию: рассмотрение вторых частей заявок и ценовых предложений, осуществляется по следующим критериям оценки и в соответствии со следующим порядком оценки предпочтительности и сопоставления заявок:</w:t>
      </w:r>
    </w:p>
    <w:p>
      <w:pPr>
        <w:pStyle w:val="Style28"/>
        <w:spacing w:before="120" w:after="120"/>
        <w:ind w:left="1134" w:hanging="0"/>
        <w:rPr>
          <w:rStyle w:val="Style8"/>
        </w:rPr>
      </w:pPr>
      <w:r>
        <w:rPr/>
      </w:r>
    </w:p>
    <w:tbl>
      <w:tblPr>
        <w:tblStyle w:val="af9"/>
        <w:tblW w:w="14034" w:type="dxa"/>
        <w:jc w:val="left"/>
        <w:tblInd w:w="1129" w:type="dxa"/>
        <w:tblLayout w:type="fixed"/>
        <w:tblCellMar>
          <w:top w:w="0" w:type="dxa"/>
          <w:left w:w="57" w:type="dxa"/>
          <w:bottom w:w="0" w:type="dxa"/>
          <w:right w:w="57" w:type="dxa"/>
        </w:tblCellMar>
        <w:tblLook w:val="04a0" w:noVBand="1" w:noHBand="0" w:lastColumn="0" w:firstColumn="1" w:lastRow="0" w:firstRow="1"/>
      </w:tblPr>
      <w:tblGrid>
        <w:gridCol w:w="1532"/>
        <w:gridCol w:w="1269"/>
        <w:gridCol w:w="1594"/>
        <w:gridCol w:w="1701"/>
        <w:gridCol w:w="1779"/>
        <w:gridCol w:w="2048"/>
        <w:gridCol w:w="4110"/>
      </w:tblGrid>
      <w:tr>
        <w:trPr>
          <w:cnfStyle w:val="100000000000" w:firstRow="1" w:lastRow="0" w:firstColumn="0" w:lastColumn="0" w:oddVBand="0" w:evenVBand="0" w:oddHBand="0" w:evenHBand="0" w:firstRowFirstColumn="0" w:firstRowLastColumn="0" w:lastRowFirstColumn="0" w:lastRowLastColumn="0"/>
        </w:trPr>
        <w:tc>
          <w:tcPr>
            <w:tcW w:w="1532" w:type="dxa"/>
            <w:vMerge w:val="restart"/>
            <w:tcBorders/>
          </w:tcPr>
          <w:p>
            <w:pPr>
              <w:pStyle w:val="Style28"/>
              <w:keepNext w:val="true"/>
              <w:widowControl w:val="false"/>
              <w:spacing w:before="120" w:after="0"/>
              <w:jc w:val="center"/>
              <w:rPr/>
            </w:pPr>
            <w:r>
              <w:rPr>
                <w:rFonts w:eastAsia="Calibri"/>
                <w:b/>
                <w:sz w:val="18"/>
                <w:szCs w:val="18"/>
                <w:lang w:eastAsia="en-US" w:bidi="ar-SA"/>
              </w:rPr>
              <w:t>Номер критерия оценки в</w:t>
            </w:r>
            <w:r>
              <w:rPr>
                <w:rFonts w:eastAsia="Calibri"/>
                <w:b/>
                <w:sz w:val="18"/>
                <w:szCs w:val="18"/>
                <w:lang w:val="en-US" w:eastAsia="en-US" w:bidi="ar-SA"/>
              </w:rPr>
              <w:t> </w:t>
            </w:r>
            <w:r>
              <w:rPr>
                <w:rFonts w:eastAsia="Calibri"/>
                <w:b/>
                <w:sz w:val="18"/>
                <w:szCs w:val="18"/>
                <w:lang w:eastAsia="en-US" w:bidi="ar-SA"/>
              </w:rPr>
              <w:t>структуре</w:t>
            </w:r>
          </w:p>
        </w:tc>
        <w:tc>
          <w:tcPr>
            <w:tcW w:w="1269" w:type="dxa"/>
            <w:vMerge w:val="restart"/>
            <w:tcBorders/>
          </w:tcPr>
          <w:p>
            <w:pPr>
              <w:pStyle w:val="Style28"/>
              <w:keepNext w:val="true"/>
              <w:widowControl w:val="false"/>
              <w:spacing w:before="120" w:after="0"/>
              <w:jc w:val="center"/>
              <w:rPr>
                <w:rFonts w:eastAsia="Calibri"/>
                <w:b/>
                <w:sz w:val="18"/>
                <w:szCs w:val="18"/>
                <w:lang w:eastAsia="en-US" w:bidi="ar-SA"/>
              </w:rPr>
            </w:pPr>
            <w:r>
              <w:rPr>
                <w:rFonts w:eastAsia="Calibri"/>
                <w:b/>
                <w:sz w:val="18"/>
                <w:szCs w:val="18"/>
                <w:lang w:eastAsia="en-US" w:bidi="ar-SA"/>
              </w:rPr>
              <w:t>Вид критерия оценки / направление оценки заявок</w:t>
            </w:r>
          </w:p>
        </w:tc>
        <w:tc>
          <w:tcPr>
            <w:tcW w:w="3295" w:type="dxa"/>
            <w:gridSpan w:val="2"/>
            <w:tcBorders/>
          </w:tcPr>
          <w:p>
            <w:pPr>
              <w:pStyle w:val="Style28"/>
              <w:keepNext w:val="true"/>
              <w:widowControl w:val="false"/>
              <w:spacing w:before="120" w:after="0"/>
              <w:jc w:val="center"/>
              <w:rPr>
                <w:rFonts w:eastAsia="Calibri"/>
                <w:b/>
                <w:sz w:val="18"/>
                <w:szCs w:val="18"/>
                <w:lang w:eastAsia="en-US" w:bidi="ar-SA"/>
              </w:rPr>
            </w:pPr>
            <w:r>
              <w:rPr>
                <w:rFonts w:eastAsia="Calibri"/>
                <w:b/>
                <w:sz w:val="18"/>
                <w:szCs w:val="18"/>
                <w:lang w:eastAsia="en-US" w:bidi="ar-SA"/>
              </w:rPr>
              <w:t>Наименование критерия оценки</w:t>
            </w:r>
          </w:p>
        </w:tc>
        <w:tc>
          <w:tcPr>
            <w:tcW w:w="1779" w:type="dxa"/>
            <w:vMerge w:val="restart"/>
            <w:tcBorders/>
          </w:tcPr>
          <w:p>
            <w:pPr>
              <w:pStyle w:val="Style28"/>
              <w:keepNext w:val="true"/>
              <w:widowControl w:val="false"/>
              <w:spacing w:before="120" w:after="0"/>
              <w:jc w:val="center"/>
              <w:rPr>
                <w:rFonts w:eastAsia="Calibri"/>
                <w:b/>
                <w:sz w:val="18"/>
                <w:szCs w:val="18"/>
                <w:lang w:eastAsia="en-US" w:bidi="ar-SA"/>
              </w:rPr>
            </w:pPr>
            <w:r>
              <w:rPr>
                <w:rFonts w:eastAsia="Calibri"/>
                <w:b/>
                <w:sz w:val="18"/>
                <w:szCs w:val="18"/>
                <w:lang w:eastAsia="en-US" w:bidi="ar-SA"/>
              </w:rPr>
              <w:t>Значимость</w:t>
              <w:br/>
              <w:t>критерия оценки</w:t>
            </w:r>
          </w:p>
        </w:tc>
        <w:tc>
          <w:tcPr>
            <w:tcW w:w="2048" w:type="dxa"/>
            <w:vMerge w:val="restart"/>
            <w:tcBorders/>
          </w:tcPr>
          <w:p>
            <w:pPr>
              <w:pStyle w:val="Style28"/>
              <w:keepNext w:val="true"/>
              <w:widowControl w:val="false"/>
              <w:spacing w:before="120" w:after="0"/>
              <w:jc w:val="center"/>
              <w:rPr>
                <w:rFonts w:eastAsia="Calibri"/>
                <w:b/>
                <w:sz w:val="18"/>
                <w:szCs w:val="18"/>
                <w:lang w:eastAsia="en-US" w:bidi="ar-SA"/>
              </w:rPr>
            </w:pPr>
            <w:r>
              <w:rPr>
                <w:rFonts w:eastAsia="Calibri"/>
                <w:b/>
                <w:sz w:val="18"/>
                <w:szCs w:val="18"/>
                <w:lang w:eastAsia="en-US" w:bidi="ar-SA"/>
              </w:rPr>
              <w:t>Содержание частного критерия оценки</w:t>
            </w:r>
          </w:p>
        </w:tc>
        <w:tc>
          <w:tcPr>
            <w:tcW w:w="4110" w:type="dxa"/>
            <w:vMerge w:val="restart"/>
            <w:tcBorders/>
          </w:tcPr>
          <w:p>
            <w:pPr>
              <w:pStyle w:val="Style28"/>
              <w:keepNext w:val="true"/>
              <w:widowControl w:val="false"/>
              <w:spacing w:before="120" w:after="0"/>
              <w:jc w:val="center"/>
              <w:rPr>
                <w:rFonts w:eastAsia="Calibri"/>
                <w:b/>
                <w:sz w:val="18"/>
                <w:szCs w:val="18"/>
                <w:lang w:eastAsia="en-US" w:bidi="ar-SA"/>
              </w:rPr>
            </w:pPr>
            <w:r>
              <w:rPr>
                <w:rFonts w:eastAsia="Calibri"/>
                <w:b/>
                <w:sz w:val="18"/>
                <w:szCs w:val="18"/>
                <w:lang w:eastAsia="en-US" w:bidi="ar-SA"/>
              </w:rPr>
              <w:t>Расчет оценки предпочтительности заявки</w:t>
            </w:r>
          </w:p>
        </w:tc>
      </w:tr>
      <w:tr>
        <w:trPr/>
        <w:tc>
          <w:tcPr>
            <w:tcW w:w="1532" w:type="dxa"/>
            <w:vMerge w:val="continue"/>
            <w:tcBorders/>
          </w:tcPr>
          <w:p>
            <w:pPr>
              <w:pStyle w:val="Style28"/>
              <w:widowControl w:val="false"/>
              <w:suppressAutoHyphens w:val="true"/>
              <w:spacing w:before="40" w:after="40"/>
              <w:jc w:val="center"/>
              <w:rPr>
                <w:sz w:val="18"/>
                <w:szCs w:val="18"/>
              </w:rPr>
            </w:pPr>
            <w:r>
              <w:rPr>
                <w:sz w:val="18"/>
                <w:szCs w:val="18"/>
              </w:rPr>
            </w:r>
          </w:p>
        </w:tc>
        <w:tc>
          <w:tcPr>
            <w:tcW w:w="1269" w:type="dxa"/>
            <w:vMerge w:val="continue"/>
            <w:tcBorders/>
          </w:tcPr>
          <w:p>
            <w:pPr>
              <w:pStyle w:val="Style28"/>
              <w:widowControl w:val="false"/>
              <w:suppressAutoHyphens w:val="true"/>
              <w:spacing w:before="40" w:after="40"/>
              <w:jc w:val="center"/>
              <w:rPr>
                <w:sz w:val="18"/>
                <w:szCs w:val="18"/>
              </w:rPr>
            </w:pPr>
            <w:r>
              <w:rPr>
                <w:sz w:val="18"/>
                <w:szCs w:val="18"/>
              </w:rPr>
            </w:r>
          </w:p>
        </w:tc>
        <w:tc>
          <w:tcPr>
            <w:tcW w:w="1594" w:type="dxa"/>
            <w:tcBorders/>
          </w:tcPr>
          <w:p>
            <w:pPr>
              <w:pStyle w:val="Style28"/>
              <w:widowControl w:val="false"/>
              <w:spacing w:before="120" w:after="0"/>
              <w:jc w:val="center"/>
              <w:rPr>
                <w:rFonts w:eastAsia="Calibri"/>
                <w:b/>
                <w:bCs/>
                <w:sz w:val="18"/>
                <w:szCs w:val="18"/>
                <w:lang w:eastAsia="en-US" w:bidi="ar-SA"/>
              </w:rPr>
            </w:pPr>
            <w:r>
              <w:rPr>
                <w:rFonts w:eastAsia="Calibri"/>
                <w:b/>
                <w:bCs/>
                <w:sz w:val="18"/>
                <w:szCs w:val="18"/>
                <w:lang w:eastAsia="en-US" w:bidi="ar-SA"/>
              </w:rPr>
              <w:t>критерий оценки первого уровня</w:t>
            </w:r>
          </w:p>
        </w:tc>
        <w:tc>
          <w:tcPr>
            <w:tcW w:w="1701" w:type="dxa"/>
            <w:tcBorders/>
          </w:tcPr>
          <w:p>
            <w:pPr>
              <w:pStyle w:val="Style28"/>
              <w:widowControl w:val="false"/>
              <w:spacing w:before="120" w:after="0"/>
              <w:jc w:val="center"/>
              <w:rPr>
                <w:rFonts w:eastAsia="Calibri"/>
                <w:b/>
                <w:bCs/>
                <w:sz w:val="18"/>
                <w:szCs w:val="18"/>
                <w:lang w:eastAsia="en-US" w:bidi="ar-SA"/>
              </w:rPr>
            </w:pPr>
            <w:r>
              <w:rPr>
                <w:rFonts w:eastAsia="Calibri"/>
                <w:b/>
                <w:bCs/>
                <w:sz w:val="18"/>
                <w:szCs w:val="18"/>
                <w:lang w:eastAsia="en-US" w:bidi="ar-SA"/>
              </w:rPr>
              <w:t>критерий оценки второго уровня</w:t>
            </w:r>
          </w:p>
        </w:tc>
        <w:tc>
          <w:tcPr>
            <w:tcW w:w="1779" w:type="dxa"/>
            <w:vMerge w:val="continue"/>
            <w:tcBorders/>
          </w:tcPr>
          <w:p>
            <w:pPr>
              <w:pStyle w:val="Style28"/>
              <w:widowControl w:val="false"/>
              <w:suppressAutoHyphens w:val="true"/>
              <w:spacing w:before="40" w:after="40"/>
              <w:jc w:val="center"/>
              <w:rPr>
                <w:sz w:val="18"/>
                <w:szCs w:val="18"/>
              </w:rPr>
            </w:pPr>
            <w:r>
              <w:rPr>
                <w:sz w:val="18"/>
                <w:szCs w:val="18"/>
              </w:rPr>
            </w:r>
          </w:p>
        </w:tc>
        <w:tc>
          <w:tcPr>
            <w:tcW w:w="2048" w:type="dxa"/>
            <w:vMerge w:val="continue"/>
            <w:tcBorders/>
          </w:tcPr>
          <w:p>
            <w:pPr>
              <w:pStyle w:val="Style28"/>
              <w:widowControl w:val="false"/>
              <w:suppressAutoHyphens w:val="true"/>
              <w:spacing w:before="40" w:after="40"/>
              <w:jc w:val="center"/>
              <w:rPr>
                <w:sz w:val="18"/>
                <w:szCs w:val="18"/>
              </w:rPr>
            </w:pPr>
            <w:r>
              <w:rPr>
                <w:sz w:val="18"/>
                <w:szCs w:val="18"/>
              </w:rPr>
            </w:r>
          </w:p>
        </w:tc>
        <w:tc>
          <w:tcPr>
            <w:tcW w:w="4110" w:type="dxa"/>
            <w:vMerge w:val="continue"/>
            <w:tcBorders/>
          </w:tcPr>
          <w:p>
            <w:pPr>
              <w:pStyle w:val="Style28"/>
              <w:widowControl w:val="false"/>
              <w:suppressAutoHyphens w:val="true"/>
              <w:spacing w:before="40" w:after="40"/>
              <w:jc w:val="center"/>
              <w:rPr>
                <w:sz w:val="18"/>
                <w:szCs w:val="18"/>
              </w:rPr>
            </w:pPr>
            <w:r>
              <w:rPr>
                <w:sz w:val="18"/>
                <w:szCs w:val="18"/>
              </w:rPr>
            </w:r>
          </w:p>
        </w:tc>
      </w:tr>
      <w:tr>
        <w:trPr/>
        <w:tc>
          <w:tcPr>
            <w:tcW w:w="1532" w:type="dxa"/>
            <w:tcBorders/>
          </w:tcPr>
          <w:p>
            <w:pPr>
              <w:pStyle w:val="Standard"/>
              <w:widowControl w:val="false"/>
              <w:suppressAutoHyphens w:val="true"/>
              <w:bidi w:val="0"/>
              <w:spacing w:before="0" w:after="0"/>
              <w:ind w:left="0" w:right="0" w:firstLine="680"/>
              <w:jc w:val="left"/>
              <w:textAlignment w:val="baseline"/>
              <w:rPr>
                <w:sz w:val="24"/>
                <w:szCs w:val="24"/>
              </w:rPr>
            </w:pPr>
            <w:r>
              <w:rPr>
                <w:rFonts w:eastAsia="Calibri"/>
                <w:i/>
                <w:iCs/>
                <w:sz w:val="24"/>
                <w:szCs w:val="24"/>
                <w:lang w:eastAsia="en-US" w:bidi="ar-SA"/>
              </w:rPr>
              <w:t>1.</w:t>
            </w:r>
          </w:p>
        </w:tc>
        <w:tc>
          <w:tcPr>
            <w:tcW w:w="1269" w:type="dxa"/>
            <w:tcBorders/>
          </w:tcPr>
          <w:p>
            <w:pPr>
              <w:pStyle w:val="Standard"/>
              <w:widowControl w:val="false"/>
              <w:rPr>
                <w:rFonts w:eastAsia="Calibri"/>
                <w:i/>
                <w:i/>
                <w:sz w:val="18"/>
                <w:szCs w:val="18"/>
                <w:lang w:eastAsia="en-US" w:bidi="ar-SA"/>
              </w:rPr>
            </w:pPr>
            <w:r>
              <w:rPr>
                <w:rFonts w:eastAsia="Calibri"/>
                <w:i/>
                <w:sz w:val="18"/>
                <w:szCs w:val="18"/>
                <w:lang w:eastAsia="en-US" w:bidi="ar-SA"/>
              </w:rPr>
              <w:t>«Ценовой критерий оценки первого уровня»/Цена</w:t>
            </w:r>
          </w:p>
        </w:tc>
        <w:tc>
          <w:tcPr>
            <w:tcW w:w="1594" w:type="dxa"/>
            <w:tcBorders/>
          </w:tcPr>
          <w:p>
            <w:pPr>
              <w:pStyle w:val="Style28"/>
              <w:widowControl w:val="false"/>
              <w:spacing w:before="40" w:after="40"/>
              <w:jc w:val="center"/>
              <w:rPr/>
            </w:pPr>
            <w:r>
              <w:rPr>
                <w:rStyle w:val="Style8"/>
                <w:rFonts w:eastAsia="Calibri"/>
                <w:sz w:val="18"/>
                <w:szCs w:val="18"/>
                <w:shd w:fill="FFFFFF" w:val="clear"/>
                <w:lang w:eastAsia="en-US" w:bidi="ar-SA"/>
              </w:rPr>
              <w:t>Цена договора</w:t>
            </w:r>
          </w:p>
        </w:tc>
        <w:tc>
          <w:tcPr>
            <w:tcW w:w="1701" w:type="dxa"/>
            <w:tcBorders/>
          </w:tcPr>
          <w:p>
            <w:pPr>
              <w:pStyle w:val="Style28"/>
              <w:widowControl w:val="false"/>
              <w:spacing w:before="40" w:after="40"/>
              <w:jc w:val="center"/>
              <w:rPr/>
            </w:pPr>
            <w:r>
              <w:rPr>
                <w:rStyle w:val="Style8"/>
                <w:rFonts w:eastAsia="Calibri"/>
                <w:sz w:val="18"/>
                <w:szCs w:val="18"/>
                <w:shd w:fill="FFFFFF" w:val="clear"/>
                <w:lang w:eastAsia="en-US" w:bidi="ar-SA"/>
              </w:rPr>
              <w:t>отсутствует</w:t>
            </w:r>
          </w:p>
        </w:tc>
        <w:tc>
          <w:tcPr>
            <w:tcW w:w="1779" w:type="dxa"/>
            <w:tcBorders/>
          </w:tcPr>
          <w:p>
            <w:pPr>
              <w:pStyle w:val="Style28"/>
              <w:widowControl w:val="false"/>
              <w:spacing w:before="40" w:after="40"/>
              <w:jc w:val="center"/>
              <w:rPr/>
            </w:pPr>
            <w:r>
              <w:rPr/>
            </w:r>
          </w:p>
          <w:p>
            <w:pPr>
              <w:pStyle w:val="Style28"/>
              <w:widowControl w:val="false"/>
              <w:spacing w:before="40" w:after="40"/>
              <w:jc w:val="center"/>
              <w:rPr/>
            </w:pPr>
            <w:r>
              <w:rPr>
                <w:rStyle w:val="Style8"/>
                <w:rFonts w:eastAsia="Calibri"/>
                <w:sz w:val="18"/>
                <w:szCs w:val="18"/>
                <w:shd w:fill="FFFFFF" w:val="clear"/>
                <w:lang w:eastAsia="en-US" w:bidi="ar-SA"/>
              </w:rPr>
              <w:t>«</w:t>
            </w:r>
            <w:r>
              <w:rPr/>
            </w:r>
            <m:oMath xmlns:m="http://schemas.openxmlformats.org/officeDocument/2006/math">
              <m:r>
                <w:rPr>
                  <w:rFonts w:ascii="Cambria Math" w:hAnsi="Cambria Math"/>
                </w:rPr>
                <m:t xml:space="preserve">85</m:t>
              </m:r>
              <m:r>
                <m:rPr>
                  <m:lit/>
                  <m:nor/>
                </m:rPr>
                <w:rPr>
                  <w:rFonts w:ascii="Cambria Math" w:hAnsi="Cambria Math"/>
                </w:rPr>
                <m:t xml:space="preserve">%</m:t>
              </m:r>
              <m:d>
                <m:dPr>
                  <m:begChr m:val="("/>
                  <m:endChr m:val=")"/>
                </m:dPr>
                <m:e>
                  <m:sSub>
                    <m:e>
                      <m:r>
                        <w:rPr>
                          <w:rFonts w:ascii="Cambria Math" w:hAnsi="Cambria Math"/>
                        </w:rPr>
                        <m:t xml:space="preserve">В</m:t>
                      </m:r>
                    </m:e>
                    <m:sub>
                      <m:r>
                        <w:rPr>
                          <w:rFonts w:ascii="Cambria Math" w:hAnsi="Cambria Math"/>
                        </w:rPr>
                        <m:t xml:space="preserve">i</m:t>
                      </m:r>
                    </m:sub>
                  </m:sSub>
                  <m:r>
                    <w:rPr>
                      <w:rFonts w:ascii="Cambria Math" w:hAnsi="Cambria Math"/>
                    </w:rPr>
                    <m:t xml:space="preserve">=</m:t>
                  </m:r>
                  <m:r>
                    <w:rPr>
                      <w:rFonts w:ascii="Cambria Math" w:hAnsi="Cambria Math"/>
                    </w:rPr>
                    <m:t xml:space="preserve">0,85</m:t>
                  </m:r>
                </m:e>
              </m:d>
            </m:oMath>
            <w:r>
              <w:rPr>
                <w:rStyle w:val="Style8"/>
                <w:rFonts w:eastAsia="Calibri"/>
                <w:sz w:val="18"/>
                <w:szCs w:val="18"/>
                <w:shd w:fill="FFFFFF" w:val="clear"/>
                <w:lang w:eastAsia="en-US" w:bidi="ar-SA"/>
              </w:rPr>
              <w:t>»,</w:t>
            </w:r>
          </w:p>
          <w:p>
            <w:pPr>
              <w:pStyle w:val="Style28"/>
              <w:widowControl w:val="false"/>
              <w:spacing w:before="40" w:after="40"/>
              <w:jc w:val="center"/>
              <w:rPr/>
            </w:pPr>
            <w:r>
              <w:rPr>
                <w:rStyle w:val="Style8"/>
                <w:rFonts w:eastAsia="Calibri"/>
                <w:sz w:val="18"/>
                <w:szCs w:val="18"/>
                <w:shd w:fill="FFFFFF" w:val="clear"/>
                <w:lang w:eastAsia="en-US" w:bidi="ar-SA"/>
              </w:rPr>
              <w:t xml:space="preserve">где </w:t>
            </w:r>
            <w:r>
              <w:rPr/>
            </w:r>
            <m:oMath xmlns:m="http://schemas.openxmlformats.org/officeDocument/2006/math">
              <m:sSub>
                <m:e>
                  <m:r>
                    <w:rPr>
                      <w:rFonts w:ascii="Cambria Math" w:hAnsi="Cambria Math"/>
                    </w:rPr>
                    <m:t xml:space="preserve">В</m:t>
                  </m:r>
                </m:e>
                <m:sub>
                  <m:r>
                    <w:rPr>
                      <w:rFonts w:ascii="Cambria Math" w:hAnsi="Cambria Math"/>
                    </w:rPr>
                    <m:t xml:space="preserve">i</m:t>
                  </m:r>
                </m:sub>
              </m:sSub>
            </m:oMath>
            <w:r>
              <w:rPr>
                <w:rStyle w:val="Style8"/>
                <w:rFonts w:eastAsia="Calibri"/>
                <w:sz w:val="18"/>
                <w:szCs w:val="18"/>
                <w:shd w:fill="FFFFFF" w:val="clear"/>
                <w:lang w:eastAsia="en-US" w:bidi="ar-SA"/>
              </w:rPr>
              <w:t xml:space="preserve"> – значимость (вес) критерия оценки]</w:t>
            </w:r>
          </w:p>
        </w:tc>
        <w:tc>
          <w:tcPr>
            <w:tcW w:w="2048" w:type="dxa"/>
            <w:tcBorders/>
          </w:tcPr>
          <w:p>
            <w:pPr>
              <w:pStyle w:val="Style28"/>
              <w:widowControl w:val="false"/>
              <w:spacing w:before="40" w:after="40"/>
              <w:jc w:val="left"/>
              <w:rPr/>
            </w:pPr>
            <w:r>
              <w:rPr>
                <w:rStyle w:val="Style8"/>
                <w:rFonts w:eastAsia="Calibri"/>
                <w:sz w:val="18"/>
                <w:szCs w:val="18"/>
                <w:shd w:fill="FFFFFF" w:val="clear"/>
                <w:lang w:eastAsia="en-US" w:bidi="ar-SA"/>
              </w:rPr>
              <w:t>Чем меньше цена заявки Участника, тем выше предпочтительность</w:t>
            </w:r>
          </w:p>
        </w:tc>
        <w:tc>
          <w:tcPr>
            <w:tcW w:w="4110" w:type="dxa"/>
            <w:tcBorders/>
          </w:tcPr>
          <w:p>
            <w:pPr>
              <w:pStyle w:val="Style28"/>
              <w:widowControl w:val="false"/>
              <w:spacing w:before="40" w:after="40"/>
              <w:jc w:val="left"/>
              <w:rPr>
                <w:rFonts w:ascii="Times New Roman" w:hAnsi="Times New Roman" w:eastAsia="Calibri"/>
                <w:sz w:val="18"/>
                <w:szCs w:val="18"/>
                <w:lang w:eastAsia="en-US" w:bidi="ar-SA"/>
              </w:rPr>
            </w:pPr>
            <w:r>
              <w:rPr>
                <w:rFonts w:eastAsia="Calibri"/>
                <w:sz w:val="18"/>
                <w:szCs w:val="18"/>
                <w:lang w:eastAsia="en-US" w:bidi="ar-SA"/>
              </w:rPr>
              <w:t>Расчет оценки предпочтительности по частному критерию по методу:</w:t>
            </w:r>
          </w:p>
          <w:p>
            <w:pPr>
              <w:pStyle w:val="Style28"/>
              <w:widowControl w:val="false"/>
              <w:spacing w:before="40" w:after="40"/>
              <w:jc w:val="left"/>
              <w:rPr/>
            </w:pPr>
            <w:r>
              <w:rPr>
                <w:rStyle w:val="Style8"/>
                <w:rFonts w:eastAsia="Calibri"/>
                <w:sz w:val="18"/>
                <w:szCs w:val="18"/>
                <w:shd w:fill="FFFFFF" w:val="clear"/>
                <w:lang w:eastAsia="en-US" w:bidi="ar-SA"/>
              </w:rPr>
              <w:t>«Расчет оценки предпочтительности по частному критерию по методу «Математическая формула, задающая «функцию ценности»»:</w:t>
            </w:r>
          </w:p>
          <w:p>
            <w:pPr>
              <w:pStyle w:val="Style28"/>
              <w:widowControl w:val="false"/>
              <w:spacing w:before="40" w:after="40"/>
              <w:jc w:val="center"/>
              <w:rPr/>
            </w:pPr>
            <w:r>
              <w:rPr/>
            </w:r>
            <m:oMathPara xmlns:m="http://schemas.openxmlformats.org/officeDocument/2006/math">
              <m:oMathParaPr>
                <m:jc m:val="center"/>
              </m:oMathParaPr>
              <m:oMath>
                <m:sSub>
                  <m:e>
                    <m:r>
                      <w:rPr>
                        <w:rFonts w:ascii="Cambria Math" w:hAnsi="Cambria Math"/>
                      </w:rPr>
                      <m:t xml:space="preserve">Б</m:t>
                    </m:r>
                  </m:e>
                  <m:sub>
                    <m:r>
                      <w:rPr>
                        <w:rFonts w:ascii="Cambria Math" w:hAnsi="Cambria Math"/>
                      </w:rPr>
                      <m:t xml:space="preserve">1</m:t>
                    </m:r>
                  </m:sub>
                </m:sSub>
                <m:r>
                  <w:rPr>
                    <w:rFonts w:ascii="Cambria Math" w:hAnsi="Cambria Math"/>
                  </w:rPr>
                  <m:t xml:space="preserve">=</m:t>
                </m:r>
                <m:f>
                  <m:num>
                    <m:sSub>
                      <m:e>
                        <m:r>
                          <w:rPr>
                            <w:rFonts w:ascii="Cambria Math" w:hAnsi="Cambria Math"/>
                          </w:rPr>
                          <m:t xml:space="preserve">ЦЕНА</m:t>
                        </m:r>
                      </m:e>
                      <m:sub>
                        <m:r>
                          <w:rPr>
                            <w:rFonts w:ascii="Cambria Math" w:hAnsi="Cambria Math"/>
                          </w:rPr>
                          <m:t xml:space="preserve">min</m:t>
                        </m:r>
                      </m:sub>
                    </m:sSub>
                  </m:num>
                  <m:den>
                    <m:sSub>
                      <m:e>
                        <m:r>
                          <w:rPr>
                            <w:rFonts w:ascii="Cambria Math" w:hAnsi="Cambria Math"/>
                          </w:rPr>
                          <m:t xml:space="preserve">ЦЕНА</m:t>
                        </m:r>
                      </m:e>
                      <m:sub>
                        <m:r>
                          <w:rPr>
                            <w:rFonts w:ascii="Cambria Math" w:hAnsi="Cambria Math"/>
                          </w:rPr>
                          <m:t xml:space="preserve">i</m:t>
                        </m:r>
                      </m:sub>
                    </m:sSub>
                  </m:den>
                </m:f>
                <m:r>
                  <w:rPr>
                    <w:rFonts w:ascii="Cambria Math" w:hAnsi="Cambria Math"/>
                  </w:rPr>
                  <m:t xml:space="preserve">×</m:t>
                </m:r>
                <m:r>
                  <w:rPr>
                    <w:rFonts w:ascii="Cambria Math" w:hAnsi="Cambria Math"/>
                  </w:rPr>
                  <m:t xml:space="preserve">Ш</m:t>
                </m:r>
                <m:r>
                  <w:rPr>
                    <w:rFonts w:ascii="Cambria Math" w:hAnsi="Cambria Math"/>
                  </w:rPr>
                  <m:t xml:space="preserve">,</m:t>
                </m:r>
              </m:oMath>
            </m:oMathPara>
          </w:p>
          <w:p>
            <w:pPr>
              <w:pStyle w:val="Style28"/>
              <w:widowControl w:val="false"/>
              <w:spacing w:before="40" w:after="40"/>
              <w:jc w:val="left"/>
              <w:rPr/>
            </w:pPr>
            <w:r>
              <w:rPr>
                <w:rStyle w:val="Style8"/>
                <w:rFonts w:eastAsia="Calibri"/>
                <w:sz w:val="18"/>
                <w:szCs w:val="18"/>
                <w:shd w:fill="FFFFFF" w:val="clear"/>
                <w:lang w:eastAsia="en-US" w:bidi="ar-SA"/>
              </w:rPr>
              <w:t>где:</w:t>
            </w:r>
          </w:p>
          <w:p>
            <w:pPr>
              <w:pStyle w:val="Style28"/>
              <w:widowControl w:val="false"/>
              <w:spacing w:before="40" w:after="40"/>
              <w:jc w:val="left"/>
              <w:rPr/>
            </w:pPr>
            <w:r>
              <w:rPr/>
            </w:r>
            <m:oMath xmlns:m="http://schemas.openxmlformats.org/officeDocument/2006/math">
              <m:sSub>
                <m:e>
                  <m:r>
                    <w:rPr>
                      <w:rFonts w:ascii="Cambria Math" w:hAnsi="Cambria Math"/>
                    </w:rPr>
                    <m:t xml:space="preserve">Б</m:t>
                  </m:r>
                </m:e>
                <m:sub>
                  <m:r>
                    <w:rPr>
                      <w:rFonts w:ascii="Cambria Math" w:hAnsi="Cambria Math"/>
                    </w:rPr>
                    <m:t xml:space="preserve">1</m:t>
                  </m:r>
                </m:sub>
              </m:sSub>
            </m:oMath>
            <w:r>
              <w:rPr>
                <w:rStyle w:val="Style8"/>
                <w:rFonts w:eastAsia="Calibri"/>
                <w:sz w:val="18"/>
                <w:szCs w:val="18"/>
                <w:shd w:fill="FFFFFF" w:val="clear"/>
                <w:lang w:eastAsia="en-US" w:bidi="ar-SA"/>
              </w:rPr>
              <w:t xml:space="preserve"> – </w:t>
            </w:r>
            <w:r>
              <w:rPr>
                <w:rStyle w:val="Style8"/>
                <w:rFonts w:eastAsia="Calibri"/>
                <w:sz w:val="18"/>
                <w:szCs w:val="18"/>
                <w:shd w:fill="FFFFFF" w:val="clear"/>
                <w:lang w:eastAsia="en-US" w:bidi="ar-SA"/>
              </w:rPr>
              <w:t>рассчитанная оценка предпочтительности по данному частному критерию оценки в баллах;</w:t>
            </w:r>
          </w:p>
          <w:p>
            <w:pPr>
              <w:pStyle w:val="Style28"/>
              <w:widowControl w:val="false"/>
              <w:spacing w:before="40" w:after="40"/>
              <w:jc w:val="left"/>
              <w:rPr/>
            </w:pPr>
            <w:r>
              <w:rPr/>
            </w:r>
            <m:oMath xmlns:m="http://schemas.openxmlformats.org/officeDocument/2006/math">
              <m:sSub>
                <m:e>
                  <m:r>
                    <w:rPr>
                      <w:rFonts w:ascii="Cambria Math" w:hAnsi="Cambria Math"/>
                    </w:rPr>
                    <m:t xml:space="preserve">ЦЕНА</m:t>
                  </m:r>
                </m:e>
                <m:sub>
                  <m:r>
                    <w:rPr>
                      <w:rFonts w:ascii="Cambria Math" w:hAnsi="Cambria Math"/>
                    </w:rPr>
                    <m:t xml:space="preserve">i</m:t>
                  </m:r>
                </m:sub>
              </m:sSub>
            </m:oMath>
            <w:r>
              <w:rPr>
                <w:rStyle w:val="Style8"/>
                <w:rFonts w:eastAsia="Calibri"/>
                <w:sz w:val="18"/>
                <w:szCs w:val="18"/>
                <w:shd w:fill="FFFFFF" w:val="clear"/>
                <w:lang w:eastAsia="en-US" w:bidi="ar-SA"/>
              </w:rPr>
              <w:t xml:space="preserve"> – </w:t>
            </w:r>
            <w:r>
              <w:rPr>
                <w:rStyle w:val="Style8"/>
                <w:rFonts w:eastAsia="Calibri"/>
                <w:sz w:val="18"/>
                <w:szCs w:val="18"/>
                <w:shd w:fill="FFFFFF" w:val="clear"/>
                <w:lang w:eastAsia="en-US" w:bidi="ar-SA"/>
              </w:rPr>
              <w:t>цена договора (заявки), указанная в заявке допущенного участника, руб. без учета НДС;</w:t>
            </w:r>
          </w:p>
          <w:p>
            <w:pPr>
              <w:pStyle w:val="Style28"/>
              <w:widowControl w:val="false"/>
              <w:spacing w:before="40" w:after="40"/>
              <w:jc w:val="left"/>
              <w:rPr/>
            </w:pPr>
            <w:r>
              <w:rPr/>
            </w:r>
            <m:oMath xmlns:m="http://schemas.openxmlformats.org/officeDocument/2006/math">
              <m:sSub>
                <m:e>
                  <m:r>
                    <w:rPr>
                      <w:rFonts w:ascii="Cambria Math" w:hAnsi="Cambria Math"/>
                    </w:rPr>
                    <m:t xml:space="preserve">ЦЕНА</m:t>
                  </m:r>
                </m:e>
                <m:sub>
                  <m:r>
                    <w:rPr>
                      <w:rFonts w:ascii="Cambria Math" w:hAnsi="Cambria Math"/>
                    </w:rPr>
                    <m:t xml:space="preserve">min</m:t>
                  </m:r>
                </m:sub>
              </m:sSub>
            </m:oMath>
            <w:r>
              <w:rPr>
                <w:rStyle w:val="Style8"/>
                <w:rFonts w:eastAsia="Calibri"/>
                <w:sz w:val="18"/>
                <w:szCs w:val="18"/>
                <w:shd w:fill="FFFFFF" w:val="clear"/>
                <w:lang w:eastAsia="en-US" w:bidi="ar-SA"/>
              </w:rPr>
              <w:t xml:space="preserve"> – </w:t>
            </w:r>
            <w:r>
              <w:rPr>
                <w:rStyle w:val="Style8"/>
                <w:rFonts w:eastAsia="Calibri"/>
                <w:sz w:val="18"/>
                <w:szCs w:val="18"/>
                <w:shd w:fill="FFFFFF" w:val="clear"/>
                <w:lang w:eastAsia="en-US" w:bidi="ar-SA"/>
              </w:rPr>
              <w:t>минимальная цена договора (заявки) среди всех допущенных заявок участников, руб. без учета НДС;</w:t>
            </w:r>
          </w:p>
          <w:p>
            <w:pPr>
              <w:pStyle w:val="Style28"/>
              <w:widowControl w:val="false"/>
              <w:spacing w:before="40" w:after="40"/>
              <w:jc w:val="left"/>
              <w:rPr/>
            </w:pPr>
            <w:r>
              <w:rPr/>
            </w:r>
            <m:oMath xmlns:m="http://schemas.openxmlformats.org/officeDocument/2006/math">
              <m:r>
                <w:rPr>
                  <w:rFonts w:ascii="Cambria Math" w:hAnsi="Cambria Math"/>
                </w:rPr>
                <m:t xml:space="preserve">Ш</m:t>
              </m:r>
            </m:oMath>
            <w:r>
              <w:rPr>
                <w:rStyle w:val="Style8"/>
                <w:rFonts w:eastAsia="Calibri"/>
                <w:sz w:val="18"/>
                <w:szCs w:val="18"/>
                <w:shd w:fill="FFFFFF" w:val="clear"/>
                <w:lang w:eastAsia="en-US" w:bidi="ar-SA"/>
              </w:rPr>
              <w:t xml:space="preserve"> – </w:t>
            </w:r>
            <w:r>
              <w:rPr>
                <w:rStyle w:val="Style8"/>
                <w:rFonts w:eastAsia="Calibri"/>
                <w:sz w:val="18"/>
                <w:szCs w:val="18"/>
                <w:shd w:fill="FFFFFF" w:val="clear"/>
                <w:lang w:eastAsia="en-US" w:bidi="ar-SA"/>
              </w:rPr>
              <w:t>максимально возможный балл (максимальная возможная оценка предпочтительности) по шкале оценок</w:t>
              <w:br/>
              <w:t>(</w:t>
            </w:r>
            <w:r>
              <w:rPr/>
            </w:r>
            <m:oMath xmlns:m="http://schemas.openxmlformats.org/officeDocument/2006/math">
              <m:r>
                <w:rPr>
                  <w:rFonts w:ascii="Cambria Math" w:hAnsi="Cambria Math"/>
                </w:rPr>
                <m:t xml:space="preserve">Ш</m:t>
              </m:r>
              <m:r>
                <w:rPr>
                  <w:rFonts w:ascii="Cambria Math" w:hAnsi="Cambria Math"/>
                </w:rPr>
                <m:t xml:space="preserve">=</m:t>
              </m:r>
              <m:r>
                <w:rPr>
                  <w:rFonts w:ascii="Cambria Math" w:hAnsi="Cambria Math"/>
                </w:rPr>
                <m:t xml:space="preserve">5</m:t>
              </m:r>
            </m:oMath>
            <w:r>
              <w:rPr>
                <w:rStyle w:val="Style8"/>
                <w:rFonts w:eastAsia="Calibri"/>
                <w:sz w:val="18"/>
                <w:szCs w:val="18"/>
                <w:shd w:fill="FFFFFF" w:val="clear"/>
                <w:lang w:eastAsia="en-US" w:bidi="ar-SA"/>
              </w:rPr>
              <w:t>)]</w:t>
            </w:r>
            <w:r>
              <w:rPr>
                <w:rFonts w:eastAsia="Calibri"/>
                <w:sz w:val="18"/>
                <w:szCs w:val="18"/>
                <w:lang w:eastAsia="en-US" w:bidi="ar-SA"/>
              </w:rPr>
              <w:t>.</w:t>
            </w:r>
          </w:p>
          <w:p>
            <w:pPr>
              <w:pStyle w:val="Style28"/>
              <w:widowControl w:val="false"/>
              <w:spacing w:before="40" w:after="40"/>
              <w:jc w:val="left"/>
              <w:rPr/>
            </w:pPr>
            <w:r>
              <w:rPr>
                <w:rStyle w:val="Style8"/>
                <w:rFonts w:eastAsia="Calibri"/>
                <w:sz w:val="18"/>
                <w:szCs w:val="18"/>
                <w:shd w:fill="FFFFFF" w:val="clear"/>
                <w:lang w:eastAsia="en-US" w:bidi="ar-SA"/>
              </w:rPr>
              <w:t>«Оценка предпочтительности заявок осуществляется в едином базисе сопоставления ценовых (стоимостных) предложений: без учета НДС».</w:t>
            </w:r>
          </w:p>
          <w:p>
            <w:pPr>
              <w:pStyle w:val="Style28"/>
              <w:widowControl w:val="false"/>
              <w:spacing w:before="40" w:after="40"/>
              <w:jc w:val="left"/>
              <w:rPr>
                <w:rFonts w:ascii="Times New Roman" w:hAnsi="Times New Roman" w:eastAsia="Calibri"/>
                <w:sz w:val="18"/>
                <w:szCs w:val="18"/>
                <w:lang w:eastAsia="en-US" w:bidi="ar-SA"/>
              </w:rPr>
            </w:pPr>
            <w:r>
              <w:rPr>
                <w:rFonts w:eastAsia="Calibri"/>
                <w:sz w:val="18"/>
                <w:szCs w:val="18"/>
                <w:lang w:eastAsia="en-US" w:bidi="ar-SA"/>
              </w:rPr>
              <w:t>Шкала оценок от 0 до 5 баллов.</w:t>
            </w:r>
          </w:p>
        </w:tc>
      </w:tr>
      <w:tr>
        <w:trPr/>
        <w:tc>
          <w:tcPr>
            <w:tcW w:w="1532" w:type="dxa"/>
            <w:tcBorders/>
          </w:tcPr>
          <w:p>
            <w:pPr>
              <w:pStyle w:val="Style28"/>
              <w:widowControl w:val="false"/>
              <w:spacing w:before="120" w:after="0"/>
              <w:jc w:val="center"/>
              <w:rPr>
                <w:sz w:val="24"/>
                <w:szCs w:val="24"/>
              </w:rPr>
            </w:pPr>
            <w:r>
              <w:rPr>
                <w:rFonts w:eastAsia="Calibri"/>
                <w:sz w:val="24"/>
                <w:szCs w:val="24"/>
                <w:lang w:eastAsia="en-US" w:bidi="ar-SA"/>
              </w:rPr>
              <w:t>2.</w:t>
            </w:r>
          </w:p>
        </w:tc>
        <w:tc>
          <w:tcPr>
            <w:tcW w:w="1269" w:type="dxa"/>
            <w:tcBorders/>
          </w:tcPr>
          <w:p>
            <w:pPr>
              <w:pStyle w:val="Standard"/>
              <w:widowControl w:val="false"/>
              <w:jc w:val="center"/>
              <w:rPr>
                <w:rFonts w:eastAsia="Calibri"/>
                <w:i/>
                <w:i/>
                <w:iCs/>
                <w:sz w:val="18"/>
                <w:szCs w:val="18"/>
                <w:lang w:eastAsia="en-US" w:bidi="ar-SA"/>
              </w:rPr>
            </w:pPr>
            <w:r>
              <w:rPr>
                <w:rFonts w:eastAsia="Calibri"/>
                <w:i/>
                <w:iCs/>
                <w:sz w:val="18"/>
                <w:szCs w:val="18"/>
                <w:lang w:eastAsia="en-US" w:bidi="ar-SA"/>
              </w:rPr>
              <w:t>«Неценовой критерий оценки первого уровня;</w:t>
              <w:br/>
              <w:t>Тех</w:t>
            </w:r>
          </w:p>
        </w:tc>
        <w:tc>
          <w:tcPr>
            <w:tcW w:w="1594" w:type="dxa"/>
            <w:tcBorders/>
          </w:tcPr>
          <w:p>
            <w:pPr>
              <w:pStyle w:val="Standard"/>
              <w:widowControl w:val="false"/>
              <w:jc w:val="center"/>
              <w:rPr>
                <w:rFonts w:eastAsia="Calibri"/>
                <w:i/>
                <w:i/>
                <w:sz w:val="18"/>
                <w:szCs w:val="18"/>
                <w:lang w:eastAsia="en-US" w:bidi="ar-SA"/>
              </w:rPr>
            </w:pPr>
            <w:r>
              <w:rPr>
                <w:rFonts w:eastAsia="Calibri"/>
                <w:i/>
                <w:sz w:val="18"/>
                <w:szCs w:val="18"/>
                <w:lang w:eastAsia="en-US" w:bidi="ar-SA"/>
              </w:rPr>
              <w:t>Опыт Участника</w:t>
            </w:r>
          </w:p>
        </w:tc>
        <w:tc>
          <w:tcPr>
            <w:tcW w:w="1701" w:type="dxa"/>
            <w:tcBorders/>
          </w:tcPr>
          <w:p>
            <w:pPr>
              <w:pStyle w:val="Style28"/>
              <w:widowControl w:val="false"/>
              <w:spacing w:before="120" w:after="0"/>
              <w:jc w:val="center"/>
              <w:rPr>
                <w:rFonts w:eastAsia="Calibri"/>
                <w:i/>
                <w:i/>
                <w:sz w:val="18"/>
                <w:szCs w:val="18"/>
                <w:lang w:eastAsia="en-US" w:bidi="ar-SA"/>
              </w:rPr>
            </w:pPr>
            <w:r>
              <w:rPr>
                <w:rFonts w:eastAsia="Calibri"/>
                <w:i/>
                <w:sz w:val="18"/>
                <w:szCs w:val="18"/>
                <w:lang w:eastAsia="en-US" w:bidi="ar-SA"/>
              </w:rPr>
              <w:t>отсутствует</w:t>
            </w:r>
          </w:p>
        </w:tc>
        <w:tc>
          <w:tcPr>
            <w:tcW w:w="1779" w:type="dxa"/>
            <w:tcBorders/>
          </w:tcPr>
          <w:p>
            <w:pPr>
              <w:pStyle w:val="Style28"/>
              <w:widowControl w:val="false"/>
              <w:spacing w:before="120" w:after="0"/>
              <w:jc w:val="center"/>
              <w:rPr/>
            </w:pPr>
            <w:r>
              <w:rPr/>
            </w:r>
            <m:oMathPara xmlns:m="http://schemas.openxmlformats.org/officeDocument/2006/math">
              <m:oMathParaPr>
                <m:jc m:val="center"/>
              </m:oMathParaPr>
              <m:oMath>
                <m:r>
                  <w:rPr>
                    <w:rFonts w:ascii="Cambria Math" w:hAnsi="Cambria Math"/>
                  </w:rPr>
                  <m:t xml:space="preserve">10</m:t>
                </m:r>
                <m:r>
                  <m:rPr>
                    <m:lit/>
                    <m:nor/>
                  </m:rPr>
                  <w:rPr>
                    <w:rFonts w:ascii="Cambria Math" w:hAnsi="Cambria Math"/>
                  </w:rPr>
                  <m:t xml:space="preserve">%</m:t>
                </m:r>
                <m:d>
                  <m:dPr>
                    <m:begChr m:val="("/>
                    <m:endChr m:val=")"/>
                  </m:dPr>
                  <m:e>
                    <m:sSub>
                      <m:e>
                        <m:r>
                          <w:rPr>
                            <w:rFonts w:ascii="Cambria Math" w:hAnsi="Cambria Math"/>
                          </w:rPr>
                          <m:t xml:space="preserve">В</m:t>
                        </m:r>
                      </m:e>
                      <m:sub>
                        <m:r>
                          <w:rPr>
                            <w:rFonts w:ascii="Cambria Math" w:hAnsi="Cambria Math"/>
                          </w:rPr>
                          <m:t xml:space="preserve">2</m:t>
                        </m:r>
                      </m:sub>
                    </m:sSub>
                    <m:r>
                      <w:rPr>
                        <w:rFonts w:ascii="Cambria Math" w:hAnsi="Cambria Math"/>
                      </w:rPr>
                      <m:t xml:space="preserve">=</m:t>
                    </m:r>
                    <m:r>
                      <w:rPr>
                        <w:rFonts w:ascii="Cambria Math" w:hAnsi="Cambria Math"/>
                      </w:rPr>
                      <m:t xml:space="preserve">0,10</m:t>
                    </m:r>
                  </m:e>
                </m:d>
              </m:oMath>
            </m:oMathPara>
          </w:p>
          <w:p>
            <w:pPr>
              <w:pStyle w:val="Style28"/>
              <w:widowControl w:val="false"/>
              <w:jc w:val="center"/>
              <w:rPr/>
            </w:pPr>
            <w:r>
              <w:rPr>
                <w:rFonts w:eastAsia="Calibri"/>
                <w:i/>
                <w:iCs/>
                <w:sz w:val="18"/>
                <w:szCs w:val="18"/>
                <w:lang w:eastAsia="en-US" w:bidi="ar-SA"/>
              </w:rPr>
              <w:t xml:space="preserve">где </w:t>
            </w:r>
            <w:r>
              <w:rPr/>
            </w:r>
            <m:oMath xmlns:m="http://schemas.openxmlformats.org/officeDocument/2006/math">
              <m:sSub>
                <m:e>
                  <m:r>
                    <w:rPr>
                      <w:rFonts w:ascii="Cambria Math" w:hAnsi="Cambria Math"/>
                    </w:rPr>
                    <m:t xml:space="preserve">B</m:t>
                  </m:r>
                </m:e>
                <m:sub>
                  <m:r>
                    <w:rPr>
                      <w:rFonts w:ascii="Cambria Math" w:hAnsi="Cambria Math"/>
                    </w:rPr>
                    <m:t xml:space="preserve">2</m:t>
                  </m:r>
                </m:sub>
              </m:sSub>
            </m:oMath>
            <w:r>
              <w:rPr>
                <w:rFonts w:eastAsia="Calibri"/>
                <w:i/>
                <w:iCs/>
                <w:sz w:val="18"/>
                <w:szCs w:val="18"/>
                <w:lang w:eastAsia="en-US" w:bidi="ar-SA"/>
              </w:rPr>
              <w:t xml:space="preserve"> – значимость (вес) критерия оценки]</w:t>
            </w:r>
          </w:p>
        </w:tc>
        <w:tc>
          <w:tcPr>
            <w:tcW w:w="2048" w:type="dxa"/>
            <w:tcBorders/>
          </w:tcPr>
          <w:p>
            <w:pPr>
              <w:pStyle w:val="Standard"/>
              <w:widowControl w:val="false"/>
              <w:jc w:val="center"/>
              <w:rPr/>
            </w:pPr>
            <w:r>
              <w:rPr>
                <w:rFonts w:eastAsia="Calibri" w:ascii="Times New Roman" w:hAnsi="Times New Roman"/>
                <w:i/>
                <w:sz w:val="20"/>
                <w:szCs w:val="20"/>
                <w:lang w:eastAsia="en-US" w:bidi="ar-SA"/>
              </w:rPr>
              <w:t xml:space="preserve">Чем больше опыт </w:t>
            </w:r>
            <w:bookmarkStart w:id="391" w:name="__DdeLink__295_2434792203"/>
            <w:r>
              <w:rPr>
                <w:rFonts w:eastAsia="Calibri" w:ascii="Times New Roman" w:hAnsi="Times New Roman"/>
                <w:i/>
                <w:sz w:val="20"/>
                <w:szCs w:val="20"/>
                <w:highlight w:val="yellow"/>
                <w:lang w:eastAsia="en-US" w:bidi="ar-SA"/>
              </w:rPr>
              <w:t xml:space="preserve">выполнению работ по </w:t>
            </w:r>
            <w:bookmarkEnd w:id="391"/>
            <w:r>
              <w:rPr>
                <w:rFonts w:eastAsia="Calibri" w:ascii="Times New Roman" w:hAnsi="Times New Roman"/>
                <w:i/>
                <w:sz w:val="20"/>
                <w:szCs w:val="20"/>
                <w:highlight w:val="yellow"/>
                <w:lang w:eastAsia="en-US" w:bidi="ar-SA"/>
              </w:rPr>
              <w:t>ремонту ВЛЭП</w:t>
            </w:r>
            <w:r>
              <w:rPr>
                <w:rFonts w:eastAsia="Calibri" w:ascii="Times New Roman" w:hAnsi="Times New Roman"/>
                <w:i/>
                <w:sz w:val="20"/>
                <w:szCs w:val="20"/>
                <w:lang w:eastAsia="en-US" w:bidi="ar-SA"/>
              </w:rPr>
              <w:t>, тем  выше предпочтительность</w:t>
            </w:r>
          </w:p>
        </w:tc>
        <w:tc>
          <w:tcPr>
            <w:tcW w:w="4110" w:type="dxa"/>
            <w:tcBorders/>
          </w:tcPr>
          <w:p>
            <w:pPr>
              <w:pStyle w:val="Normal"/>
              <w:widowControl w:val="false"/>
              <w:spacing w:before="60" w:after="60"/>
              <w:jc w:val="both"/>
              <w:rPr>
                <w:rFonts w:ascii="Times New Roman" w:hAnsi="Times New Roman" w:eastAsia="Calibri" w:cs="" w:cstheme="minorBidi" w:eastAsiaTheme="minorHAnsi"/>
                <w:color w:val="auto"/>
                <w:kern w:val="0"/>
                <w:sz w:val="18"/>
                <w:szCs w:val="18"/>
                <w:lang w:val="ru-RU" w:eastAsia="en-US" w:bidi="ar-SA"/>
              </w:rPr>
            </w:pPr>
            <w:r>
              <w:rPr>
                <w:rFonts w:eastAsia="Calibri" w:cs="" w:cstheme="minorBidi" w:eastAsiaTheme="minorHAnsi"/>
                <w:color w:val="auto"/>
                <w:kern w:val="0"/>
                <w:sz w:val="18"/>
                <w:szCs w:val="18"/>
                <w:lang w:val="ru-RU" w:eastAsia="en-US" w:bidi="ar-SA"/>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pPr>
              <w:pStyle w:val="Normal"/>
              <w:widowControl w:val="false"/>
              <w:spacing w:before="90" w:after="90"/>
              <w:jc w:val="both"/>
              <w:rPr>
                <w:rFonts w:ascii="Times New Roman" w:hAnsi="Times New Roman" w:eastAsia="Calibri" w:cs="" w:cstheme="minorBidi" w:eastAsiaTheme="minorHAnsi"/>
                <w:color w:val="auto"/>
                <w:kern w:val="0"/>
                <w:sz w:val="18"/>
                <w:szCs w:val="18"/>
                <w:lang w:val="ru-RU" w:eastAsia="en-US" w:bidi="ar-SA"/>
              </w:rPr>
            </w:pPr>
            <w:r>
              <w:rPr>
                <w:rFonts w:eastAsia="Calibri" w:cs="" w:cstheme="minorBidi" w:eastAsiaTheme="minorHAnsi"/>
                <w:color w:val="auto"/>
                <w:kern w:val="0"/>
                <w:sz w:val="18"/>
                <w:szCs w:val="18"/>
                <w:lang w:val="ru-RU" w:eastAsia="en-US" w:bidi="ar-SA"/>
              </w:rPr>
              <w:t xml:space="preserve">Для целей проведения оценки по данному критерию Участник должен предоставить в составе заявки (в Справке об опыте Участника по установленной в Документации о закупке форме) сведения о ранее исполненных договорах, подтверждающих наличие совокупного опыта (в рамках одного или нескольких договоров) выполнения работ </w:t>
            </w:r>
            <w:r>
              <w:rPr>
                <w:rFonts w:eastAsia="Calibri" w:cs="" w:cstheme="minorBidi" w:eastAsiaTheme="minorHAnsi"/>
                <w:color w:val="000000"/>
                <w:kern w:val="0"/>
                <w:sz w:val="18"/>
                <w:szCs w:val="18"/>
                <w:shd w:fill="FFFF00" w:val="clear"/>
                <w:lang w:val="ru-RU" w:eastAsia="en-US" w:bidi="ar-SA"/>
              </w:rPr>
              <w:t xml:space="preserve">по  </w:t>
            </w:r>
            <w:r>
              <w:rPr>
                <w:rFonts w:eastAsia="Calibri" w:cs="" w:cstheme="minorBidi" w:eastAsiaTheme="minorHAnsi"/>
                <w:color w:val="000000"/>
                <w:spacing w:val="-2"/>
                <w:kern w:val="0"/>
                <w:sz w:val="18"/>
                <w:szCs w:val="18"/>
                <w:shd w:fill="FFFF00" w:val="clear"/>
                <w:lang w:val="ru-RU" w:eastAsia="en-US" w:bidi="ar-SA"/>
              </w:rPr>
              <w:t>ремонту ВЛЭП</w:t>
            </w:r>
            <w:r>
              <w:rPr>
                <w:rFonts w:eastAsia="Calibri" w:cs="" w:cstheme="minorBidi" w:eastAsiaTheme="minorHAnsi"/>
                <w:color w:val="auto"/>
                <w:kern w:val="0"/>
                <w:sz w:val="18"/>
                <w:szCs w:val="18"/>
                <w:lang w:val="ru-RU" w:eastAsia="en-US" w:bidi="ar-SA"/>
              </w:rPr>
              <w:t xml:space="preserve"> за последние 5 (пять) лет, предшествующих дате подачи заявки, с приложением следующих подтверждающих документов:</w:t>
            </w:r>
          </w:p>
          <w:p>
            <w:pPr>
              <w:pStyle w:val="Normal"/>
              <w:widowControl w:val="false"/>
              <w:spacing w:before="40" w:after="40"/>
              <w:jc w:val="both"/>
              <w:rPr>
                <w:rFonts w:ascii="Times New Roman" w:hAnsi="Times New Roman" w:eastAsia="Calibri" w:cs="" w:cstheme="minorBidi" w:eastAsiaTheme="minorHAnsi"/>
                <w:color w:val="auto"/>
                <w:kern w:val="0"/>
                <w:sz w:val="18"/>
                <w:szCs w:val="18"/>
                <w:lang w:val="ru-RU" w:eastAsia="en-US" w:bidi="ar-SA"/>
              </w:rPr>
            </w:pPr>
            <w:r>
              <w:rPr>
                <w:rFonts w:eastAsia="Calibri" w:cs="" w:cstheme="minorBidi" w:eastAsiaTheme="minorHAnsi"/>
                <w:color w:val="auto"/>
                <w:kern w:val="0"/>
                <w:sz w:val="18"/>
                <w:szCs w:val="18"/>
                <w:lang w:val="ru-RU" w:eastAsia="en-US" w:bidi="ar-SA"/>
              </w:rPr>
              <w:t>-   копии договоров, подписанных с обеих сторон;</w:t>
            </w:r>
          </w:p>
          <w:p>
            <w:pPr>
              <w:pStyle w:val="Normal"/>
              <w:widowControl w:val="false"/>
              <w:spacing w:before="40" w:after="40"/>
              <w:jc w:val="both"/>
              <w:rPr>
                <w:rFonts w:ascii="Times New Roman" w:hAnsi="Times New Roman" w:eastAsia="Calibri" w:cs="" w:cstheme="minorBidi" w:eastAsiaTheme="minorHAnsi"/>
                <w:color w:val="auto"/>
                <w:kern w:val="0"/>
                <w:sz w:val="18"/>
                <w:szCs w:val="18"/>
                <w:lang w:val="ru-RU" w:eastAsia="en-US" w:bidi="ar-SA"/>
              </w:rPr>
            </w:pPr>
            <w:r>
              <w:rPr>
                <w:rFonts w:eastAsia="Calibri" w:cs="" w:cstheme="minorBidi" w:eastAsiaTheme="minorHAnsi"/>
                <w:color w:val="auto"/>
                <w:kern w:val="0"/>
                <w:sz w:val="18"/>
                <w:szCs w:val="18"/>
                <w:lang w:val="ru-RU" w:eastAsia="en-US" w:bidi="ar-SA"/>
              </w:rPr>
              <w:t xml:space="preserve">- копии актов выполненных работ по форме КС-2 подписанных с обеих сторон с указанием стоимости и наименования выполненных работ/ услуг и/или копии справок о стоимости выполненных работ и затрат по форме КС-3 подписанных с обеих сторон с указанием стоимости и наименования выполненных работ/ услуг, предусмотренных требованиями договора, подтверждающих факт его исполнения; </w:t>
            </w:r>
          </w:p>
          <w:p>
            <w:pPr>
              <w:pStyle w:val="Normal"/>
              <w:widowControl w:val="false"/>
              <w:spacing w:before="40" w:after="40"/>
              <w:jc w:val="both"/>
              <w:rPr>
                <w:rFonts w:ascii="Times New Roman" w:hAnsi="Times New Roman" w:eastAsia="Calibri" w:cs="" w:cstheme="minorBidi" w:eastAsiaTheme="minorHAnsi"/>
                <w:color w:val="auto"/>
                <w:kern w:val="0"/>
                <w:sz w:val="18"/>
                <w:szCs w:val="18"/>
                <w:lang w:val="ru-RU" w:eastAsia="en-US" w:bidi="ar-SA"/>
              </w:rPr>
            </w:pPr>
            <w:r>
              <w:rPr>
                <w:rFonts w:eastAsia="Calibri" w:cs="" w:cstheme="minorBidi" w:eastAsiaTheme="minorHAnsi"/>
                <w:color w:val="auto"/>
                <w:kern w:val="0"/>
                <w:sz w:val="18"/>
                <w:szCs w:val="18"/>
                <w:lang w:val="ru-RU" w:eastAsia="en-US" w:bidi="ar-SA"/>
              </w:rPr>
              <w:t>- или копии иных документов, предусмотренных требованиями договора, подтверждающих факт его исполнения с указанием стоимости и наименования выполненных работ / услуг, подписанных с обеих сторон.</w:t>
            </w:r>
          </w:p>
          <w:p>
            <w:pPr>
              <w:pStyle w:val="Normal"/>
              <w:widowControl w:val="false"/>
              <w:spacing w:before="40" w:after="40"/>
              <w:jc w:val="both"/>
              <w:rPr>
                <w:rFonts w:ascii="Times New Roman" w:hAnsi="Times New Roman" w:eastAsia="Calibri" w:cs="" w:cstheme="minorBidi" w:eastAsiaTheme="minorHAnsi"/>
                <w:color w:val="auto"/>
                <w:kern w:val="0"/>
                <w:sz w:val="18"/>
                <w:szCs w:val="18"/>
                <w:lang w:val="ru-RU" w:eastAsia="en-US" w:bidi="ar-SA"/>
              </w:rPr>
            </w:pPr>
            <w:r>
              <w:rPr>
                <w:rFonts w:eastAsia="Calibri" w:cs="" w:cstheme="minorBidi" w:eastAsiaTheme="minorHAnsi"/>
                <w:color w:val="auto"/>
                <w:kern w:val="0"/>
                <w:sz w:val="18"/>
                <w:szCs w:val="18"/>
                <w:lang w:val="ru-RU" w:eastAsia="en-US" w:bidi="ar-SA"/>
              </w:rPr>
              <w:t xml:space="preserve">Порядок осуществления оценки (значение оцениваемого параметра), в зависимости от предоставленных в i-ой заявке сведений о наличии у Участника совокупного опыта выполнения работ </w:t>
            </w:r>
            <w:r>
              <w:rPr>
                <w:rFonts w:eastAsia="Calibri" w:cs="" w:cstheme="minorBidi" w:eastAsiaTheme="minorHAnsi"/>
                <w:color w:val="000000"/>
                <w:kern w:val="0"/>
                <w:sz w:val="18"/>
                <w:szCs w:val="18"/>
                <w:shd w:fill="FFFF00" w:val="clear"/>
                <w:lang w:val="ru-RU" w:eastAsia="en-US" w:bidi="ar-SA"/>
              </w:rPr>
              <w:t xml:space="preserve">по </w:t>
            </w:r>
            <w:r>
              <w:rPr>
                <w:rFonts w:eastAsia="Calibri" w:cs="" w:cstheme="minorBidi" w:eastAsiaTheme="minorHAnsi"/>
                <w:color w:val="000000"/>
                <w:spacing w:val="-2"/>
                <w:kern w:val="0"/>
                <w:sz w:val="18"/>
                <w:szCs w:val="18"/>
                <w:shd w:fill="FFFF00" w:val="clear"/>
                <w:lang w:val="ru-RU" w:eastAsia="en-US" w:bidi="ar-SA"/>
              </w:rPr>
              <w:t>ремонту ВЛЭП</w:t>
            </w:r>
            <w:r>
              <w:rPr>
                <w:rFonts w:eastAsia="Calibri" w:cs="" w:cstheme="minorBidi" w:eastAsiaTheme="minorHAnsi"/>
                <w:color w:val="auto"/>
                <w:kern w:val="0"/>
                <w:sz w:val="18"/>
                <w:szCs w:val="18"/>
                <w:lang w:val="ru-RU" w:eastAsia="en-US" w:bidi="ar-SA"/>
              </w:rPr>
              <w:t xml:space="preserve"> за последние 5 (пять) лет, в совокупном (суммарном) объеме:</w:t>
            </w:r>
          </w:p>
          <w:tbl>
            <w:tblPr>
              <w:tblW w:w="5070" w:type="dxa"/>
              <w:jc w:val="left"/>
              <w:tblInd w:w="10" w:type="dxa"/>
              <w:tblLayout w:type="fixed"/>
              <w:tblCellMar>
                <w:top w:w="0" w:type="dxa"/>
                <w:left w:w="93" w:type="dxa"/>
                <w:bottom w:w="0" w:type="dxa"/>
                <w:right w:w="108" w:type="dxa"/>
              </w:tblCellMar>
              <w:tblLook w:val="0000" w:noVBand="0" w:noHBand="0" w:lastColumn="0" w:firstColumn="0" w:lastRow="0" w:firstRow="0"/>
            </w:tblPr>
            <w:tblGrid>
              <w:gridCol w:w="1350"/>
              <w:gridCol w:w="3719"/>
            </w:tblGrid>
            <w:tr>
              <w:trPr>
                <w:trHeight w:val="675" w:hRule="atLeast"/>
                <w:cantSplit w:val="true"/>
              </w:trPr>
              <w:tc>
                <w:tcPr>
                  <w:tcW w:w="1350" w:type="dxa"/>
                  <w:tcBorders>
                    <w:top w:val="single" w:sz="4" w:space="0" w:color="000001"/>
                    <w:left w:val="single" w:sz="4" w:space="0" w:color="000001"/>
                    <w:bottom w:val="single" w:sz="4" w:space="0" w:color="000001"/>
                    <w:right w:val="single" w:sz="4" w:space="0" w:color="000001"/>
                  </w:tcBorders>
                  <w:shd w:color="auto" w:fill="auto" w:val="clear"/>
                </w:tcPr>
                <w:p>
                  <w:pPr>
                    <w:pStyle w:val="Standard"/>
                    <w:widowControl w:val="false"/>
                    <w:spacing w:lineRule="auto" w:line="240"/>
                    <w:rPr/>
                  </w:pPr>
                  <w:r>
                    <w:rPr>
                      <w:sz w:val="18"/>
                      <w:szCs w:val="18"/>
                    </w:rPr>
                    <w:t xml:space="preserve">                              </w:t>
                  </w:r>
                  <w:r>
                    <w:rPr>
                      <w:sz w:val="18"/>
                      <w:szCs w:val="18"/>
                    </w:rPr>
                    <w:t>Б</w:t>
                  </w:r>
                  <w:r>
                    <w:rPr>
                      <w:sz w:val="18"/>
                      <w:szCs w:val="18"/>
                      <w:vertAlign w:val="subscript"/>
                    </w:rPr>
                    <w:t xml:space="preserve">2. </w:t>
                  </w:r>
                  <w:r>
                    <w:rPr>
                      <w:sz w:val="18"/>
                      <w:szCs w:val="18"/>
                    </w:rPr>
                    <w:t>= 0</w:t>
                  </w:r>
                </w:p>
              </w:tc>
              <w:tc>
                <w:tcPr>
                  <w:tcW w:w="3719" w:type="dxa"/>
                  <w:tcBorders>
                    <w:top w:val="single" w:sz="4" w:space="0" w:color="000001"/>
                    <w:left w:val="single" w:sz="4" w:space="0" w:color="000001"/>
                    <w:bottom w:val="single" w:sz="4" w:space="0" w:color="000001"/>
                    <w:right w:val="single" w:sz="4" w:space="0" w:color="000001"/>
                  </w:tcBorders>
                  <w:shd w:color="auto" w:fill="auto" w:val="clear"/>
                </w:tcPr>
                <w:p>
                  <w:pPr>
                    <w:pStyle w:val="-2"/>
                    <w:widowControl w:val="false"/>
                    <w:spacing w:lineRule="auto" w:line="240"/>
                    <w:ind w:left="28" w:hanging="0"/>
                    <w:jc w:val="left"/>
                    <w:rPr>
                      <w:rFonts w:ascii="Times New Roman" w:hAnsi="Times New Roman" w:cs="Times New Roman"/>
                      <w:sz w:val="18"/>
                      <w:szCs w:val="18"/>
                    </w:rPr>
                  </w:pPr>
                  <w:r>
                    <w:rPr>
                      <w:rFonts w:cs="Times New Roman" w:ascii="Times New Roman" w:hAnsi="Times New Roman"/>
                      <w:sz w:val="18"/>
                      <w:szCs w:val="18"/>
                    </w:rPr>
                    <w:t>До 30% НМЦ без учета НДС (включительно);</w:t>
                  </w:r>
                </w:p>
              </w:tc>
            </w:tr>
            <w:tr>
              <w:trPr>
                <w:trHeight w:val="968" w:hRule="atLeast"/>
                <w:cantSplit w:val="true"/>
              </w:trPr>
              <w:tc>
                <w:tcPr>
                  <w:tcW w:w="1350" w:type="dxa"/>
                  <w:tcBorders>
                    <w:top w:val="single" w:sz="4" w:space="0" w:color="000001"/>
                    <w:left w:val="single" w:sz="4" w:space="0" w:color="000001"/>
                    <w:bottom w:val="single" w:sz="4" w:space="0" w:color="000001"/>
                    <w:right w:val="single" w:sz="4" w:space="0" w:color="000001"/>
                  </w:tcBorders>
                  <w:shd w:color="auto" w:fill="auto" w:val="clear"/>
                </w:tcPr>
                <w:p>
                  <w:pPr>
                    <w:pStyle w:val="Standard"/>
                    <w:widowControl w:val="false"/>
                    <w:spacing w:lineRule="auto" w:line="240"/>
                    <w:rPr/>
                  </w:pPr>
                  <w:r>
                    <w:rPr>
                      <w:sz w:val="18"/>
                      <w:szCs w:val="18"/>
                    </w:rPr>
                    <w:t xml:space="preserve">                                   </w:t>
                  </w:r>
                  <w:r>
                    <w:rPr>
                      <w:sz w:val="18"/>
                      <w:szCs w:val="18"/>
                    </w:rPr>
                    <w:t>Б</w:t>
                  </w:r>
                  <w:r>
                    <w:rPr>
                      <w:sz w:val="18"/>
                      <w:szCs w:val="18"/>
                      <w:vertAlign w:val="subscript"/>
                    </w:rPr>
                    <w:t>2.</w:t>
                  </w:r>
                  <w:r>
                    <w:rPr>
                      <w:sz w:val="18"/>
                      <w:szCs w:val="18"/>
                    </w:rPr>
                    <w:t xml:space="preserve"> = 1</w:t>
                  </w:r>
                </w:p>
              </w:tc>
              <w:tc>
                <w:tcPr>
                  <w:tcW w:w="3719" w:type="dxa"/>
                  <w:tcBorders>
                    <w:top w:val="single" w:sz="4" w:space="0" w:color="000001"/>
                    <w:left w:val="single" w:sz="4" w:space="0" w:color="000001"/>
                    <w:bottom w:val="single" w:sz="4" w:space="0" w:color="000001"/>
                    <w:right w:val="single" w:sz="4" w:space="0" w:color="000001"/>
                  </w:tcBorders>
                  <w:shd w:color="auto" w:fill="auto" w:val="clear"/>
                </w:tcPr>
                <w:p>
                  <w:pPr>
                    <w:pStyle w:val="-2"/>
                    <w:widowControl w:val="false"/>
                    <w:spacing w:lineRule="auto" w:line="240"/>
                    <w:ind w:left="0" w:right="113" w:hanging="0"/>
                    <w:jc w:val="left"/>
                    <w:rPr>
                      <w:rFonts w:ascii="Times New Roman" w:hAnsi="Times New Roman" w:cs="Times New Roman"/>
                      <w:sz w:val="18"/>
                      <w:szCs w:val="18"/>
                    </w:rPr>
                  </w:pPr>
                  <w:r>
                    <w:rPr>
                      <w:rFonts w:cs="Times New Roman" w:ascii="Times New Roman" w:hAnsi="Times New Roman"/>
                      <w:sz w:val="18"/>
                      <w:szCs w:val="18"/>
                    </w:rPr>
                    <w:t>более 30% НМЦ «без учета НДС», но менее 40% НМЦ  без учета НДС (включительно);</w:t>
                  </w:r>
                </w:p>
              </w:tc>
            </w:tr>
            <w:tr>
              <w:trPr>
                <w:cantSplit w:val="true"/>
              </w:trPr>
              <w:tc>
                <w:tcPr>
                  <w:tcW w:w="1350" w:type="dxa"/>
                  <w:tcBorders>
                    <w:top w:val="single" w:sz="4" w:space="0" w:color="000001"/>
                    <w:left w:val="single" w:sz="4" w:space="0" w:color="000001"/>
                    <w:bottom w:val="single" w:sz="4" w:space="0" w:color="000001"/>
                    <w:right w:val="single" w:sz="4" w:space="0" w:color="000001"/>
                  </w:tcBorders>
                  <w:shd w:color="auto" w:fill="auto" w:val="clear"/>
                </w:tcPr>
                <w:p>
                  <w:pPr>
                    <w:pStyle w:val="Standard"/>
                    <w:widowControl w:val="false"/>
                    <w:spacing w:lineRule="auto" w:line="240"/>
                    <w:rPr/>
                  </w:pPr>
                  <w:r>
                    <w:rPr>
                      <w:sz w:val="18"/>
                      <w:szCs w:val="18"/>
                    </w:rPr>
                    <w:t xml:space="preserve">                                   </w:t>
                  </w:r>
                  <w:r>
                    <w:rPr>
                      <w:sz w:val="18"/>
                      <w:szCs w:val="18"/>
                    </w:rPr>
                    <w:t>Б</w:t>
                  </w:r>
                  <w:r>
                    <w:rPr>
                      <w:sz w:val="18"/>
                      <w:szCs w:val="18"/>
                      <w:vertAlign w:val="subscript"/>
                    </w:rPr>
                    <w:t>2.</w:t>
                  </w:r>
                  <w:r>
                    <w:rPr>
                      <w:sz w:val="18"/>
                      <w:szCs w:val="18"/>
                    </w:rPr>
                    <w:t xml:space="preserve"> = 2</w:t>
                  </w:r>
                </w:p>
              </w:tc>
              <w:tc>
                <w:tcPr>
                  <w:tcW w:w="3719" w:type="dxa"/>
                  <w:tcBorders>
                    <w:top w:val="single" w:sz="4" w:space="0" w:color="000001"/>
                    <w:left w:val="single" w:sz="4" w:space="0" w:color="000001"/>
                    <w:bottom w:val="single" w:sz="4" w:space="0" w:color="000001"/>
                    <w:right w:val="single" w:sz="4" w:space="0" w:color="000001"/>
                  </w:tcBorders>
                  <w:shd w:color="auto" w:fill="auto" w:val="clear"/>
                </w:tcPr>
                <w:p>
                  <w:pPr>
                    <w:pStyle w:val="-2"/>
                    <w:widowControl w:val="false"/>
                    <w:spacing w:lineRule="auto" w:line="240"/>
                    <w:ind w:left="0" w:right="113" w:hanging="0"/>
                    <w:jc w:val="left"/>
                    <w:rPr>
                      <w:rFonts w:ascii="Times New Roman" w:hAnsi="Times New Roman" w:cs="Times New Roman"/>
                      <w:sz w:val="18"/>
                      <w:szCs w:val="18"/>
                    </w:rPr>
                  </w:pPr>
                  <w:r>
                    <w:rPr>
                      <w:rFonts w:cs="Times New Roman" w:ascii="Times New Roman" w:hAnsi="Times New Roman"/>
                      <w:sz w:val="18"/>
                      <w:szCs w:val="18"/>
                    </w:rPr>
                    <w:t>более 40% НМЦ «без учета НДС», но менее 50% НМЦ  без учета НДС (включительно);</w:t>
                  </w:r>
                </w:p>
              </w:tc>
            </w:tr>
            <w:tr>
              <w:trPr>
                <w:cantSplit w:val="true"/>
              </w:trPr>
              <w:tc>
                <w:tcPr>
                  <w:tcW w:w="1350" w:type="dxa"/>
                  <w:tcBorders>
                    <w:top w:val="single" w:sz="4" w:space="0" w:color="000001"/>
                    <w:left w:val="single" w:sz="4" w:space="0" w:color="000001"/>
                    <w:bottom w:val="single" w:sz="4" w:space="0" w:color="000001"/>
                    <w:right w:val="single" w:sz="4" w:space="0" w:color="000001"/>
                  </w:tcBorders>
                  <w:shd w:color="auto" w:fill="auto" w:val="clear"/>
                </w:tcPr>
                <w:p>
                  <w:pPr>
                    <w:pStyle w:val="Standard"/>
                    <w:widowControl w:val="false"/>
                    <w:spacing w:lineRule="auto" w:line="240"/>
                    <w:rPr/>
                  </w:pPr>
                  <w:r>
                    <w:rPr>
                      <w:sz w:val="18"/>
                      <w:szCs w:val="18"/>
                    </w:rPr>
                    <w:t xml:space="preserve">                                   </w:t>
                  </w:r>
                  <w:r>
                    <w:rPr>
                      <w:sz w:val="18"/>
                      <w:szCs w:val="18"/>
                    </w:rPr>
                    <w:t>Б</w:t>
                  </w:r>
                  <w:r>
                    <w:rPr>
                      <w:sz w:val="18"/>
                      <w:szCs w:val="18"/>
                      <w:vertAlign w:val="subscript"/>
                    </w:rPr>
                    <w:t>2.</w:t>
                  </w:r>
                  <w:r>
                    <w:rPr>
                      <w:sz w:val="18"/>
                      <w:szCs w:val="18"/>
                    </w:rPr>
                    <w:t>  = 3</w:t>
                  </w:r>
                </w:p>
              </w:tc>
              <w:tc>
                <w:tcPr>
                  <w:tcW w:w="3719" w:type="dxa"/>
                  <w:tcBorders>
                    <w:top w:val="single" w:sz="4" w:space="0" w:color="000001"/>
                    <w:left w:val="single" w:sz="4" w:space="0" w:color="000001"/>
                    <w:bottom w:val="single" w:sz="4" w:space="0" w:color="000001"/>
                    <w:right w:val="single" w:sz="4" w:space="0" w:color="000001"/>
                  </w:tcBorders>
                  <w:shd w:color="auto" w:fill="auto" w:val="clear"/>
                </w:tcPr>
                <w:p>
                  <w:pPr>
                    <w:pStyle w:val="-2"/>
                    <w:widowControl w:val="false"/>
                    <w:spacing w:lineRule="auto" w:line="240"/>
                    <w:ind w:left="0" w:right="113" w:hanging="0"/>
                    <w:jc w:val="left"/>
                    <w:rPr>
                      <w:rFonts w:ascii="Times New Roman" w:hAnsi="Times New Roman" w:cs="Times New Roman"/>
                      <w:sz w:val="18"/>
                      <w:szCs w:val="18"/>
                    </w:rPr>
                  </w:pPr>
                  <w:r>
                    <w:rPr>
                      <w:rFonts w:cs="Times New Roman" w:ascii="Times New Roman" w:hAnsi="Times New Roman"/>
                      <w:sz w:val="18"/>
                      <w:szCs w:val="18"/>
                    </w:rPr>
                    <w:t>более 50% НМЦ «без учета НДС», но менее 60% НМЦ  без учета НДС (включительно);</w:t>
                  </w:r>
                </w:p>
              </w:tc>
            </w:tr>
            <w:tr>
              <w:trPr>
                <w:cantSplit w:val="true"/>
              </w:trPr>
              <w:tc>
                <w:tcPr>
                  <w:tcW w:w="1350" w:type="dxa"/>
                  <w:tcBorders>
                    <w:top w:val="single" w:sz="4" w:space="0" w:color="000001"/>
                    <w:left w:val="single" w:sz="4" w:space="0" w:color="000001"/>
                    <w:bottom w:val="single" w:sz="4" w:space="0" w:color="000001"/>
                    <w:right w:val="single" w:sz="4" w:space="0" w:color="000001"/>
                  </w:tcBorders>
                  <w:shd w:color="auto" w:fill="auto" w:val="clear"/>
                </w:tcPr>
                <w:p>
                  <w:pPr>
                    <w:pStyle w:val="Standard"/>
                    <w:widowControl w:val="false"/>
                    <w:spacing w:lineRule="auto" w:line="240"/>
                    <w:rPr/>
                  </w:pPr>
                  <w:r>
                    <w:rPr>
                      <w:sz w:val="18"/>
                      <w:szCs w:val="18"/>
                    </w:rPr>
                    <w:t>Б</w:t>
                  </w:r>
                  <w:r>
                    <w:rPr>
                      <w:sz w:val="18"/>
                      <w:szCs w:val="18"/>
                      <w:vertAlign w:val="subscript"/>
                    </w:rPr>
                    <w:t>2.</w:t>
                  </w:r>
                  <w:r>
                    <w:rPr>
                      <w:sz w:val="18"/>
                      <w:szCs w:val="18"/>
                    </w:rPr>
                    <w:t xml:space="preserve"> = 4</w:t>
                  </w:r>
                </w:p>
              </w:tc>
              <w:tc>
                <w:tcPr>
                  <w:tcW w:w="3719" w:type="dxa"/>
                  <w:tcBorders>
                    <w:top w:val="single" w:sz="4" w:space="0" w:color="000001"/>
                    <w:left w:val="single" w:sz="4" w:space="0" w:color="000001"/>
                    <w:bottom w:val="single" w:sz="4" w:space="0" w:color="000001"/>
                    <w:right w:val="single" w:sz="4" w:space="0" w:color="000001"/>
                  </w:tcBorders>
                  <w:shd w:color="auto" w:fill="auto" w:val="clear"/>
                </w:tcPr>
                <w:p>
                  <w:pPr>
                    <w:pStyle w:val="-2"/>
                    <w:widowControl w:val="false"/>
                    <w:spacing w:lineRule="auto" w:line="240"/>
                    <w:ind w:left="0" w:right="113" w:hanging="0"/>
                    <w:jc w:val="left"/>
                    <w:rPr>
                      <w:rFonts w:ascii="Times New Roman" w:hAnsi="Times New Roman" w:cs="Times New Roman"/>
                      <w:sz w:val="18"/>
                      <w:szCs w:val="18"/>
                    </w:rPr>
                  </w:pPr>
                  <w:r>
                    <w:rPr>
                      <w:rFonts w:cs="Times New Roman" w:ascii="Times New Roman" w:hAnsi="Times New Roman"/>
                      <w:sz w:val="18"/>
                      <w:szCs w:val="18"/>
                    </w:rPr>
                    <w:t>более 60% НМЦ «без учета НДС», но менее 70% НМЦ  без учета НДС (включительно);</w:t>
                  </w:r>
                </w:p>
              </w:tc>
            </w:tr>
            <w:tr>
              <w:trPr>
                <w:cantSplit w:val="true"/>
              </w:trPr>
              <w:tc>
                <w:tcPr>
                  <w:tcW w:w="1350" w:type="dxa"/>
                  <w:tcBorders>
                    <w:top w:val="single" w:sz="4" w:space="0" w:color="000001"/>
                    <w:left w:val="single" w:sz="4" w:space="0" w:color="000001"/>
                    <w:bottom w:val="single" w:sz="4" w:space="0" w:color="000001"/>
                    <w:right w:val="single" w:sz="4" w:space="0" w:color="000001"/>
                  </w:tcBorders>
                  <w:shd w:color="auto" w:fill="auto" w:val="clear"/>
                </w:tcPr>
                <w:p>
                  <w:pPr>
                    <w:pStyle w:val="Standard"/>
                    <w:widowControl w:val="false"/>
                    <w:spacing w:lineRule="auto" w:line="240"/>
                    <w:rPr/>
                  </w:pPr>
                  <w:r>
                    <w:rPr>
                      <w:sz w:val="18"/>
                      <w:szCs w:val="18"/>
                    </w:rPr>
                    <w:t xml:space="preserve"> </w:t>
                  </w:r>
                  <w:r>
                    <w:rPr>
                      <w:sz w:val="18"/>
                      <w:szCs w:val="18"/>
                    </w:rPr>
                    <w:t>Б</w:t>
                  </w:r>
                  <w:r>
                    <w:rPr>
                      <w:sz w:val="18"/>
                      <w:szCs w:val="18"/>
                      <w:vertAlign w:val="subscript"/>
                    </w:rPr>
                    <w:t xml:space="preserve">2. </w:t>
                  </w:r>
                  <w:r>
                    <w:rPr>
                      <w:sz w:val="18"/>
                      <w:szCs w:val="18"/>
                    </w:rPr>
                    <w:t>= 5</w:t>
                  </w:r>
                </w:p>
              </w:tc>
              <w:tc>
                <w:tcPr>
                  <w:tcW w:w="3719" w:type="dxa"/>
                  <w:tcBorders>
                    <w:top w:val="single" w:sz="4" w:space="0" w:color="000001"/>
                    <w:left w:val="single" w:sz="4" w:space="0" w:color="000001"/>
                    <w:bottom w:val="single" w:sz="4" w:space="0" w:color="000001"/>
                    <w:right w:val="single" w:sz="4" w:space="0" w:color="000001"/>
                  </w:tcBorders>
                  <w:shd w:color="auto" w:fill="auto" w:val="clear"/>
                </w:tcPr>
                <w:p>
                  <w:pPr>
                    <w:pStyle w:val="-2"/>
                    <w:widowControl w:val="false"/>
                    <w:spacing w:lineRule="auto" w:line="240"/>
                    <w:ind w:left="28" w:hanging="0"/>
                    <w:jc w:val="left"/>
                    <w:rPr/>
                  </w:pPr>
                  <w:r>
                    <w:rPr>
                      <w:rFonts w:eastAsia="Arial Unicode MS" w:cs="Times New Roman" w:ascii="Times New Roman" w:hAnsi="Times New Roman"/>
                      <w:sz w:val="18"/>
                      <w:szCs w:val="18"/>
                    </w:rPr>
                    <w:t>с</w:t>
                  </w:r>
                  <w:r>
                    <w:rPr>
                      <w:rStyle w:val="Annotationreference"/>
                      <w:rFonts w:eastAsia="Arial Unicode MS" w:cs="Times New Roman" w:ascii="Times New Roman" w:hAnsi="Times New Roman"/>
                      <w:sz w:val="18"/>
                    </w:rPr>
                    <w:t>выше 70% НМЦ без учета НДС;</w:t>
                  </w:r>
                </w:p>
              </w:tc>
            </w:tr>
          </w:tbl>
          <w:p>
            <w:pPr>
              <w:pStyle w:val="22"/>
              <w:keepNext w:val="true"/>
              <w:widowControl w:val="false"/>
              <w:spacing w:lineRule="auto" w:line="240"/>
              <w:jc w:val="left"/>
              <w:rPr>
                <w:rFonts w:ascii="Times New Roman" w:hAnsi="Times New Roman" w:cs="Times New Roman"/>
                <w:sz w:val="18"/>
                <w:szCs w:val="18"/>
              </w:rPr>
            </w:pPr>
            <w:r>
              <w:rPr>
                <w:rFonts w:cs="Times New Roman" w:ascii="Times New Roman" w:hAnsi="Times New Roman"/>
                <w:sz w:val="18"/>
                <w:szCs w:val="18"/>
              </w:rPr>
              <w:t>где:</w:t>
            </w:r>
          </w:p>
          <w:p>
            <w:pPr>
              <w:pStyle w:val="Textbody"/>
              <w:widowControl w:val="false"/>
              <w:spacing w:lineRule="auto" w:line="240" w:before="0" w:after="0"/>
              <w:ind w:right="57" w:hanging="0"/>
              <w:jc w:val="both"/>
              <w:rPr>
                <w:rFonts w:ascii="Times New Roman" w:hAnsi="Times New Roman" w:eastAsia="Calibri" w:cs="" w:cstheme="minorBidi" w:eastAsiaTheme="minorHAnsi"/>
                <w:color w:val="auto"/>
                <w:kern w:val="0"/>
                <w:sz w:val="18"/>
                <w:szCs w:val="18"/>
                <w:lang w:val="ru-RU" w:eastAsia="en-US" w:bidi="ar-SA"/>
              </w:rPr>
            </w:pPr>
            <w:r>
              <w:rPr>
                <w:rFonts w:eastAsia="Calibri" w:cs="" w:ascii="Times New Roman" w:hAnsi="Times New Roman" w:cstheme="minorBidi" w:eastAsiaTheme="minorHAnsi"/>
                <w:color w:val="auto"/>
                <w:kern w:val="0"/>
                <w:sz w:val="18"/>
                <w:szCs w:val="18"/>
                <w:lang w:val="ru-RU" w:eastAsia="en-US" w:bidi="ar-SA"/>
              </w:rPr>
              <w:t>Б2 - рассчитанная оценка предпочтительности по данному частному критерию оценки в баллах.</w:t>
            </w:r>
          </w:p>
          <w:p>
            <w:pPr>
              <w:pStyle w:val="Textbody"/>
              <w:widowControl w:val="false"/>
              <w:spacing w:lineRule="auto" w:line="240" w:before="0" w:after="0"/>
              <w:ind w:right="57" w:hanging="0"/>
              <w:jc w:val="both"/>
              <w:rPr>
                <w:rFonts w:ascii="Times New Roman" w:hAnsi="Times New Roman" w:eastAsia="Calibri" w:cs="" w:cstheme="minorBidi" w:eastAsiaTheme="minorHAnsi"/>
                <w:color w:val="auto"/>
                <w:kern w:val="0"/>
                <w:sz w:val="18"/>
                <w:szCs w:val="18"/>
                <w:lang w:val="ru-RU" w:eastAsia="en-US" w:bidi="ar-SA"/>
              </w:rPr>
            </w:pPr>
            <w:r>
              <w:rPr>
                <w:rFonts w:eastAsia="Calibri" w:cs="" w:ascii="Times New Roman" w:hAnsi="Times New Roman" w:cstheme="minorBidi" w:eastAsiaTheme="minorHAnsi"/>
                <w:color w:val="auto"/>
                <w:kern w:val="0"/>
                <w:sz w:val="18"/>
                <w:szCs w:val="18"/>
                <w:lang w:val="ru-RU" w:eastAsia="en-US" w:bidi="ar-SA"/>
              </w:rPr>
              <w:t>К оценке не принимаются подтверждающие документы, не указанные в «Справке об опыте Участника», а также сведения, не позволяющие явным (однозначным) образом определить опыт Участника</w:t>
            </w:r>
          </w:p>
          <w:p>
            <w:pPr>
              <w:pStyle w:val="22"/>
              <w:widowControl w:val="false"/>
              <w:spacing w:lineRule="auto" w:line="240" w:before="0" w:after="60"/>
              <w:ind w:left="0" w:hanging="0"/>
              <w:rPr>
                <w:rFonts w:ascii="Times New Roman" w:hAnsi="Times New Roman" w:eastAsia="Calibri" w:cs="" w:cstheme="minorBidi" w:eastAsiaTheme="minorHAnsi"/>
                <w:color w:val="auto"/>
                <w:kern w:val="0"/>
                <w:sz w:val="18"/>
                <w:szCs w:val="18"/>
                <w:lang w:val="ru-RU" w:eastAsia="en-US" w:bidi="ar-SA"/>
              </w:rPr>
            </w:pPr>
            <w:r>
              <w:rPr>
                <w:rFonts w:eastAsia="Calibri" w:cs="" w:ascii="Times New Roman" w:hAnsi="Times New Roman" w:cstheme="minorBidi" w:eastAsiaTheme="minorHAnsi"/>
                <w:color w:val="auto"/>
                <w:kern w:val="0"/>
                <w:sz w:val="18"/>
                <w:szCs w:val="18"/>
                <w:lang w:val="ru-RU" w:eastAsia="en-US" w:bidi="ar-SA"/>
              </w:rPr>
              <w:t>Опыт, несоответствующий установленным в Документации о закупке требованиям не оценивается.</w:t>
            </w:r>
          </w:p>
          <w:p>
            <w:pPr>
              <w:pStyle w:val="Style28"/>
              <w:widowControl w:val="false"/>
              <w:spacing w:before="40" w:after="40"/>
              <w:jc w:val="left"/>
              <w:rPr>
                <w:rFonts w:ascii="Times New Roman" w:hAnsi="Times New Roman" w:eastAsia="Calibri" w:cs="" w:cstheme="minorBidi" w:eastAsiaTheme="minorHAnsi"/>
                <w:color w:val="auto"/>
                <w:kern w:val="0"/>
                <w:sz w:val="18"/>
                <w:szCs w:val="18"/>
                <w:lang w:val="ru-RU" w:eastAsia="en-US" w:bidi="ar-SA"/>
              </w:rPr>
            </w:pPr>
            <w:r>
              <w:rPr>
                <w:rFonts w:eastAsia="Calibri" w:cs="" w:cstheme="minorBidi" w:eastAsiaTheme="minorHAnsi"/>
                <w:color w:val="auto"/>
                <w:kern w:val="0"/>
                <w:sz w:val="18"/>
                <w:szCs w:val="18"/>
                <w:lang w:val="ru-RU" w:eastAsia="en-US" w:bidi="ar-SA"/>
              </w:rPr>
              <w:t>Шкала оценок от 0 до 5 баллов.</w:t>
            </w:r>
          </w:p>
        </w:tc>
      </w:tr>
      <w:tr>
        <w:trPr/>
        <w:tc>
          <w:tcPr>
            <w:tcW w:w="1532" w:type="dxa"/>
            <w:tcBorders/>
          </w:tcPr>
          <w:p>
            <w:pPr>
              <w:pStyle w:val="Style28"/>
              <w:widowControl w:val="false"/>
              <w:spacing w:before="120" w:after="0"/>
              <w:jc w:val="center"/>
              <w:rPr>
                <w:sz w:val="24"/>
                <w:szCs w:val="24"/>
              </w:rPr>
            </w:pPr>
            <w:r>
              <w:rPr>
                <w:rFonts w:eastAsia="Calibri"/>
                <w:sz w:val="24"/>
                <w:szCs w:val="24"/>
                <w:lang w:eastAsia="en-US" w:bidi="ar-SA"/>
              </w:rPr>
              <w:t>3.</w:t>
            </w:r>
          </w:p>
        </w:tc>
        <w:tc>
          <w:tcPr>
            <w:tcW w:w="1269" w:type="dxa"/>
            <w:tcBorders/>
          </w:tcPr>
          <w:p>
            <w:pPr>
              <w:pStyle w:val="Style28"/>
              <w:widowControl w:val="false"/>
              <w:spacing w:before="120" w:after="0"/>
              <w:jc w:val="center"/>
              <w:rPr/>
            </w:pPr>
            <w:r>
              <w:rPr>
                <w:rStyle w:val="Style8"/>
                <w:rFonts w:eastAsia="Calibri"/>
                <w:sz w:val="18"/>
                <w:szCs w:val="18"/>
                <w:lang w:eastAsia="en-US" w:bidi="ar-SA"/>
              </w:rPr>
              <w:br/>
            </w:r>
            <w:r>
              <w:rPr>
                <w:rFonts w:eastAsia="Calibri"/>
                <w:i/>
                <w:iCs/>
                <w:sz w:val="18"/>
                <w:szCs w:val="18"/>
                <w:lang w:eastAsia="en-US" w:bidi="ar-SA"/>
              </w:rPr>
              <w:t>«Неценовой критерий оценки первого уровня;</w:t>
              <w:br/>
              <w:t>Орг»</w:t>
            </w:r>
          </w:p>
        </w:tc>
        <w:tc>
          <w:tcPr>
            <w:tcW w:w="1594" w:type="dxa"/>
            <w:tcBorders/>
          </w:tcPr>
          <w:p>
            <w:pPr>
              <w:pStyle w:val="Style28"/>
              <w:widowControl w:val="false"/>
              <w:spacing w:before="120" w:after="0"/>
              <w:jc w:val="center"/>
              <w:rPr>
                <w:rFonts w:eastAsia="Calibri"/>
                <w:sz w:val="18"/>
                <w:szCs w:val="18"/>
                <w:lang w:eastAsia="en-US" w:bidi="ar-SA"/>
              </w:rPr>
            </w:pPr>
            <w:r>
              <w:rPr>
                <w:rFonts w:eastAsia="Calibri"/>
                <w:sz w:val="18"/>
                <w:szCs w:val="18"/>
                <w:lang w:eastAsia="en-US" w:bidi="ar-SA"/>
              </w:rPr>
              <w:t>Финансовое состояние (устойчивость) Участника</w:t>
            </w:r>
          </w:p>
        </w:tc>
        <w:tc>
          <w:tcPr>
            <w:tcW w:w="1701" w:type="dxa"/>
            <w:tcBorders/>
          </w:tcPr>
          <w:p>
            <w:pPr>
              <w:pStyle w:val="Style28"/>
              <w:widowControl w:val="false"/>
              <w:spacing w:before="120" w:after="0"/>
              <w:jc w:val="center"/>
              <w:rPr>
                <w:rFonts w:eastAsia="Calibri"/>
                <w:i/>
                <w:i/>
                <w:iCs/>
                <w:sz w:val="18"/>
                <w:szCs w:val="18"/>
                <w:lang w:eastAsia="en-US" w:bidi="ar-SA"/>
              </w:rPr>
            </w:pPr>
            <w:r>
              <w:rPr>
                <w:rFonts w:eastAsia="Calibri"/>
                <w:i/>
                <w:iCs/>
                <w:sz w:val="18"/>
                <w:szCs w:val="18"/>
                <w:lang w:eastAsia="en-US" w:bidi="ar-SA"/>
              </w:rPr>
              <w:t>отсутствует</w:t>
            </w:r>
          </w:p>
        </w:tc>
        <w:tc>
          <w:tcPr>
            <w:tcW w:w="1779" w:type="dxa"/>
            <w:tcBorders/>
          </w:tcPr>
          <w:p>
            <w:pPr>
              <w:pStyle w:val="Style28"/>
              <w:widowControl w:val="false"/>
              <w:spacing w:before="120" w:after="0"/>
              <w:jc w:val="center"/>
              <w:rPr>
                <w:sz w:val="18"/>
                <w:szCs w:val="18"/>
              </w:rPr>
            </w:pPr>
            <w:r>
              <w:rPr>
                <w:sz w:val="18"/>
                <w:szCs w:val="18"/>
              </w:rPr>
            </w:r>
          </w:p>
          <w:p>
            <w:pPr>
              <w:pStyle w:val="Style28"/>
              <w:widowControl w:val="false"/>
              <w:jc w:val="center"/>
              <w:rPr/>
            </w:pPr>
            <w:r>
              <w:rPr>
                <w:rFonts w:eastAsia="Calibri"/>
                <w:sz w:val="18"/>
                <w:szCs w:val="18"/>
                <w:lang w:eastAsia="en-US" w:bidi="ar-SA"/>
              </w:rPr>
              <w:t>«</w:t>
            </w:r>
            <w:r>
              <w:rPr/>
            </w:r>
            <m:oMath xmlns:m="http://schemas.openxmlformats.org/officeDocument/2006/math">
              <m:r>
                <w:rPr>
                  <w:rFonts w:ascii="Cambria Math" w:hAnsi="Cambria Math"/>
                </w:rPr>
                <m:t xml:space="preserve">5</m:t>
              </m:r>
              <m:r>
                <m:rPr>
                  <m:lit/>
                  <m:nor/>
                </m:rPr>
                <w:rPr>
                  <w:rFonts w:ascii="Cambria Math" w:hAnsi="Cambria Math"/>
                </w:rPr>
                <m:t xml:space="preserve">%</m:t>
              </m:r>
              <m:d>
                <m:dPr>
                  <m:begChr m:val="("/>
                  <m:endChr m:val=")"/>
                </m:dPr>
                <m:e>
                  <m:sSub>
                    <m:e>
                      <m:r>
                        <w:rPr>
                          <w:rFonts w:ascii="Cambria Math" w:hAnsi="Cambria Math"/>
                        </w:rPr>
                        <m:t xml:space="preserve">В</m:t>
                      </m:r>
                    </m:e>
                    <m:sub>
                      <m:r>
                        <w:rPr>
                          <w:rFonts w:ascii="Cambria Math" w:hAnsi="Cambria Math"/>
                        </w:rPr>
                        <m:t xml:space="preserve">3</m:t>
                      </m:r>
                    </m:sub>
                  </m:sSub>
                  <m:r>
                    <w:rPr>
                      <w:rFonts w:ascii="Cambria Math" w:hAnsi="Cambria Math"/>
                    </w:rPr>
                    <m:t xml:space="preserve">=</m:t>
                  </m:r>
                  <m:r>
                    <w:rPr>
                      <w:rFonts w:ascii="Cambria Math" w:hAnsi="Cambria Math"/>
                    </w:rPr>
                    <m:t xml:space="preserve">0,05</m:t>
                  </m:r>
                </m:e>
              </m:d>
            </m:oMath>
            <w:r>
              <w:rPr>
                <w:rFonts w:eastAsia="Calibri"/>
                <w:sz w:val="18"/>
                <w:szCs w:val="18"/>
                <w:lang w:eastAsia="en-US" w:bidi="ar-SA"/>
              </w:rPr>
              <w:t>»,</w:t>
            </w:r>
          </w:p>
          <w:p>
            <w:pPr>
              <w:pStyle w:val="Style28"/>
              <w:widowControl w:val="false"/>
              <w:jc w:val="center"/>
              <w:rPr/>
            </w:pPr>
            <w:r>
              <w:rPr>
                <w:rFonts w:eastAsia="Calibri"/>
                <w:sz w:val="18"/>
                <w:szCs w:val="18"/>
                <w:lang w:eastAsia="en-US" w:bidi="ar-SA"/>
              </w:rPr>
              <w:t xml:space="preserve">где </w:t>
            </w:r>
            <w:r>
              <w:rPr/>
            </w:r>
            <m:oMath xmlns:m="http://schemas.openxmlformats.org/officeDocument/2006/math">
              <m:sSub>
                <m:e>
                  <m:r>
                    <w:rPr>
                      <w:rFonts w:ascii="Cambria Math" w:hAnsi="Cambria Math"/>
                    </w:rPr>
                    <m:t xml:space="preserve">B</m:t>
                  </m:r>
                </m:e>
                <m:sub>
                  <m:r>
                    <w:rPr>
                      <w:rFonts w:ascii="Cambria Math" w:hAnsi="Cambria Math"/>
                    </w:rPr>
                    <m:t xml:space="preserve">3</m:t>
                  </m:r>
                </m:sub>
              </m:sSub>
            </m:oMath>
            <w:r>
              <w:rPr>
                <w:rFonts w:eastAsia="Calibri"/>
                <w:sz w:val="18"/>
                <w:szCs w:val="18"/>
                <w:lang w:eastAsia="en-US" w:bidi="ar-SA"/>
              </w:rPr>
              <w:t xml:space="preserve"> – значимость (вес) критерия оценки</w:t>
            </w:r>
          </w:p>
        </w:tc>
        <w:tc>
          <w:tcPr>
            <w:tcW w:w="2048" w:type="dxa"/>
            <w:tcBorders/>
          </w:tcPr>
          <w:p>
            <w:pPr>
              <w:pStyle w:val="Style28"/>
              <w:widowControl w:val="false"/>
              <w:spacing w:before="120" w:after="0"/>
              <w:jc w:val="center"/>
              <w:rPr>
                <w:rFonts w:eastAsia="Calibri"/>
                <w:sz w:val="18"/>
                <w:szCs w:val="18"/>
                <w:lang w:eastAsia="en-US" w:bidi="ar-SA"/>
              </w:rPr>
            </w:pPr>
            <w:r>
              <w:rPr>
                <w:rFonts w:eastAsia="Calibri"/>
                <w:sz w:val="18"/>
                <w:szCs w:val="18"/>
                <w:lang w:eastAsia="en-US" w:bidi="ar-SA"/>
              </w:rPr>
              <w:t>Чем выше оценка финансового состояния (устойчивости) Участника, тем выше предпочтительность</w:t>
            </w:r>
          </w:p>
        </w:tc>
        <w:tc>
          <w:tcPr>
            <w:tcW w:w="4110" w:type="dxa"/>
            <w:tcBorders/>
          </w:tcPr>
          <w:p>
            <w:pPr>
              <w:pStyle w:val="Style28"/>
              <w:widowControl w:val="false"/>
              <w:spacing w:before="120" w:after="0"/>
              <w:jc w:val="left"/>
              <w:rPr>
                <w:highlight w:val="none"/>
                <w:shd w:fill="FFFF00" w:val="clear"/>
              </w:rPr>
            </w:pPr>
            <w:r>
              <w:rPr>
                <w:rFonts w:eastAsia="Calibri"/>
                <w:sz w:val="18"/>
                <w:szCs w:val="18"/>
                <w:shd w:fill="FFFFFF" w:val="clear"/>
                <w:lang w:eastAsia="en-US" w:bidi="ar-SA"/>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pPr>
              <w:pStyle w:val="Style28"/>
              <w:widowControl w:val="false"/>
              <w:jc w:val="both"/>
              <w:rPr/>
            </w:pPr>
            <w:r>
              <w:rPr>
                <w:rFonts w:eastAsia="Calibri"/>
                <w:sz w:val="18"/>
                <w:szCs w:val="18"/>
                <w:shd w:fill="FFFFFF" w:val="clear"/>
                <w:lang w:eastAsia="en-US" w:bidi="ar-SA"/>
              </w:rPr>
              <w:t xml:space="preserve">Порядок осуществления оценки (значение оцениваемого параметра), в зависимости от полученного Участником (с </w:t>
            </w:r>
            <w:r>
              <w:rPr/>
            </w:r>
            <m:oMath xmlns:m="http://schemas.openxmlformats.org/officeDocument/2006/math">
              <m:r>
                <w:rPr>
                  <w:rFonts w:ascii="Cambria Math" w:hAnsi="Cambria Math"/>
                </w:rPr>
                <m:t xml:space="preserve">i</m:t>
              </m:r>
            </m:oMath>
            <w:r>
              <w:rPr>
                <w:rFonts w:eastAsia="Calibri"/>
                <w:sz w:val="18"/>
                <w:szCs w:val="18"/>
                <w:shd w:fill="FFFFFF" w:val="clear"/>
                <w:lang w:eastAsia="en-US" w:bidi="ar-SA"/>
              </w:rPr>
              <w:t>-ой заявкой) значения расчетного балла (интегрального показателя финансового состояния) и установленной соответствующей характеристики его финансового состояния (кризисное / неустойчивое / устойчивое) по результатам проведенной в рамках аккредитации оценки его финансового состояния (устойчивости), при этом:</w:t>
            </w:r>
          </w:p>
          <w:p>
            <w:pPr>
              <w:pStyle w:val="Style28"/>
              <w:widowControl w:val="false"/>
              <w:suppressAutoHyphens w:val="true"/>
              <w:bidi w:val="0"/>
              <w:spacing w:before="120" w:after="0"/>
              <w:ind w:left="113" w:right="113" w:hanging="0"/>
              <w:jc w:val="both"/>
              <w:rPr>
                <w:highlight w:val="none"/>
                <w:shd w:fill="FFFFFF" w:val="clear"/>
              </w:rPr>
            </w:pPr>
            <w:r>
              <w:rPr>
                <w:rFonts w:eastAsia="Calibri"/>
                <w:sz w:val="18"/>
                <w:szCs w:val="18"/>
                <w:shd w:fill="FFFFFF" w:val="clear"/>
                <w:lang w:eastAsia="en-US" w:bidi="ar-SA"/>
              </w:rPr>
              <w:t>-порядок проведения оценки финансового состояния (устойчивости) Участника установлен в Приложении 5 к Положению об аккредитации</w:t>
            </w:r>
            <w:r>
              <w:rPr>
                <w:rStyle w:val="FootnoteReference"/>
                <w:rFonts w:eastAsia="Calibri"/>
                <w:sz w:val="18"/>
                <w:szCs w:val="18"/>
                <w:shd w:fill="FFFFFF" w:val="clear"/>
                <w:lang w:eastAsia="en-US" w:bidi="ar-SA"/>
              </w:rPr>
              <w:footnoteReference w:id="13"/>
            </w:r>
            <w:r>
              <w:rPr>
                <w:rFonts w:eastAsia="Calibri"/>
                <w:sz w:val="18"/>
                <w:szCs w:val="18"/>
                <w:shd w:fill="FFFFFF" w:val="clear"/>
                <w:lang w:eastAsia="en-US" w:bidi="ar-SA"/>
              </w:rPr>
              <w:t>;</w:t>
            </w:r>
          </w:p>
          <w:p>
            <w:pPr>
              <w:pStyle w:val="Normal"/>
              <w:widowControl w:val="false"/>
              <w:numPr>
                <w:ilvl w:val="0"/>
                <w:numId w:val="0"/>
              </w:numPr>
              <w:suppressAutoHyphens w:val="true"/>
              <w:bidi w:val="0"/>
              <w:spacing w:before="120" w:after="0"/>
              <w:ind w:left="57" w:right="57" w:hanging="0"/>
              <w:contextualSpacing/>
              <w:jc w:val="both"/>
              <w:rPr/>
            </w:pPr>
            <w:r>
              <w:rPr>
                <w:rFonts w:eastAsia="Calibri"/>
                <w:sz w:val="18"/>
                <w:szCs w:val="18"/>
              </w:rPr>
              <w:t>-исходными данными для расчета интегрального показателя финансового состояния Участника являются сведения, опубликованные в государственном информационном ресурсе бухгалтерской (финансовой) отчетности организаций (</w:t>
            </w:r>
            <w:hyperlink r:id="rId31">
              <w:r>
                <w:rPr>
                  <w:rStyle w:val="Hyperlink"/>
                  <w:rFonts w:eastAsia="Calibri"/>
                  <w:sz w:val="18"/>
                  <w:szCs w:val="18"/>
                </w:rPr>
                <w:t>https://bo.nalog.ru</w:t>
              </w:r>
            </w:hyperlink>
            <w:r>
              <w:rPr>
                <w:rFonts w:eastAsia="Calibri"/>
                <w:sz w:val="18"/>
                <w:szCs w:val="18"/>
              </w:rPr>
              <w:t xml:space="preserve">) за предыдущий отчетный период (год) </w:t>
            </w:r>
            <w:r>
              <w:rPr>
                <w:sz w:val="18"/>
                <w:szCs w:val="18"/>
              </w:rPr>
              <w:t>по состоянию на дату окончания срока подачи заявок</w:t>
            </w:r>
            <w:r>
              <w:rPr>
                <w:rFonts w:eastAsia="Calibri"/>
                <w:sz w:val="18"/>
                <w:szCs w:val="18"/>
              </w:rPr>
              <w:t xml:space="preserve">. </w:t>
            </w:r>
          </w:p>
          <w:p>
            <w:pPr>
              <w:pStyle w:val="Normal"/>
              <w:widowControl w:val="false"/>
              <w:numPr>
                <w:ilvl w:val="0"/>
                <w:numId w:val="0"/>
              </w:numPr>
              <w:spacing w:before="120" w:after="0"/>
              <w:ind w:left="0" w:hanging="0"/>
              <w:contextualSpacing/>
              <w:rPr>
                <w:rFonts w:eastAsia="Calibri"/>
                <w:sz w:val="18"/>
                <w:szCs w:val="18"/>
              </w:rPr>
            </w:pPr>
            <w:r>
              <w:rPr>
                <w:rFonts w:eastAsia="Calibri"/>
                <w:sz w:val="18"/>
                <w:szCs w:val="18"/>
              </w:rPr>
              <w:t xml:space="preserve">Если Участник в соответствии с законодательством РФ не размещает сведения о своей бухгалтерской (финансовой) отчетности </w:t>
            </w:r>
            <w:r>
              <w:rPr>
                <w:sz w:val="18"/>
                <w:szCs w:val="18"/>
              </w:rPr>
              <w:t xml:space="preserve">(по формам ОКУД 0710001, 0710002) </w:t>
            </w:r>
            <w:r>
              <w:rPr>
                <w:rFonts w:eastAsia="Calibri"/>
                <w:sz w:val="18"/>
                <w:szCs w:val="18"/>
              </w:rPr>
              <w:t>в упомянутом государственном информационном ресурсе</w:t>
            </w:r>
          </w:p>
          <w:p>
            <w:pPr>
              <w:pStyle w:val="Normal"/>
              <w:widowControl w:val="false"/>
              <w:numPr>
                <w:ilvl w:val="0"/>
                <w:numId w:val="0"/>
              </w:numPr>
              <w:spacing w:before="120" w:after="0"/>
              <w:ind w:left="0" w:hanging="0"/>
              <w:contextualSpacing/>
              <w:rPr>
                <w:rFonts w:eastAsia="Calibri"/>
                <w:sz w:val="18"/>
                <w:szCs w:val="18"/>
              </w:rPr>
            </w:pPr>
            <w:r>
              <w:rPr>
                <w:rFonts w:eastAsia="Calibri"/>
                <w:sz w:val="18"/>
                <w:szCs w:val="18"/>
              </w:rPr>
              <w:t xml:space="preserve"> – </w:t>
            </w:r>
            <w:r>
              <w:rPr>
                <w:rFonts w:eastAsia="Calibri"/>
                <w:sz w:val="18"/>
                <w:szCs w:val="18"/>
              </w:rPr>
              <w:t xml:space="preserve">оценка его финансового состояния производится на основании </w:t>
            </w:r>
            <w:r>
              <w:rPr>
                <w:sz w:val="18"/>
                <w:szCs w:val="18"/>
              </w:rPr>
              <w:t>электронной копии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w:t>
            </w:r>
            <w:r>
              <w:rPr>
                <w:rFonts w:eastAsia="Calibri"/>
                <w:sz w:val="18"/>
                <w:szCs w:val="18"/>
              </w:rPr>
              <w:t>, представленной в составе Заявки на аккредитацию (или отдельно в составе заявки на участие в закупке, если ранее при прохождении аккредитации не были представлены);</w:t>
            </w:r>
          </w:p>
          <w:p>
            <w:pPr>
              <w:pStyle w:val="Normal"/>
              <w:widowControl w:val="false"/>
              <w:numPr>
                <w:ilvl w:val="0"/>
                <w:numId w:val="0"/>
              </w:numPr>
              <w:tabs>
                <w:tab w:val="clear" w:pos="708"/>
                <w:tab w:val="left" w:pos="341" w:leader="none"/>
                <w:tab w:val="left" w:pos="701" w:leader="none"/>
              </w:tabs>
              <w:spacing w:before="120" w:after="0"/>
              <w:ind w:left="0" w:hanging="0"/>
              <w:contextualSpacing/>
              <w:jc w:val="both"/>
              <w:rPr>
                <w:sz w:val="18"/>
                <w:szCs w:val="18"/>
              </w:rPr>
            </w:pPr>
            <w:r>
              <w:rPr>
                <w:sz w:val="18"/>
                <w:szCs w:val="18"/>
              </w:rPr>
              <w:t xml:space="preserve"> </w:t>
            </w:r>
            <w:r>
              <w:rPr>
                <w:sz w:val="18"/>
                <w:szCs w:val="18"/>
              </w:rPr>
              <w:t>Если Участник в соответствии с законодательством формирует отчетность по </w:t>
            </w:r>
            <w:r>
              <w:rPr>
                <w:rFonts w:eastAsia="Calibri"/>
                <w:sz w:val="18"/>
                <w:szCs w:val="18"/>
              </w:rPr>
              <w:t>формам</w:t>
            </w:r>
            <w:r>
              <w:rPr>
                <w:sz w:val="18"/>
                <w:szCs w:val="18"/>
              </w:rPr>
              <w:t xml:space="preserve"> ОКУД 0503730, 0503721 (и (или) освобожден от предоставления дополнительного экземпляра отчетности для размещения на официальном сайте ФНС России) – оценка его финансового состояния производится на основании представленных в составе заявки:</w:t>
            </w:r>
          </w:p>
          <w:p>
            <w:pPr>
              <w:pStyle w:val="Normal"/>
              <w:keepNext w:val="true"/>
              <w:widowControl w:val="false"/>
              <w:numPr>
                <w:ilvl w:val="0"/>
                <w:numId w:val="0"/>
              </w:numPr>
              <w:spacing w:before="40" w:after="40"/>
              <w:ind w:left="0" w:hanging="0"/>
              <w:contextualSpacing/>
              <w:jc w:val="both"/>
              <w:rPr>
                <w:sz w:val="18"/>
                <w:szCs w:val="18"/>
              </w:rPr>
            </w:pPr>
            <w:r>
              <w:rPr>
                <w:sz w:val="18"/>
                <w:szCs w:val="18"/>
              </w:rPr>
              <w:t>-    электронной копии бухгалтерской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p>
          <w:p>
            <w:pPr>
              <w:pStyle w:val="Normal"/>
              <w:keepNext w:val="true"/>
              <w:widowControl w:val="false"/>
              <w:numPr>
                <w:ilvl w:val="0"/>
                <w:numId w:val="0"/>
              </w:numPr>
              <w:spacing w:before="40" w:after="40"/>
              <w:ind w:left="0" w:hanging="0"/>
              <w:contextualSpacing/>
              <w:jc w:val="both"/>
              <w:rPr>
                <w:rFonts w:ascii="Times New Roman" w:hAnsi="Times New Roman" w:eastAsia="Calibri" w:cs="" w:cstheme="minorBidi" w:eastAsiaTheme="minorHAnsi"/>
                <w:color w:val="auto"/>
                <w:kern w:val="0"/>
                <w:sz w:val="18"/>
                <w:szCs w:val="18"/>
                <w:lang w:val="ru-RU" w:eastAsia="en-US" w:bidi="ar-SA"/>
              </w:rPr>
            </w:pPr>
            <w:r>
              <w:rPr>
                <w:rFonts w:eastAsia="Calibri" w:cs="" w:cstheme="minorBidi" w:eastAsiaTheme="minorHAnsi"/>
                <w:color w:val="auto"/>
                <w:kern w:val="0"/>
                <w:sz w:val="18"/>
                <w:szCs w:val="18"/>
                <w:lang w:val="ru-RU" w:eastAsia="en-US" w:bidi="ar-SA"/>
              </w:rPr>
              <w:t>- дополнительных сведений о размере всех требуемых показателей согласно данным бухгалтерской (финансовой) отчетности по установленной форме (Приложение № 11 к Документации о закупке).</w:t>
            </w:r>
          </w:p>
          <w:p>
            <w:pPr>
              <w:pStyle w:val="Normal"/>
              <w:widowControl w:val="false"/>
              <w:numPr>
                <w:ilvl w:val="0"/>
                <w:numId w:val="0"/>
              </w:numPr>
              <w:spacing w:before="40" w:after="40"/>
              <w:ind w:left="0" w:hanging="0"/>
              <w:contextualSpacing/>
              <w:jc w:val="both"/>
              <w:rPr>
                <w:rFonts w:ascii="Times New Roman" w:hAnsi="Times New Roman" w:eastAsia="Calibri" w:cs="" w:cstheme="minorBidi" w:eastAsiaTheme="minorHAnsi"/>
                <w:color w:val="auto"/>
                <w:kern w:val="0"/>
                <w:sz w:val="18"/>
                <w:szCs w:val="18"/>
                <w:lang w:val="ru-RU" w:eastAsia="en-US" w:bidi="ar-SA"/>
              </w:rPr>
            </w:pPr>
            <w:r>
              <w:rPr>
                <w:rFonts w:eastAsia="Calibri" w:cs="" w:cstheme="minorBidi" w:eastAsiaTheme="minorHAnsi"/>
                <w:color w:val="auto"/>
                <w:kern w:val="0"/>
                <w:sz w:val="18"/>
                <w:szCs w:val="18"/>
                <w:lang w:val="ru-RU" w:eastAsia="en-US" w:bidi="ar-SA"/>
              </w:rPr>
              <w:t>Оценка предпочтительности по частному критерию осуществляется в соответствии со следующей шкалой:</w:t>
            </w:r>
          </w:p>
          <w:tbl>
            <w:tblPr>
              <w:tblW w:w="3914" w:type="dxa"/>
              <w:jc w:val="left"/>
              <w:tblInd w:w="0" w:type="dxa"/>
              <w:tblLayout w:type="fixed"/>
              <w:tblCellMar>
                <w:top w:w="0" w:type="dxa"/>
                <w:left w:w="57" w:type="dxa"/>
                <w:bottom w:w="0" w:type="dxa"/>
                <w:right w:w="57" w:type="dxa"/>
              </w:tblCellMar>
              <w:tblLook w:val="0000" w:noVBand="0" w:noHBand="0" w:lastColumn="0" w:firstColumn="0" w:lastRow="0" w:firstRow="0"/>
            </w:tblPr>
            <w:tblGrid>
              <w:gridCol w:w="850"/>
              <w:gridCol w:w="3063"/>
            </w:tblGrid>
            <w:tr>
              <w:trPr/>
              <w:tc>
                <w:tcPr>
                  <w:tcW w:w="850" w:type="dxa"/>
                  <w:tcBorders/>
                  <w:shd w:color="auto" w:fill="auto" w:val="clear"/>
                </w:tcPr>
                <w:p>
                  <w:pPr>
                    <w:pStyle w:val="Style28"/>
                    <w:widowControl w:val="false"/>
                    <w:spacing w:before="120" w:after="0"/>
                    <w:jc w:val="left"/>
                    <w:rPr/>
                  </w:pPr>
                  <w:r>
                    <w:rPr/>
                  </w:r>
                  <m:oMathPara xmlns:m="http://schemas.openxmlformats.org/officeDocument/2006/math">
                    <m:oMathParaPr>
                      <m:jc m:val="left"/>
                    </m:oMathParaPr>
                    <m:oMath>
                      <m:sSub>
                        <m:e>
                          <m:r>
                            <w:rPr>
                              <w:rFonts w:ascii="Cambria Math" w:hAnsi="Cambria Math"/>
                            </w:rPr>
                            <m:t xml:space="preserve">Б</m:t>
                          </m:r>
                        </m:e>
                        <m:sub>
                          <m:r>
                            <w:rPr>
                              <w:rFonts w:ascii="Cambria Math" w:hAnsi="Cambria Math"/>
                            </w:rPr>
                            <m:t xml:space="preserve">3</m:t>
                          </m:r>
                        </m:sub>
                      </m:sSub>
                      <m:r>
                        <w:rPr>
                          <w:rFonts w:ascii="Cambria Math" w:hAnsi="Cambria Math"/>
                        </w:rPr>
                        <m:t xml:space="preserve">=</m:t>
                      </m:r>
                      <m:r>
                        <w:rPr>
                          <w:rFonts w:ascii="Cambria Math" w:hAnsi="Cambria Math"/>
                        </w:rPr>
                        <m:t xml:space="preserve">0</m:t>
                      </m:r>
                    </m:oMath>
                  </m:oMathPara>
                </w:p>
              </w:tc>
              <w:tc>
                <w:tcPr>
                  <w:tcW w:w="3063" w:type="dxa"/>
                  <w:tcBorders/>
                  <w:shd w:color="auto" w:fill="auto" w:val="clear"/>
                </w:tcPr>
                <w:p>
                  <w:pPr>
                    <w:pStyle w:val="Style28"/>
                    <w:keepNext w:val="true"/>
                    <w:widowControl w:val="false"/>
                    <w:spacing w:before="120" w:after="0"/>
                    <w:jc w:val="left"/>
                    <w:rPr>
                      <w:rFonts w:eastAsia="Calibri"/>
                      <w:sz w:val="18"/>
                      <w:szCs w:val="18"/>
                      <w:lang w:eastAsia="en-US" w:bidi="ar-SA"/>
                    </w:rPr>
                  </w:pPr>
                  <w:r>
                    <w:rPr>
                      <w:rFonts w:eastAsia="Calibri"/>
                      <w:sz w:val="18"/>
                      <w:szCs w:val="18"/>
                      <w:lang w:eastAsia="en-US" w:bidi="ar-SA"/>
                    </w:rPr>
                    <w:t>результат оценки финансового состояния (устойчивости): менее 0,45 баллов – Кризисное финансовое состояние</w:t>
                  </w:r>
                </w:p>
                <w:p>
                  <w:pPr>
                    <w:pStyle w:val="Style28"/>
                    <w:keepNext w:val="true"/>
                    <w:widowControl w:val="false"/>
                    <w:jc w:val="left"/>
                    <w:rPr>
                      <w:rFonts w:eastAsia="Calibri"/>
                      <w:i/>
                      <w:i/>
                      <w:iCs/>
                      <w:sz w:val="18"/>
                      <w:szCs w:val="18"/>
                      <w:lang w:eastAsia="en-US" w:bidi="ar-SA"/>
                    </w:rPr>
                  </w:pPr>
                  <w:r>
                    <w:rPr>
                      <w:rFonts w:eastAsia="Calibri"/>
                      <w:i/>
                      <w:iCs/>
                      <w:sz w:val="18"/>
                      <w:szCs w:val="18"/>
                      <w:lang w:eastAsia="en-US" w:bidi="ar-SA"/>
                    </w:rPr>
                    <w:t>или</w:t>
                  </w:r>
                </w:p>
                <w:p>
                  <w:pPr>
                    <w:pStyle w:val="Style28"/>
                    <w:keepNext w:val="true"/>
                    <w:widowControl w:val="false"/>
                    <w:jc w:val="left"/>
                    <w:rPr>
                      <w:rFonts w:eastAsia="Calibri"/>
                      <w:sz w:val="18"/>
                      <w:szCs w:val="18"/>
                      <w:lang w:eastAsia="en-US" w:bidi="ar-SA"/>
                    </w:rPr>
                  </w:pPr>
                  <w:r>
                    <w:rPr>
                      <w:rFonts w:eastAsia="Calibri"/>
                      <w:sz w:val="18"/>
                      <w:szCs w:val="18"/>
                      <w:lang w:eastAsia="en-US" w:bidi="ar-SA"/>
                    </w:rPr>
                    <w:t>в случае отсутствия исходных данных для оценки финансового состояния Участника, в том числе если он является:</w:t>
                  </w:r>
                </w:p>
                <w:p>
                  <w:pPr>
                    <w:pStyle w:val="Style28"/>
                    <w:widowControl w:val="false"/>
                    <w:jc w:val="both"/>
                    <w:rPr/>
                  </w:pPr>
                  <w:r>
                    <w:rPr>
                      <w:rFonts w:eastAsia="Calibri"/>
                      <w:sz w:val="18"/>
                      <w:szCs w:val="18"/>
                      <w:lang w:eastAsia="en-US" w:bidi="ar-SA"/>
                    </w:rPr>
                    <w:t>-  вновь созданным юридическим лицом, которое на дату подачи заявки на участие в закупке в соответствии с законодательством не предоставил в налоговые органы бухгалтерскую (финансовую) отчетность за завершенный финансовый год;</w:t>
                  </w:r>
                </w:p>
                <w:p>
                  <w:pPr>
                    <w:pStyle w:val="Style28"/>
                    <w:widowControl w:val="false"/>
                    <w:tabs>
                      <w:tab w:val="clear" w:pos="708"/>
                      <w:tab w:val="left" w:pos="282" w:leader="none"/>
                      <w:tab w:val="left" w:pos="448" w:leader="none"/>
                    </w:tabs>
                    <w:jc w:val="both"/>
                    <w:rPr/>
                  </w:pPr>
                  <w:r>
                    <w:rPr>
                      <w:rFonts w:eastAsia="Calibri"/>
                      <w:sz w:val="18"/>
                      <w:szCs w:val="18"/>
                      <w:lang w:eastAsia="en-US" w:bidi="ar-SA"/>
                    </w:rPr>
                    <w:t>- физическим лицом (индивидуальным предпринимателем и (или) применяющим специальный налоговый режим «Налог на профессиональный доход»), не ведущим бухгалтерскую (финансовую) отчетность;</w:t>
                  </w:r>
                </w:p>
              </w:tc>
            </w:tr>
            <w:tr>
              <w:trPr/>
              <w:tc>
                <w:tcPr>
                  <w:tcW w:w="850" w:type="dxa"/>
                  <w:tcBorders/>
                  <w:shd w:color="auto" w:fill="auto" w:val="clear"/>
                </w:tcPr>
                <w:p>
                  <w:pPr>
                    <w:pStyle w:val="Style28"/>
                    <w:widowControl w:val="false"/>
                    <w:spacing w:before="120" w:after="0"/>
                    <w:jc w:val="left"/>
                    <w:rPr/>
                  </w:pPr>
                  <w:r>
                    <w:rPr/>
                  </w:r>
                  <m:oMathPara xmlns:m="http://schemas.openxmlformats.org/officeDocument/2006/math">
                    <m:oMathParaPr>
                      <m:jc m:val="left"/>
                    </m:oMathParaPr>
                    <m:oMath>
                      <m:sSub>
                        <m:e>
                          <m:r>
                            <w:rPr>
                              <w:rFonts w:ascii="Cambria Math" w:hAnsi="Cambria Math"/>
                            </w:rPr>
                            <m:t xml:space="preserve">Б</m:t>
                          </m:r>
                        </m:e>
                        <m:sub>
                          <m:r>
                            <w:rPr>
                              <w:rFonts w:ascii="Cambria Math" w:hAnsi="Cambria Math"/>
                            </w:rPr>
                            <m:t xml:space="preserve">3</m:t>
                          </m:r>
                        </m:sub>
                      </m:sSub>
                      <m:r>
                        <w:rPr>
                          <w:rFonts w:ascii="Cambria Math" w:hAnsi="Cambria Math"/>
                        </w:rPr>
                        <m:t xml:space="preserve">=</m:t>
                      </m:r>
                      <m:r>
                        <w:rPr>
                          <w:rFonts w:ascii="Cambria Math" w:hAnsi="Cambria Math"/>
                        </w:rPr>
                        <m:t xml:space="preserve">3</m:t>
                      </m:r>
                    </m:oMath>
                  </m:oMathPara>
                </w:p>
              </w:tc>
              <w:tc>
                <w:tcPr>
                  <w:tcW w:w="3063" w:type="dxa"/>
                  <w:tcBorders/>
                  <w:shd w:color="auto" w:fill="auto" w:val="clear"/>
                </w:tcPr>
                <w:p>
                  <w:pPr>
                    <w:pStyle w:val="Style28"/>
                    <w:widowControl w:val="false"/>
                    <w:spacing w:before="120" w:after="0"/>
                    <w:jc w:val="left"/>
                    <w:rPr>
                      <w:rFonts w:eastAsia="Calibri"/>
                      <w:sz w:val="18"/>
                      <w:szCs w:val="18"/>
                      <w:lang w:eastAsia="en-US" w:bidi="ar-SA"/>
                    </w:rPr>
                  </w:pPr>
                  <w:r>
                    <w:rPr>
                      <w:rFonts w:eastAsia="Calibri"/>
                      <w:sz w:val="18"/>
                      <w:szCs w:val="18"/>
                      <w:lang w:eastAsia="en-US" w:bidi="ar-SA"/>
                    </w:rPr>
                    <w:t>результат оценки финансового состояния (устойчивости): от 0,45 баллов включительно до 0,90 баллов включительно – Неустойчивое финансовое состояние;</w:t>
                  </w:r>
                </w:p>
              </w:tc>
            </w:tr>
            <w:tr>
              <w:trPr/>
              <w:tc>
                <w:tcPr>
                  <w:tcW w:w="850" w:type="dxa"/>
                  <w:tcBorders/>
                  <w:shd w:color="auto" w:fill="auto" w:val="clear"/>
                </w:tcPr>
                <w:p>
                  <w:pPr>
                    <w:pStyle w:val="Style28"/>
                    <w:widowControl w:val="false"/>
                    <w:spacing w:before="120" w:after="0"/>
                    <w:jc w:val="left"/>
                    <w:rPr/>
                  </w:pPr>
                  <w:r>
                    <w:rPr/>
                  </w:r>
                  <m:oMathPara xmlns:m="http://schemas.openxmlformats.org/officeDocument/2006/math">
                    <m:oMathParaPr>
                      <m:jc m:val="left"/>
                    </m:oMathParaPr>
                    <m:oMath>
                      <m:sSub>
                        <m:e>
                          <m:r>
                            <w:rPr>
                              <w:rFonts w:ascii="Cambria Math" w:hAnsi="Cambria Math"/>
                            </w:rPr>
                            <m:t xml:space="preserve">Б</m:t>
                          </m:r>
                        </m:e>
                        <m:sub>
                          <m:r>
                            <w:rPr>
                              <w:rFonts w:ascii="Cambria Math" w:hAnsi="Cambria Math"/>
                            </w:rPr>
                            <m:t xml:space="preserve">3</m:t>
                          </m:r>
                        </m:sub>
                      </m:sSub>
                      <m:r>
                        <w:rPr>
                          <w:rFonts w:ascii="Cambria Math" w:hAnsi="Cambria Math"/>
                        </w:rPr>
                        <m:t xml:space="preserve">=</m:t>
                      </m:r>
                      <m:r>
                        <w:rPr>
                          <w:rFonts w:ascii="Cambria Math" w:hAnsi="Cambria Math"/>
                        </w:rPr>
                        <m:t xml:space="preserve">5</m:t>
                      </m:r>
                    </m:oMath>
                  </m:oMathPara>
                </w:p>
              </w:tc>
              <w:tc>
                <w:tcPr>
                  <w:tcW w:w="3063" w:type="dxa"/>
                  <w:tcBorders/>
                  <w:shd w:color="auto" w:fill="auto" w:val="clear"/>
                </w:tcPr>
                <w:p>
                  <w:pPr>
                    <w:pStyle w:val="Style28"/>
                    <w:widowControl w:val="false"/>
                    <w:spacing w:before="120" w:after="0"/>
                    <w:jc w:val="left"/>
                    <w:rPr>
                      <w:rFonts w:eastAsia="Calibri"/>
                      <w:sz w:val="18"/>
                      <w:szCs w:val="18"/>
                      <w:lang w:eastAsia="en-US" w:bidi="ar-SA"/>
                    </w:rPr>
                  </w:pPr>
                  <w:r>
                    <w:rPr>
                      <w:rFonts w:eastAsia="Calibri"/>
                      <w:sz w:val="18"/>
                      <w:szCs w:val="18"/>
                      <w:lang w:eastAsia="en-US" w:bidi="ar-SA"/>
                    </w:rPr>
                    <w:t>результат оценки финансового состояния (устойчивости): более 0,90 баллов – Удовлетворительное финансовое состояние,</w:t>
                  </w:r>
                </w:p>
              </w:tc>
            </w:tr>
          </w:tbl>
          <w:p>
            <w:pPr>
              <w:pStyle w:val="Style28"/>
              <w:widowControl w:val="false"/>
              <w:jc w:val="left"/>
              <w:rPr>
                <w:rFonts w:eastAsia="Calibri"/>
                <w:sz w:val="18"/>
                <w:szCs w:val="18"/>
                <w:lang w:eastAsia="en-US" w:bidi="ar-SA"/>
              </w:rPr>
            </w:pPr>
            <w:r>
              <w:rPr>
                <w:rFonts w:eastAsia="Calibri"/>
                <w:sz w:val="18"/>
                <w:szCs w:val="18"/>
                <w:lang w:eastAsia="en-US" w:bidi="ar-SA"/>
              </w:rPr>
              <w:t>где:</w:t>
            </w:r>
          </w:p>
          <w:p>
            <w:pPr>
              <w:pStyle w:val="Style28"/>
              <w:widowControl w:val="false"/>
              <w:jc w:val="left"/>
              <w:rPr/>
            </w:pPr>
            <w:r>
              <w:rPr/>
            </w:r>
            <m:oMath xmlns:m="http://schemas.openxmlformats.org/officeDocument/2006/math">
              <m:sSub>
                <m:e>
                  <m:r>
                    <w:rPr>
                      <w:rFonts w:ascii="Cambria Math" w:hAnsi="Cambria Math"/>
                    </w:rPr>
                    <m:t xml:space="preserve">Б</m:t>
                  </m:r>
                </m:e>
                <m:sub>
                  <m:r>
                    <w:rPr>
                      <w:rFonts w:ascii="Cambria Math" w:hAnsi="Cambria Math"/>
                    </w:rPr>
                    <m:t xml:space="preserve">i</m:t>
                  </m:r>
                </m:sub>
              </m:sSub>
            </m:oMath>
            <w:r>
              <w:rPr>
                <w:rFonts w:eastAsia="Calibri"/>
                <w:sz w:val="18"/>
                <w:szCs w:val="18"/>
                <w:lang w:eastAsia="en-US" w:bidi="ar-SA"/>
              </w:rPr>
              <w:t xml:space="preserve"> – </w:t>
            </w:r>
            <w:r>
              <w:rPr>
                <w:rFonts w:eastAsia="Calibri"/>
                <w:sz w:val="18"/>
                <w:szCs w:val="18"/>
                <w:lang w:eastAsia="en-US" w:bidi="ar-SA"/>
              </w:rPr>
              <w:t>рассчитанная оценка предпочтительности по частному критерию оценки в баллах.</w:t>
            </w:r>
          </w:p>
          <w:p>
            <w:pPr>
              <w:pStyle w:val="Style28"/>
              <w:widowControl w:val="false"/>
              <w:jc w:val="left"/>
              <w:rPr>
                <w:rFonts w:eastAsia="Calibri"/>
                <w:sz w:val="18"/>
                <w:szCs w:val="18"/>
                <w:lang w:eastAsia="en-US" w:bidi="ar-SA"/>
              </w:rPr>
            </w:pPr>
            <w:r>
              <w:rPr>
                <w:rFonts w:eastAsia="Calibri"/>
                <w:sz w:val="18"/>
                <w:szCs w:val="18"/>
                <w:lang w:eastAsia="en-US" w:bidi="ar-SA"/>
              </w:rPr>
              <w:t>Шкала оценок от 0 до 5 баллов.</w:t>
            </w:r>
          </w:p>
          <w:p>
            <w:pPr>
              <w:pStyle w:val="Style28"/>
              <w:widowControl w:val="false"/>
              <w:jc w:val="left"/>
              <w:rPr>
                <w:rFonts w:eastAsia="Calibri"/>
                <w:i/>
                <w:i/>
                <w:iCs/>
                <w:sz w:val="18"/>
                <w:szCs w:val="18"/>
                <w:lang w:eastAsia="en-US" w:bidi="ar-SA"/>
              </w:rPr>
            </w:pPr>
            <w:r>
              <w:rPr>
                <w:rFonts w:eastAsia="Calibri"/>
                <w:i/>
                <w:iCs/>
                <w:sz w:val="18"/>
                <w:szCs w:val="18"/>
                <w:lang w:eastAsia="en-US" w:bidi="ar-SA"/>
              </w:rPr>
              <w:t>(В случае участия в закупке Генерального подрядчика – балл по данному критерию присваивается исходя из оценки финансового состояния Генерального подрядчика без учета субподрядчиков.</w:t>
            </w:r>
          </w:p>
        </w:tc>
      </w:tr>
      <w:tr>
        <w:trPr/>
        <w:tc>
          <w:tcPr>
            <w:tcW w:w="6096" w:type="dxa"/>
            <w:gridSpan w:val="4"/>
            <w:tcBorders/>
          </w:tcPr>
          <w:p>
            <w:pPr>
              <w:pStyle w:val="Normal"/>
              <w:widowControl w:val="false"/>
              <w:numPr>
                <w:ilvl w:val="0"/>
                <w:numId w:val="0"/>
              </w:numPr>
              <w:spacing w:lineRule="auto" w:line="240" w:before="40" w:after="40"/>
              <w:ind w:left="0" w:hanging="0"/>
              <w:jc w:val="right"/>
              <w:rPr>
                <w:sz w:val="18"/>
                <w:szCs w:val="18"/>
                <w:lang w:eastAsia="ru-RU"/>
              </w:rPr>
            </w:pPr>
            <w:r>
              <w:rPr>
                <w:rFonts w:eastAsia="Calibri"/>
                <w:sz w:val="18"/>
                <w:szCs w:val="18"/>
                <w:lang w:eastAsia="ru-RU" w:bidi="ar-SA"/>
              </w:rPr>
              <w:t>Итоговая оценка предпочтительности заявки:</w:t>
            </w:r>
          </w:p>
        </w:tc>
        <w:tc>
          <w:tcPr>
            <w:tcW w:w="7937" w:type="dxa"/>
            <w:gridSpan w:val="3"/>
            <w:tcBorders/>
          </w:tcPr>
          <w:p>
            <w:pPr>
              <w:pStyle w:val="Normal"/>
              <w:widowControl w:val="false"/>
              <w:numPr>
                <w:ilvl w:val="0"/>
                <w:numId w:val="0"/>
              </w:numPr>
              <w:spacing w:before="40" w:after="0"/>
              <w:ind w:left="0" w:hanging="0"/>
              <w:contextualSpacing/>
              <w:rPr>
                <w:sz w:val="18"/>
                <w:szCs w:val="18"/>
              </w:rPr>
            </w:pPr>
            <w:r>
              <w:rPr>
                <w:sz w:val="18"/>
                <w:szCs w:val="18"/>
              </w:rPr>
              <w:t xml:space="preserve">Расчет итоговой оценки предпочтительности </w:t>
            </w:r>
            <w:r>
              <w:rPr>
                <w:i/>
                <w:sz w:val="18"/>
                <w:szCs w:val="18"/>
                <w:lang w:val="en-US"/>
              </w:rPr>
              <w:t>i</w:t>
            </w:r>
            <w:r>
              <w:rPr>
                <w:sz w:val="18"/>
                <w:szCs w:val="18"/>
              </w:rPr>
              <w:t>-ой заявки:</w:t>
            </w:r>
          </w:p>
          <w:p>
            <w:pPr>
              <w:pStyle w:val="Normal"/>
              <w:keepNext w:val="true"/>
              <w:widowControl w:val="false"/>
              <w:numPr>
                <w:ilvl w:val="0"/>
                <w:numId w:val="0"/>
              </w:numPr>
              <w:ind w:left="0" w:hanging="0"/>
              <w:jc w:val="center"/>
              <w:rPr>
                <w:sz w:val="18"/>
                <w:szCs w:val="18"/>
              </w:rPr>
            </w:pPr>
            <w:r>
              <w:rPr>
                <w:sz w:val="18"/>
                <w:szCs w:val="18"/>
              </w:rPr>
            </w:r>
          </w:p>
          <w:p>
            <w:pPr>
              <w:pStyle w:val="Normal"/>
              <w:keepNext w:val="true"/>
              <w:widowControl w:val="false"/>
              <w:numPr>
                <w:ilvl w:val="0"/>
                <w:numId w:val="0"/>
              </w:numPr>
              <w:spacing w:before="96" w:after="0"/>
              <w:ind w:left="0" w:hanging="0"/>
              <w:contextualSpacing/>
              <w:jc w:val="center"/>
              <w:rPr>
                <w:sz w:val="20"/>
                <w:szCs w:val="20"/>
              </w:rPr>
            </w:pPr>
            <w:r>
              <w:rPr/>
            </w:r>
            <m:oMathPara xmlns:m="http://schemas.openxmlformats.org/officeDocument/2006/math">
              <m:oMathParaPr>
                <m:jc m:val="center"/>
              </m:oMathParaPr>
              <m:oMath>
                <m:sSub>
                  <m:e>
                    <m:r>
                      <w:rPr>
                        <w:rFonts w:ascii="Cambria Math" w:hAnsi="Cambria Math"/>
                      </w:rPr>
                      <m:t xml:space="preserve">Б</m:t>
                    </m:r>
                  </m:e>
                  <m:sub>
                    <m:r>
                      <w:rPr>
                        <w:rFonts w:ascii="Cambria Math" w:hAnsi="Cambria Math"/>
                      </w:rPr>
                      <m:t xml:space="preserve">ИТОГ</m:t>
                    </m:r>
                  </m:sub>
                </m:sSub>
                <m:r>
                  <w:rPr>
                    <w:rFonts w:ascii="Cambria Math" w:hAnsi="Cambria Math"/>
                  </w:rPr>
                  <m:t xml:space="preserve">=</m:t>
                </m:r>
                <m:nary>
                  <m:naryPr>
                    <m:chr m:val="∑"/>
                    <m:subHide m:val="1"/>
                    <m:supHide m:val="1"/>
                  </m:naryPr>
                  <m:sub/>
                  <m:sup/>
                  <m:e>
                    <m:d>
                      <m:dPr>
                        <m:begChr m:val="("/>
                        <m:endChr m:val=")"/>
                      </m:dPr>
                      <m:e>
                        <m:sSub>
                          <m:e>
                            <m:r>
                              <w:rPr>
                                <w:rFonts w:ascii="Cambria Math" w:hAnsi="Cambria Math"/>
                              </w:rPr>
                              <m:t xml:space="preserve">Б</m:t>
                            </m:r>
                          </m:e>
                          <m:sub>
                            <m:sSub>
                              <m:e>
                                <m:r>
                                  <w:rPr>
                                    <w:rFonts w:ascii="Cambria Math" w:hAnsi="Cambria Math"/>
                                  </w:rPr>
                                  <m:t xml:space="preserve">1</m:t>
                                </m:r>
                                <m:r>
                                  <w:rPr>
                                    <w:rFonts w:ascii="Cambria Math" w:hAnsi="Cambria Math"/>
                                  </w:rPr>
                                  <m:t xml:space="preserve">уровень</m:t>
                                </m:r>
                              </m:e>
                              <m:sub>
                                <m:r>
                                  <w:rPr>
                                    <w:rFonts w:ascii="Cambria Math" w:hAnsi="Cambria Math"/>
                                  </w:rPr>
                                  <m:t xml:space="preserve">k</m:t>
                                </m:r>
                              </m:sub>
                            </m:sSub>
                          </m:sub>
                        </m:sSub>
                        <m:r>
                          <w:rPr>
                            <w:rFonts w:ascii="Cambria Math" w:hAnsi="Cambria Math"/>
                          </w:rPr>
                          <m:t xml:space="preserve">×</m:t>
                        </m:r>
                        <m:sSub>
                          <m:e>
                            <m:r>
                              <w:rPr>
                                <w:rFonts w:ascii="Cambria Math" w:hAnsi="Cambria Math"/>
                              </w:rPr>
                              <m:t xml:space="preserve">В</m:t>
                            </m:r>
                          </m:e>
                          <m:sub>
                            <m:sSub>
                              <m:e>
                                <m:r>
                                  <w:rPr>
                                    <w:rFonts w:ascii="Cambria Math" w:hAnsi="Cambria Math"/>
                                  </w:rPr>
                                  <m:t xml:space="preserve">1</m:t>
                                </m:r>
                                <m:r>
                                  <w:rPr>
                                    <w:rFonts w:ascii="Cambria Math" w:hAnsi="Cambria Math"/>
                                  </w:rPr>
                                  <m:t xml:space="preserve">уровень</m:t>
                                </m:r>
                              </m:e>
                              <m:sub>
                                <m:r>
                                  <w:rPr>
                                    <w:rFonts w:ascii="Cambria Math" w:hAnsi="Cambria Math"/>
                                  </w:rPr>
                                  <m:t xml:space="preserve">k</m:t>
                                </m:r>
                              </m:sub>
                            </m:sSub>
                          </m:sub>
                        </m:sSub>
                      </m:e>
                    </m:d>
                  </m:e>
                </m:nary>
                <m:r>
                  <w:rPr>
                    <w:rFonts w:ascii="Cambria Math" w:hAnsi="Cambria Math"/>
                  </w:rPr>
                  <m:t xml:space="preserve">,</m:t>
                </m:r>
              </m:oMath>
            </m:oMathPara>
          </w:p>
          <w:p>
            <w:pPr>
              <w:pStyle w:val="Normal"/>
              <w:keepNext w:val="true"/>
              <w:widowControl w:val="false"/>
              <w:numPr>
                <w:ilvl w:val="0"/>
                <w:numId w:val="0"/>
              </w:numPr>
              <w:spacing w:before="96" w:after="0"/>
              <w:ind w:left="0" w:hanging="0"/>
              <w:contextualSpacing/>
              <w:rPr>
                <w:sz w:val="18"/>
                <w:szCs w:val="18"/>
              </w:rPr>
            </w:pPr>
            <w:r>
              <w:rPr>
                <w:sz w:val="18"/>
                <w:szCs w:val="18"/>
              </w:rPr>
              <w:t>где:</w:t>
            </w:r>
          </w:p>
          <w:p>
            <w:pPr>
              <w:pStyle w:val="Normal"/>
              <w:widowControl w:val="false"/>
              <w:numPr>
                <w:ilvl w:val="0"/>
                <w:numId w:val="0"/>
              </w:numPr>
              <w:tabs>
                <w:tab w:val="clear" w:pos="708"/>
                <w:tab w:val="left" w:pos="742" w:leader="none"/>
                <w:tab w:val="left" w:pos="1167" w:leader="none"/>
              </w:tabs>
              <w:ind w:left="0" w:hanging="0"/>
              <w:rPr>
                <w:sz w:val="18"/>
                <w:szCs w:val="18"/>
              </w:rPr>
            </w:pPr>
            <w:r>
              <w:rPr>
                <w:sz w:val="18"/>
                <w:szCs w:val="18"/>
              </w:rPr>
              <w:t>Б</w:t>
            </w:r>
            <w:r>
              <w:rPr>
                <w:sz w:val="18"/>
                <w:szCs w:val="18"/>
                <w:vertAlign w:val="subscript"/>
              </w:rPr>
              <w:t>ИТОГ</w:t>
            </w:r>
            <w:r>
              <w:rPr>
                <w:sz w:val="18"/>
                <w:szCs w:val="18"/>
              </w:rPr>
              <w:tab/>
              <w:t>–</w:t>
              <w:tab/>
              <w:t>рассчитанная итоговая оценка предпочтительности в баллах;</w:t>
            </w:r>
          </w:p>
          <w:p>
            <w:pPr>
              <w:pStyle w:val="Normal"/>
              <w:widowControl w:val="false"/>
              <w:numPr>
                <w:ilvl w:val="0"/>
                <w:numId w:val="0"/>
              </w:numPr>
              <w:tabs>
                <w:tab w:val="clear" w:pos="708"/>
                <w:tab w:val="left" w:pos="742" w:leader="none"/>
                <w:tab w:val="left" w:pos="1167" w:leader="none"/>
              </w:tabs>
              <w:ind w:left="0" w:hanging="0"/>
              <w:rPr>
                <w:sz w:val="18"/>
                <w:szCs w:val="18"/>
              </w:rPr>
            </w:pPr>
            <w:r>
              <w:rPr>
                <w:sz w:val="18"/>
                <w:szCs w:val="18"/>
              </w:rPr>
              <w:t>Б</w:t>
            </w:r>
            <w:r>
              <w:rPr>
                <w:sz w:val="18"/>
                <w:szCs w:val="18"/>
                <w:vertAlign w:val="subscript"/>
              </w:rPr>
              <w:t>1 уровень k</w:t>
            </w:r>
            <w:r>
              <w:rPr>
                <w:sz w:val="18"/>
                <w:szCs w:val="18"/>
              </w:rPr>
              <w:tab/>
              <w:t>–</w:t>
              <w:tab/>
              <w:t>оценка предпочтительности по k-тому критерию оценки первого уровня в баллах;</w:t>
            </w:r>
          </w:p>
          <w:p>
            <w:pPr>
              <w:pStyle w:val="Normal"/>
              <w:widowControl w:val="false"/>
              <w:numPr>
                <w:ilvl w:val="0"/>
                <w:numId w:val="0"/>
              </w:numPr>
              <w:tabs>
                <w:tab w:val="clear" w:pos="708"/>
                <w:tab w:val="left" w:pos="742" w:leader="none"/>
                <w:tab w:val="left" w:pos="1167" w:leader="none"/>
              </w:tabs>
              <w:spacing w:lineRule="auto" w:line="240" w:before="0" w:after="120"/>
              <w:ind w:left="0" w:hanging="0"/>
              <w:jc w:val="left"/>
              <w:rPr>
                <w:sz w:val="18"/>
                <w:szCs w:val="18"/>
                <w:lang w:eastAsia="ru-RU"/>
              </w:rPr>
            </w:pPr>
            <w:r>
              <w:rPr>
                <w:sz w:val="18"/>
                <w:szCs w:val="18"/>
              </w:rPr>
              <w:t>В</w:t>
            </w:r>
            <w:r>
              <w:rPr>
                <w:sz w:val="18"/>
                <w:szCs w:val="18"/>
                <w:vertAlign w:val="subscript"/>
              </w:rPr>
              <w:t>1 уровень k</w:t>
            </w:r>
            <w:r>
              <w:rPr>
                <w:sz w:val="18"/>
                <w:szCs w:val="18"/>
              </w:rPr>
              <w:tab/>
              <w:t>–</w:t>
              <w:tab/>
              <w:t xml:space="preserve">значимость k-ого критерия оценки первого уровня, выраженная в диапазоне от 1% до 100% (или от 0,01 до 1,00) – вес k-ого критерия оценки первого уровня. </w:t>
            </w:r>
          </w:p>
          <w:p>
            <w:pPr>
              <w:pStyle w:val="Normal"/>
              <w:widowControl w:val="false"/>
              <w:numPr>
                <w:ilvl w:val="0"/>
                <w:numId w:val="0"/>
              </w:numPr>
              <w:tabs>
                <w:tab w:val="clear" w:pos="708"/>
                <w:tab w:val="left" w:pos="742" w:leader="none"/>
                <w:tab w:val="left" w:pos="1167" w:leader="none"/>
              </w:tabs>
              <w:spacing w:lineRule="auto" w:line="240" w:before="0" w:after="120"/>
              <w:ind w:left="0" w:hanging="0"/>
              <w:jc w:val="left"/>
              <w:rPr>
                <w:sz w:val="18"/>
                <w:szCs w:val="18"/>
                <w:lang w:eastAsia="ru-RU"/>
              </w:rPr>
            </w:pPr>
            <w:r>
              <w:rPr>
                <w:rFonts w:eastAsia="Calibri"/>
                <w:i/>
                <w:iCs/>
                <w:sz w:val="18"/>
                <w:szCs w:val="18"/>
                <w:lang w:eastAsia="en-US" w:bidi="ar-SA"/>
              </w:rPr>
              <w:t>Расчет значений баллов по частным / обобщенным критериям оценки, а также итогового балла (итоговой оценки предпочтительности) производится до четвертого знака после запятой (в соответствии с математическими правилами округления).</w:t>
            </w:r>
          </w:p>
        </w:tc>
      </w:tr>
    </w:tbl>
    <w:p>
      <w:pPr>
        <w:pStyle w:val="Style24"/>
        <w:rPr/>
      </w:pPr>
      <w:r>
        <w:rPr/>
        <w:t>Итоговая оценка предпочтительности заявки формируется путем взвешенного суммирования (суммирования в баллах, умноженных на соответствующий коэффициент значимости критерия), производимого в рамках критериев одного уровня. Общая значимость всех критериев одного уровня на одной ветке иерархии составляет 100%. Вычисление оценки предпочтительности по каждому критерию и итоговой оценки предпочтительности заявки производится с точностью до десятитысячных балла.</w:t>
      </w:r>
    </w:p>
    <w:p>
      <w:pPr>
        <w:pStyle w:val="Style24"/>
        <w:rPr/>
      </w:pPr>
      <w:r>
        <w:rPr/>
        <w:t>В установленных случаях оценка и сопоставление заявок производится с учетом предоставления национального режима в соответствии с порядком, предусмотренном подразделом </w:t>
      </w:r>
      <w:r>
        <w:rPr/>
        <w:fldChar w:fldCharType="begin"/>
      </w:r>
      <w:r>
        <w:rPr/>
        <w:instrText xml:space="preserve"> REF _Ref132816300 \r \h </w:instrText>
      </w:r>
      <w:r>
        <w:rPr/>
        <w:fldChar w:fldCharType="separate"/>
      </w:r>
      <w:r>
        <w:rPr/>
        <w:t>4.14</w:t>
      </w:r>
      <w:r>
        <w:rPr/>
        <w:fldChar w:fldCharType="end"/>
      </w:r>
      <w:r>
        <w:rPr/>
        <w:t>.</w:t>
      </w:r>
    </w:p>
    <w:p>
      <w:pPr>
        <w:pStyle w:val="Style31"/>
        <w:rPr/>
      </w:pPr>
      <w:r>
        <w:rPr/>
      </w:r>
    </w:p>
    <w:p>
      <w:pPr>
        <w:sectPr>
          <w:headerReference w:type="default" r:id="rId32"/>
          <w:headerReference w:type="first" r:id="rId33"/>
          <w:footerReference w:type="default" r:id="rId34"/>
          <w:footerReference w:type="first" r:id="rId35"/>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Style w:val="Style24"/>
        <w:rPr/>
      </w:pPr>
      <w:r>
        <w:rPr/>
        <w:t>Заявки участников (из числа успешно прошедших отборочную стадию рассмотрения вторых частей заявок и ценовых предложений) ранжируются по количеству набранных баллов (от наибольшего к наименьшему), присвоенных заявкам по результатам оценки.</w:t>
      </w:r>
    </w:p>
    <w:p>
      <w:pPr>
        <w:pStyle w:val="Style22"/>
        <w:rPr/>
      </w:pPr>
      <w:bookmarkStart w:id="392" w:name="_Ref125360420"/>
      <w:bookmarkStart w:id="393" w:name="_Toc228877733"/>
      <w:bookmarkStart w:id="394" w:name="Прил09_ОбоснованиеНМЦ"/>
      <w:bookmarkEnd w:id="394"/>
      <w:r>
        <w:rPr/>
        <w:t>Приложение № 9 – Обоснование НМЦ</w:t>
      </w:r>
      <w:bookmarkEnd w:id="392"/>
      <w:bookmarkEnd w:id="393"/>
    </w:p>
    <w:p>
      <w:pPr>
        <w:pStyle w:val="Style23"/>
        <w:rPr/>
      </w:pPr>
      <w:bookmarkStart w:id="395" w:name="_Toc228877734"/>
      <w:r>
        <w:rPr/>
        <w:t>Пояснения к Обоснованию НМЦ</w:t>
      </w:r>
      <w:bookmarkEnd w:id="395"/>
    </w:p>
    <w:p>
      <w:pPr>
        <w:pStyle w:val="Style24"/>
        <w:rPr/>
      </w:pPr>
      <w:r>
        <w:rPr/>
        <w:t>Обоснование НМЦ приведено в отдельном файле (предоставляется отдельным документом в составе Документации о закупке), являющимся Приложением № 9 к Документации о закупке.</w:t>
      </w:r>
    </w:p>
    <w:p>
      <w:pPr>
        <w:pStyle w:val="Style22"/>
        <w:rPr/>
      </w:pPr>
      <w:bookmarkStart w:id="396" w:name="_Toc228877735"/>
      <w:bookmarkStart w:id="397" w:name="Прил10_ФормаЗаявкиНаАккредитацию"/>
      <w:bookmarkEnd w:id="397"/>
      <w:r>
        <w:rPr/>
        <w:t>Приложение № 10 – Форма Заявки на аккредитацию</w:t>
      </w:r>
      <w:bookmarkEnd w:id="396"/>
    </w:p>
    <w:p>
      <w:pPr>
        <w:pStyle w:val="Style23"/>
        <w:rPr/>
      </w:pPr>
      <w:bookmarkStart w:id="398" w:name="_Toc228877736"/>
      <w:r>
        <w:rPr/>
        <w:t>Пояснения к форме Заявки на аккредитацию</w:t>
      </w:r>
      <w:bookmarkEnd w:id="398"/>
    </w:p>
    <w:p>
      <w:pPr>
        <w:pStyle w:val="Style24"/>
        <w:rPr/>
      </w:pPr>
      <w:r>
        <w:rPr/>
        <w:t xml:space="preserve">Форма Заявки на аккредитацию приведена в отдельном файле (предоставляется отдельным документом в составе Документации о закупке), являющимся Приложением № 10 к Документации о закупке. </w:t>
      </w:r>
    </w:p>
    <w:p>
      <w:pPr>
        <w:pStyle w:val="Style24"/>
        <w:rPr/>
      </w:pPr>
      <w:r>
        <w:rPr/>
        <w:t xml:space="preserve">Заявка на аккредитацию предоставляется (в установленных Документацией о закупке случаях) Участником в составе своей заявки </w:t>
      </w:r>
      <w:bookmarkStart w:id="399" w:name="_Hlk207300788"/>
      <w:r>
        <w:rPr/>
        <w:t xml:space="preserve">только в электронном виде в формате </w:t>
      </w:r>
      <w:r>
        <w:rPr>
          <w:lang w:val="en-US"/>
        </w:rPr>
        <w:t>Microsoft</w:t>
      </w:r>
      <w:r>
        <w:rPr/>
        <w:t xml:space="preserve"> </w:t>
      </w:r>
      <w:r>
        <w:rPr>
          <w:lang w:val="en-US"/>
        </w:rPr>
        <w:t>Excel</w:t>
      </w:r>
      <w:r>
        <w:rPr/>
        <w:t xml:space="preserve"> (*.</w:t>
      </w:r>
      <w:r>
        <w:rPr>
          <w:lang w:val="en-US"/>
        </w:rPr>
        <w:t>xlsx</w:t>
      </w:r>
      <w:r>
        <w:rPr/>
        <w:t>))</w:t>
      </w:r>
      <w:bookmarkEnd w:id="399"/>
      <w:r>
        <w:rPr/>
        <w:t>.</w:t>
      </w:r>
    </w:p>
    <w:p>
      <w:pPr>
        <w:pStyle w:val="Style28"/>
        <w:jc w:val="center"/>
        <w:rPr/>
      </w:pPr>
      <w:r>
        <w:rPr/>
        <w:object>
          <v:shapetype id="_x0000_tole_rId36" coordsize="21600,21600" o:spt="ole_rId36"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36" type="_x0000_tole_rId36" style="width:75.65pt;height:52.05pt;mso-wrap-distance-right:0pt" filled="f" o:ole="">
            <v:imagedata r:id="rId37" o:title=""/>
          </v:shape>
          <o:OLEObject Type="Embed" ProgID="Excel.Sheet.12" ShapeID="ole_rId36" DrawAspect="Icon" ObjectID="_895166480" r:id="rId36"/>
        </w:object>
      </w:r>
    </w:p>
    <w:p>
      <w:pPr>
        <w:pStyle w:val="Style22"/>
        <w:rPr/>
      </w:pPr>
      <w:bookmarkStart w:id="400" w:name="_Toc228877737"/>
      <w:bookmarkStart w:id="401" w:name="Прил11_Данные_бухотчетность"/>
      <w:r>
        <w:rPr/>
        <w:t xml:space="preserve">Приложение № 11 </w:t>
      </w:r>
      <w:bookmarkEnd w:id="401"/>
      <w:r>
        <w:rPr/>
        <w:t>– форма Данных бухгалтерской (финансовой) отчетности</w:t>
      </w:r>
      <w:bookmarkEnd w:id="400"/>
    </w:p>
    <w:p>
      <w:pPr>
        <w:pStyle w:val="Style23"/>
        <w:rPr/>
      </w:pPr>
      <w:bookmarkStart w:id="402" w:name="_Toc228877738"/>
      <w:r>
        <w:rPr/>
        <w:t>Пояснения к форме Данных бухгалтерской (финансовой) отчетности</w:t>
      </w:r>
      <w:bookmarkEnd w:id="402"/>
      <w:r>
        <w:rPr/>
        <w:t xml:space="preserve"> </w:t>
      </w:r>
    </w:p>
    <w:p>
      <w:pPr>
        <w:pStyle w:val="Style24"/>
        <w:rPr/>
      </w:pPr>
      <w:r>
        <w:rPr/>
        <w:t>Форма Данных бухгалтерской (финансовой) отчетности приведена в отдельном файле (предоставляется отдельным документом в составе Документации о закупке), являющимся Приложением № 11 к Документации о закупке.</w:t>
      </w:r>
    </w:p>
    <w:p>
      <w:pPr>
        <w:pStyle w:val="Normal"/>
        <w:rPr/>
      </w:pPr>
      <w:r>
        <w:rPr/>
      </w:r>
      <w:bookmarkStart w:id="403" w:name="_MON_1821256687"/>
      <w:bookmarkStart w:id="404" w:name="_MON_1821256687"/>
      <w:bookmarkEnd w:id="404"/>
    </w:p>
    <w:p>
      <w:pPr>
        <w:pStyle w:val="Normal"/>
        <w:jc w:val="center"/>
        <w:rPr/>
      </w:pPr>
      <w:bookmarkStart w:id="405" w:name="_Hlk210644436"/>
      <w:bookmarkStart w:id="406" w:name="_MON_1821256687_Копия_1"/>
      <w:bookmarkEnd w:id="406"/>
      <w:r>
        <w:rPr/>
        <w:object>
          <v:shapetype id="_x0000_tole_rId38" coordsize="21600,21600" o:spt="ole_rId38"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38" type="_x0000_tole_rId38" style="width:76.85pt;height:50.2pt;mso-wrap-distance-right:0pt" filled="f" o:ole="">
            <v:imagedata r:id="rId39" o:title=""/>
          </v:shape>
          <o:OLEObject Type="Embed" ProgID="Word.Document.12" ShapeID="ole_rId38" DrawAspect="Icon" ObjectID="_647512275" r:id="rId38"/>
        </w:object>
      </w:r>
      <w:bookmarkEnd w:id="405"/>
    </w:p>
    <w:p>
      <w:pPr>
        <w:pStyle w:val="Normal"/>
        <w:jc w:val="center"/>
        <w:rPr/>
      </w:pPr>
      <w:r>
        <w:rPr/>
      </w:r>
    </w:p>
    <w:sectPr>
      <w:headerReference w:type="default" r:id="rId40"/>
      <w:headerReference w:type="first" r:id="rId41"/>
      <w:footerReference w:type="default" r:id="rId42"/>
      <w:footerReference w:type="first" r:id="rId43"/>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libri Light">
    <w:charset w:val="01"/>
    <w:family w:val="roman"/>
    <w:pitch w:val="variable"/>
  </w:font>
  <w:font w:name="Segoe UI">
    <w:charset w:val="01"/>
    <w:family w:val="roman"/>
    <w:pitch w:val="variable"/>
  </w:font>
  <w:font w:name="Liberation Sans">
    <w:altName w:val="Arial"/>
    <w:charset w:val="01"/>
    <w:family w:val="roman"/>
    <w:pitch w:val="variable"/>
  </w:font>
  <w:font w:name="Calibri">
    <w:charset w:val="01"/>
    <w:family w:val="roman"/>
    <w:pitch w:val="variable"/>
  </w:font>
  <w:font w:name="Wingdings 3">
    <w:charset w:val="02"/>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401285264"/>
    </w:sdtPr>
    <w:sdtContent>
      <w:p>
        <w:pPr>
          <w:pStyle w:val="Footer"/>
          <w:spacing w:before="120" w:after="0"/>
          <w:rPr/>
        </w:pPr>
        <w:r>
          <w:rPr/>
          <w:fldChar w:fldCharType="begin"/>
        </w:r>
        <w:r>
          <w:rPr/>
          <w:instrText xml:space="preserve"> PAGE </w:instrText>
        </w:r>
        <w:r>
          <w:rPr/>
          <w:fldChar w:fldCharType="separate"/>
        </w:r>
        <w:r>
          <w:rPr/>
          <w:t>21</w:t>
        </w:r>
        <w:r>
          <w:rPr/>
          <w:fldChar w:fldCharType="end"/>
        </w:r>
      </w:p>
    </w:sdtContent>
  </w:sdt>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502526979"/>
    </w:sdtPr>
    <w:sdtContent>
      <w:p>
        <w:pPr>
          <w:pStyle w:val="Footer"/>
          <w:spacing w:before="120" w:after="0"/>
          <w:rPr/>
        </w:pPr>
        <w:r>
          <w:rPr/>
          <w:fldChar w:fldCharType="begin"/>
        </w:r>
        <w:r>
          <w:rPr/>
          <w:instrText xml:space="preserve"> PAGE </w:instrText>
        </w:r>
        <w:r>
          <w:rPr/>
          <w:fldChar w:fldCharType="separate"/>
        </w:r>
        <w:r>
          <w:rPr/>
          <w:t>76</w:t>
        </w:r>
        <w:r>
          <w:rPr/>
          <w:fldChar w:fldCharType="end"/>
        </w:r>
      </w:p>
    </w:sdtContent>
  </w:sdt>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418431324"/>
    </w:sdtPr>
    <w:sdtContent>
      <w:p>
        <w:pPr>
          <w:pStyle w:val="Footer"/>
          <w:spacing w:before="120" w:after="0"/>
          <w:rPr/>
        </w:pPr>
        <w:r>
          <w:rPr/>
          <w:fldChar w:fldCharType="begin"/>
        </w:r>
        <w:r>
          <w:rPr/>
          <w:instrText xml:space="preserve"> PAGE </w:instrText>
        </w:r>
        <w:r>
          <w:rPr/>
          <w:fldChar w:fldCharType="separate"/>
        </w:r>
        <w:r>
          <w:rPr/>
          <w:t>79</w:t>
        </w:r>
        <w:r>
          <w:rPr/>
          <w:fldChar w:fldCharType="end"/>
        </w:r>
      </w:p>
    </w:sdtContent>
  </w:sdt>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537276556"/>
    </w:sdtPr>
    <w:sdtContent>
      <w:p>
        <w:pPr>
          <w:pStyle w:val="Footer"/>
          <w:spacing w:before="120" w:after="0"/>
          <w:rPr/>
        </w:pPr>
        <w:r>
          <w:rPr/>
          <w:fldChar w:fldCharType="begin"/>
        </w:r>
        <w:r>
          <w:rPr/>
          <w:instrText xml:space="preserve"> PAGE </w:instrText>
        </w:r>
        <w:r>
          <w:rPr/>
          <w:fldChar w:fldCharType="separate"/>
        </w:r>
        <w:r>
          <w:rPr/>
          <w:t>23</w:t>
        </w:r>
        <w:r>
          <w:rPr/>
          <w:fldChar w:fldCharType="end"/>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308588435"/>
    </w:sdtPr>
    <w:sdtContent>
      <w:p>
        <w:pPr>
          <w:pStyle w:val="Footer"/>
          <w:spacing w:before="120" w:after="0"/>
          <w:rPr/>
        </w:pPr>
        <w:r>
          <w:rPr/>
          <w:fldChar w:fldCharType="begin"/>
        </w:r>
        <w:r>
          <w:rPr/>
          <w:instrText xml:space="preserve"> PAGE </w:instrText>
        </w:r>
        <w:r>
          <w:rPr/>
          <w:fldChar w:fldCharType="separate"/>
        </w:r>
        <w:r>
          <w:rPr/>
          <w:t>51</w:t>
        </w:r>
        <w:r>
          <w:rPr/>
          <w:fldChar w:fldCharType="end"/>
        </w:r>
      </w:p>
    </w:sdtContent>
  </w:sdt>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296464076"/>
    </w:sdtPr>
    <w:sdtContent>
      <w:p>
        <w:pPr>
          <w:pStyle w:val="Footer"/>
          <w:spacing w:before="120" w:after="0"/>
          <w:rPr/>
        </w:pPr>
        <w:r>
          <w:rPr/>
          <w:fldChar w:fldCharType="begin"/>
        </w:r>
        <w:r>
          <w:rPr/>
          <w:instrText xml:space="preserve"> PAGE </w:instrText>
        </w:r>
        <w:r>
          <w:rPr/>
          <w:fldChar w:fldCharType="separate"/>
        </w:r>
        <w:r>
          <w:rPr/>
          <w:t>56</w:t>
        </w:r>
        <w:r>
          <w:rPr/>
          <w:fldChar w:fldCharType="end"/>
        </w:r>
      </w:p>
    </w:sdtContent>
  </w:sdt>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007608781"/>
    </w:sdtPr>
    <w:sdtContent>
      <w:p>
        <w:pPr>
          <w:pStyle w:val="Footer"/>
          <w:spacing w:before="120" w:after="0"/>
          <w:rPr/>
        </w:pPr>
        <w:r>
          <w:rPr/>
          <w:fldChar w:fldCharType="begin"/>
        </w:r>
        <w:r>
          <w:rPr/>
          <w:instrText xml:space="preserve"> PAGE </w:instrText>
        </w:r>
        <w:r>
          <w:rPr/>
          <w:fldChar w:fldCharType="separate"/>
        </w:r>
        <w:r>
          <w:rPr/>
          <w:t>62</w:t>
        </w:r>
        <w:r>
          <w:rPr/>
          <w:fldChar w:fldCharType="end"/>
        </w:r>
      </w:p>
    </w:sdtContent>
  </w:sdt>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Style30"/>
        <w:spacing w:before="80" w:after="0"/>
        <w:ind w:left="567" w:hanging="567"/>
        <w:jc w:val="both"/>
        <w:rPr/>
      </w:pPr>
      <w:r>
        <w:rPr>
          <w:rStyle w:val="Style10"/>
        </w:rPr>
        <w:footnoteRef/>
      </w:r>
      <w:r>
        <w:rPr/>
        <w:tab/>
        <w:t>Определенные в соответствии с Законом 422-ФЗ.</w:t>
      </w:r>
    </w:p>
  </w:footnote>
  <w:footnote w:id="3">
    <w:p>
      <w:pPr>
        <w:pStyle w:val="Style30"/>
        <w:spacing w:before="80" w:after="0"/>
        <w:ind w:left="567" w:hanging="567"/>
        <w:jc w:val="both"/>
        <w:rPr/>
      </w:pPr>
      <w:r>
        <w:rPr>
          <w:rStyle w:val="Style10"/>
        </w:rPr>
        <w:footnoteRef/>
      </w:r>
      <w:r>
        <w:rPr/>
        <w:tab/>
        <w:t>При этом отклонение заявки за отсутствие в ней документов, требующихся исключительно для целей оценки и сопоставления заявок (подраздел </w:t>
      </w:r>
      <w:r>
        <w:rPr/>
        <w:fldChar w:fldCharType="begin"/>
      </w:r>
      <w:r>
        <w:rPr/>
        <w:instrText xml:space="preserve"> REF _Ref125362626 \w \h </w:instrText>
      </w:r>
      <w:r>
        <w:rPr/>
        <w:fldChar w:fldCharType="separate"/>
      </w:r>
      <w:r>
        <w:rPr/>
        <w:t>4.13</w:t>
      </w:r>
      <w:r>
        <w:rPr/>
        <w:fldChar w:fldCharType="end"/>
      </w:r>
      <w:r>
        <w:rPr/>
        <w:t>), не допускается.</w:t>
      </w:r>
    </w:p>
  </w:footnote>
  <w:footnote w:id="4">
    <w:p>
      <w:pPr>
        <w:pStyle w:val="Style30"/>
        <w:spacing w:before="80" w:after="0"/>
        <w:ind w:left="567" w:hanging="567"/>
        <w:jc w:val="both"/>
        <w:rPr/>
      </w:pPr>
      <w:r>
        <w:rPr>
          <w:rStyle w:val="Style10"/>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w:t>
      </w:r>
    </w:p>
  </w:footnote>
  <w:footnote w:id="5">
    <w:p>
      <w:pPr>
        <w:pStyle w:val="Style30"/>
        <w:spacing w:before="80" w:after="0"/>
        <w:ind w:left="567" w:hanging="567"/>
        <w:jc w:val="both"/>
        <w:rPr/>
      </w:pPr>
      <w:r>
        <w:rPr>
          <w:rStyle w:val="Style10"/>
        </w:rPr>
        <w:footnoteRef/>
      </w:r>
      <w:r>
        <w:rPr/>
        <w:tab/>
        <w:t>При этом отклонение заявки за отсутствие в ней документов, требующихся исключительно для целей оценки и сопоставления заявок (подраздел </w:t>
      </w:r>
      <w:r>
        <w:rPr/>
        <w:fldChar w:fldCharType="begin"/>
      </w:r>
      <w:r>
        <w:rPr/>
        <w:instrText xml:space="preserve"> REF _Ref125362626 \w \h </w:instrText>
      </w:r>
      <w:r>
        <w:rPr/>
        <w:fldChar w:fldCharType="separate"/>
      </w:r>
      <w:r>
        <w:rPr/>
        <w:t>4.13</w:t>
      </w:r>
      <w:r>
        <w:rPr/>
        <w:fldChar w:fldCharType="end"/>
      </w:r>
      <w:r>
        <w:rPr/>
        <w:t>), не допускается.</w:t>
      </w:r>
    </w:p>
  </w:footnote>
  <w:footnote w:id="6">
    <w:p>
      <w:pPr>
        <w:pStyle w:val="Style30"/>
        <w:spacing w:before="80" w:after="0"/>
        <w:ind w:left="567" w:hanging="567"/>
        <w:jc w:val="both"/>
        <w:rPr/>
      </w:pPr>
      <w:r>
        <w:rPr>
          <w:rStyle w:val="Style10"/>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w:t>
      </w:r>
    </w:p>
  </w:footnote>
  <w:footnote w:id="7">
    <w:p>
      <w:pPr>
        <w:pStyle w:val="FootnoteText"/>
        <w:ind w:left="567" w:hanging="567"/>
        <w:jc w:val="both"/>
        <w:rPr>
          <w:sz w:val="22"/>
        </w:rPr>
      </w:pPr>
      <w:r>
        <w:rPr>
          <w:rStyle w:val="Style10"/>
        </w:rPr>
        <w:footnoteRef/>
      </w:r>
      <w:r>
        <w:rPr>
          <w:sz w:val="22"/>
        </w:rPr>
        <w:tab/>
        <w:t>В отношении предоставляемой Участником (в целях обеспечения проведения оценки его финансового состояния (устойчивости) в соответствии с Положением об аккредитации) бухгалтерской (финансовой) отчетности самостоятельные исправления арифметических ошибок не допускается (все изменения в отчетность должны вноситься в установленном законодательством порядке).</w:t>
      </w:r>
    </w:p>
  </w:footnote>
  <w:footnote w:id="8">
    <w:p>
      <w:pPr>
        <w:pStyle w:val="Style30"/>
        <w:spacing w:before="80" w:after="0"/>
        <w:ind w:left="567" w:hanging="567"/>
        <w:jc w:val="both"/>
        <w:rPr/>
      </w:pPr>
      <w:r>
        <w:rPr>
          <w:rStyle w:val="Style10"/>
        </w:rPr>
        <w:footnoteRef/>
      </w:r>
      <w:r>
        <w:rPr/>
        <w:tab/>
        <w:t>Увеличение на 15% (пятнадцать процентов) итоговой стоимости заявки (цены Договора) в случае подачи им предложения о размере платы, подлежащей внесению за заключение Договора.</w:t>
      </w:r>
    </w:p>
  </w:footnote>
  <w:footnote w:id="9">
    <w:p>
      <w:pPr>
        <w:pStyle w:val="Style30"/>
        <w:spacing w:before="80" w:after="0"/>
        <w:ind w:left="567" w:hanging="567"/>
        <w:jc w:val="both"/>
        <w:rPr/>
      </w:pPr>
      <w:r>
        <w:rPr>
          <w:rStyle w:val="Style10"/>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 и Победителя.</w:t>
      </w:r>
    </w:p>
  </w:footnote>
  <w:footnote w:id="10">
    <w:p>
      <w:pPr>
        <w:pStyle w:val="Style30"/>
        <w:spacing w:before="80" w:after="0"/>
        <w:ind w:left="567" w:hanging="567"/>
        <w:jc w:val="both"/>
        <w:rPr/>
      </w:pPr>
      <w:r>
        <w:rPr>
          <w:rStyle w:val="Style10"/>
        </w:rPr>
        <w:footnoteRef/>
      </w:r>
      <w:r>
        <w:rPr/>
        <w:tab/>
        <w:t>https://minfin.gov.ru/ru/perfomance/tax_relations/policy/bankwarranty/</w:t>
      </w:r>
    </w:p>
  </w:footnote>
  <w:footnote w:id="11">
    <w:p>
      <w:pPr>
        <w:pStyle w:val="Style30"/>
        <w:spacing w:before="80" w:after="0"/>
        <w:ind w:left="567" w:hanging="567"/>
        <w:jc w:val="both"/>
        <w:rPr/>
      </w:pPr>
      <w:r>
        <w:rPr>
          <w:rStyle w:val="Style10"/>
        </w:rPr>
        <w:footnoteRef/>
      </w:r>
      <w:r>
        <w:rPr/>
        <w:tab/>
        <w:t>Во исполнение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footnote>
  <w:footnote w:id="12">
    <w:p>
      <w:pPr>
        <w:pStyle w:val="Style30"/>
        <w:spacing w:before="80" w:after="0"/>
        <w:ind w:left="567" w:hanging="567"/>
        <w:jc w:val="both"/>
        <w:rPr/>
      </w:pPr>
      <w:r>
        <w:rPr>
          <w:rStyle w:val="Style10"/>
        </w:rPr>
        <w:footnoteRef/>
      </w:r>
      <w:r>
        <w:rPr/>
        <w:tab/>
        <w:t>Перед заключением договора Заказчик дополнительно проводит проверку Победителя (данная норма применима также в отношении Единственного участника несостоявшейся закупки, с которым принято решение о заключении договора) на основании документов, предоставляемых в соответствии с подразделом </w:t>
      </w:r>
      <w:r>
        <w:rPr/>
        <w:fldChar w:fldCharType="begin"/>
      </w:r>
      <w:r>
        <w:rPr/>
        <w:instrText xml:space="preserve"> REF _Ref138341423 \r \h </w:instrText>
      </w:r>
      <w:r>
        <w:rPr/>
        <w:fldChar w:fldCharType="separate"/>
      </w:r>
      <w:r>
        <w:rPr/>
        <w:t>5.2</w:t>
      </w:r>
      <w:r>
        <w:rPr/>
        <w:fldChar w:fldCharType="end"/>
      </w:r>
      <w:r>
        <w:rPr/>
        <w:t>. Если по результатам такой проверки Участник не отвечает установленным требованиям,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p>
  </w:footnote>
  <w:footnote w:id="13">
    <w:p>
      <w:pPr>
        <w:pStyle w:val="Style30"/>
        <w:widowControl w:val="false"/>
        <w:spacing w:before="80" w:after="0"/>
        <w:rPr/>
      </w:pPr>
      <w:r>
        <w:rPr>
          <w:rStyle w:val="Style10"/>
        </w:rPr>
        <w:footnoteRef/>
      </w:r>
      <w:r>
        <w:rPr/>
        <w:tab/>
        <w:t>В Положении об аккредитации используется термин Заявитель.</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Style22"/>
      <w:numFmt w:val="decimal"/>
      <w:lvlText w:val="%1."/>
      <w:lvlJc w:val="left"/>
      <w:pPr>
        <w:tabs>
          <w:tab w:val="num" w:pos="1134"/>
        </w:tabs>
        <w:ind w:left="1134" w:hanging="1134"/>
      </w:pPr>
      <w:rPr/>
    </w:lvl>
    <w:lvl w:ilvl="1">
      <w:start w:val="1"/>
      <w:pStyle w:val="Style23"/>
      <w:numFmt w:val="decimal"/>
      <w:lvlText w:val="%1.%2"/>
      <w:lvlJc w:val="left"/>
      <w:pPr>
        <w:tabs>
          <w:tab w:val="num" w:pos="1134"/>
        </w:tabs>
        <w:ind w:left="1134" w:hanging="1134"/>
      </w:pPr>
      <w:rPr/>
    </w:lvl>
    <w:lvl w:ilvl="2">
      <w:start w:val="1"/>
      <w:pStyle w:val="Style24"/>
      <w:numFmt w:val="decimal"/>
      <w:lvlText w:val="%1.%2.%3"/>
      <w:lvlJc w:val="left"/>
      <w:pPr>
        <w:tabs>
          <w:tab w:val="num" w:pos="1134"/>
        </w:tabs>
        <w:ind w:left="1134" w:hanging="1134"/>
      </w:pPr>
      <w:rPr/>
    </w:lvl>
    <w:lvl w:ilvl="3">
      <w:start w:val="1"/>
      <w:pStyle w:val="Style25"/>
      <w:numFmt w:val="russianLower"/>
      <w:lvlText w:val="%4)"/>
      <w:lvlJc w:val="left"/>
      <w:pPr>
        <w:tabs>
          <w:tab w:val="num" w:pos="1701"/>
        </w:tabs>
        <w:ind w:left="1701" w:hanging="567"/>
      </w:pPr>
      <w:rPr/>
    </w:lvl>
    <w:lvl w:ilvl="4">
      <w:start w:val="1"/>
      <w:pStyle w:val="Style26"/>
      <w:numFmt w:val="bullet"/>
      <w:lvlText w:val=""/>
      <w:lvlJc w:val="left"/>
      <w:pPr>
        <w:tabs>
          <w:tab w:val="num" w:pos="2268"/>
        </w:tabs>
        <w:ind w:left="2268" w:hanging="567"/>
      </w:pPr>
      <w:rPr>
        <w:rFonts w:ascii="Symbol" w:hAnsi="Symbol" w:cs="Symbol" w:hint="default"/>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decimal"/>
      <w:lvlText w:val="%1."/>
      <w:lvlJc w:val="left"/>
      <w:pPr>
        <w:tabs>
          <w:tab w:val="num" w:pos="1134"/>
        </w:tabs>
        <w:ind w:left="1134" w:hanging="1134"/>
      </w:pPr>
      <w:rPr/>
    </w:lvl>
    <w:lvl w:ilvl="1">
      <w:start w:val="1"/>
      <w:numFmt w:val="decimal"/>
      <w:lvlText w:val="%1.%2"/>
      <w:lvlJc w:val="left"/>
      <w:pPr>
        <w:tabs>
          <w:tab w:val="num" w:pos="2694"/>
        </w:tabs>
        <w:ind w:left="2694" w:hanging="1134"/>
      </w:pPr>
      <w:rPr>
        <w:sz w:val="28"/>
        <w:i w:val="false"/>
        <w:b/>
        <w:szCs w:val="28"/>
      </w:rPr>
    </w:lvl>
    <w:lvl w:ilvl="2">
      <w:start w:val="1"/>
      <w:numFmt w:val="decimal"/>
      <w:lvlText w:val="%1.%2.%3"/>
      <w:lvlJc w:val="left"/>
      <w:pPr>
        <w:tabs>
          <w:tab w:val="num" w:pos="1134"/>
        </w:tabs>
        <w:ind w:left="1134" w:hanging="1134"/>
      </w:pPr>
      <w:rPr>
        <w:sz w:val="26"/>
        <w:i w:val="false"/>
        <w:b w:val="false"/>
        <w:szCs w:val="26"/>
      </w:rPr>
    </w:lvl>
    <w:lvl w:ilvl="3">
      <w:start w:val="1"/>
      <w:numFmt w:val="decimal"/>
      <w:lvlText w:val="%1.%2.%3.%4"/>
      <w:lvlJc w:val="left"/>
      <w:pPr>
        <w:tabs>
          <w:tab w:val="num" w:pos="1134"/>
        </w:tabs>
        <w:ind w:left="1134" w:hanging="1134"/>
      </w:pPr>
      <w:rPr>
        <w:sz w:val="26"/>
        <w:i w:val="false"/>
        <w:b w:val="false"/>
        <w:szCs w:val="26"/>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0">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2">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3">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1"/>
      <w:numFmt w:val="decimal"/>
      <w:lvlText w:val="%1."/>
      <w:lvlJc w:val="left"/>
      <w:pPr>
        <w:tabs>
          <w:tab w:val="num" w:pos="851"/>
        </w:tabs>
        <w:ind w:left="0" w:hanging="0"/>
      </w:pPr>
      <w:rPr/>
    </w:lvl>
    <w:lvl w:ilvl="1">
      <w:start w:val="1"/>
      <w:numFmt w:val="decimal"/>
      <w:lvlText w:val="%1.%2."/>
      <w:lvlJc w:val="left"/>
      <w:pPr>
        <w:tabs>
          <w:tab w:val="num" w:pos="0"/>
        </w:tabs>
        <w:ind w:left="1418" w:hanging="1418"/>
      </w:pPr>
      <w:rPr>
        <w:smallCaps w:val="false"/>
        <w:caps w:val="false"/>
        <w:dstrike w:val="false"/>
        <w:strike w:val="false"/>
        <w:vertAlign w:val="baseline"/>
        <w:position w:val="0"/>
        <w:sz w:val="28"/>
        <w:sz w:val="28"/>
        <w:spacing w:val="0"/>
        <w:i w:val="false"/>
        <w:u w:val="none"/>
        <w:b/>
        <w:kern w:val="0"/>
        <w:effect w:val="none"/>
        <w:szCs w:val="28"/>
        <w:iCs w:val="false"/>
        <w:bCs/>
        <w:em w:val="none"/>
        <w:vanish w:val="false"/>
        <w:rFonts w:ascii="Times New Roman" w:hAnsi="Times New Roman" w:cs="Times New Roman"/>
        <w:color w:val="000000"/>
        <w:lang w:bidi="x-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418" w:hanging="1418"/>
      </w:pPr>
      <w:rPr>
        <w:sz w:val="28"/>
        <w:b w:val="false"/>
        <w:szCs w:val="28"/>
        <w:bCs/>
      </w:rPr>
    </w:lvl>
    <w:lvl w:ilvl="3">
      <w:start w:val="1"/>
      <w:numFmt w:val="decimal"/>
      <w:lvlText w:val="%1.%2.%3.%4."/>
      <w:lvlJc w:val="left"/>
      <w:pPr>
        <w:tabs>
          <w:tab w:val="num" w:pos="1701"/>
        </w:tabs>
        <w:ind w:left="1418" w:hanging="1418"/>
      </w:pPr>
      <w:rPr>
        <w:smallCaps w:val="false"/>
        <w:caps w:val="false"/>
        <w:dstrike w:val="false"/>
        <w:strike w:val="false"/>
        <w:vertAlign w:val="baseline"/>
        <w:position w:val="0"/>
        <w:sz w:val="28"/>
        <w:sz w:val="28"/>
        <w:spacing w:val="0"/>
        <w:i w:val="false"/>
        <w:u w:val="none"/>
        <w:b w:val="false"/>
        <w:kern w:val="0"/>
        <w:effect w:val="none"/>
        <w:szCs w:val="28"/>
        <w:iCs w:val="false"/>
        <w:bCs/>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4">
      <w:start w:val="1"/>
      <w:numFmt w:val="russianLower"/>
      <w:lvlText w:val="%5)"/>
      <w:lvlJc w:val="left"/>
      <w:pPr>
        <w:tabs>
          <w:tab w:val="num" w:pos="1985"/>
        </w:tabs>
        <w:ind w:left="1985" w:hanging="567"/>
      </w:pPr>
      <w:rPr>
        <w:smallCaps w:val="false"/>
        <w:caps w:val="false"/>
        <w:outline w:val="false"/>
        <w:dstrike w:val="false"/>
        <w:strike w:val="false"/>
        <w:vertAlign w:val="baseline"/>
        <w:position w:val="0"/>
        <w:sz w:val="26"/>
        <w:sz w:val="26"/>
        <w:spacing w:val="0"/>
        <w:i w:val="false"/>
        <w:shadow w:val="false"/>
        <w:u w:val="none"/>
        <w:b w:val="false"/>
        <w:kern w:val="0"/>
        <w:effect w:val="none"/>
        <w:iCs w:val="false"/>
        <w:bCs w:val="false"/>
        <w:em w:val="none"/>
        <w:emboss w:val="false"/>
        <w:imprint w:val="false"/>
        <w:vanish w:val="false"/>
        <w:rFonts w:ascii="Times New Roman" w:hAnsi="Times New Roman" w:cs="Times New Roman"/>
        <w14:cntxtAlts>
          <w14:cntxtAlts/>
        </w14:cntxtAlts>
        <w14:glow w14:rad="0">
          <w14:srgbClr w14:val="000000"/>
        </w14:glow>
        <w14:ligatures w14:val="none"/>
        <w14:numForm w14:val="default"/>
        <w14:numSpacing w14:val="default"/>
        <w14:props3d w14:extrusionH="0" w14:contourW="0" w14:prstMaterial="none"/>
        <w14:reflection w14:blurRad="0" w14:stA="0" w14:stPos="0" w14:endA="0" w14:endPos="0" w14:dist="0" w14:dir="0" w14:fadeDir="0" w14:sx="0" w14:sy="0" w14:kx="0" w14:ky="0" w14:algn="none"/>
        <w14:scene3d>
          <w14:camera w14:prst="orthographicFront"/>
          <w14:lightRig w14:rig="threePt" w14:dir="t">
            <w14:rot w14:lat="0" w14:lon="0" w14:rev="0"/>
          </w14:lightRig>
        </w14:scene3d>
        <w14:shadow w14:blurRad="0" w14:dist="0" w14:dir="0" w14:sx="0" w14:sy="0" w14:kx="0" w14:ky="0" w14:algn="none">
          <w14:srgbClr w14:val="000000"/>
        </w14:shadow>
        <w14:stylisticSets/>
        <w14:textOutline w14:w="0" w14:cap="rnd" w14:cmpd="sng" w14:algn="ctr">
          <w14:noFill/>
          <w14:prstDash w14:val="solid"/>
          <w14:bevel/>
        </w14:textOutline>
      </w:rPr>
    </w:lvl>
    <w:lvl w:ilvl="5">
      <w:start w:val="1"/>
      <w:numFmt w:val="bullet"/>
      <w:lvlText w:val=""/>
      <w:lvlJc w:val="left"/>
      <w:pPr>
        <w:tabs>
          <w:tab w:val="num" w:pos="1985"/>
        </w:tabs>
        <w:ind w:left="1985" w:hanging="567"/>
      </w:pPr>
      <w:rPr>
        <w:rFonts w:ascii="Symbol" w:hAnsi="Symbol" w:cs="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6">
    <w:lvl w:ilvl="0">
      <w:start w:val="1"/>
      <w:numFmt w:val="decimal"/>
      <w:lvlText w:val="%1)"/>
      <w:lvlJc w:val="left"/>
      <w:pPr>
        <w:tabs>
          <w:tab w:val="num" w:pos="0"/>
        </w:tabs>
        <w:ind w:left="2705" w:hanging="360"/>
      </w:pPr>
      <w:rPr/>
    </w:lvl>
    <w:lvl w:ilvl="1">
      <w:start w:val="1"/>
      <w:numFmt w:val="lowerLetter"/>
      <w:lvlText w:val="%2."/>
      <w:lvlJc w:val="left"/>
      <w:pPr>
        <w:tabs>
          <w:tab w:val="num" w:pos="0"/>
        </w:tabs>
        <w:ind w:left="3425" w:hanging="360"/>
      </w:pPr>
      <w:rPr/>
    </w:lvl>
    <w:lvl w:ilvl="2">
      <w:start w:val="1"/>
      <w:numFmt w:val="lowerRoman"/>
      <w:lvlText w:val="%3."/>
      <w:lvlJc w:val="right"/>
      <w:pPr>
        <w:tabs>
          <w:tab w:val="num" w:pos="0"/>
        </w:tabs>
        <w:ind w:left="4145" w:hanging="180"/>
      </w:pPr>
      <w:rPr/>
    </w:lvl>
    <w:lvl w:ilvl="3">
      <w:start w:val="1"/>
      <w:numFmt w:val="decimal"/>
      <w:lvlText w:val="%4."/>
      <w:lvlJc w:val="left"/>
      <w:pPr>
        <w:tabs>
          <w:tab w:val="num" w:pos="0"/>
        </w:tabs>
        <w:ind w:left="4865" w:hanging="360"/>
      </w:pPr>
      <w:rPr/>
    </w:lvl>
    <w:lvl w:ilvl="4">
      <w:start w:val="1"/>
      <w:numFmt w:val="lowerLetter"/>
      <w:lvlText w:val="%5."/>
      <w:lvlJc w:val="left"/>
      <w:pPr>
        <w:tabs>
          <w:tab w:val="num" w:pos="0"/>
        </w:tabs>
        <w:ind w:left="5585" w:hanging="360"/>
      </w:pPr>
      <w:rPr/>
    </w:lvl>
    <w:lvl w:ilvl="5">
      <w:start w:val="1"/>
      <w:numFmt w:val="lowerRoman"/>
      <w:lvlText w:val="%6."/>
      <w:lvlJc w:val="right"/>
      <w:pPr>
        <w:tabs>
          <w:tab w:val="num" w:pos="0"/>
        </w:tabs>
        <w:ind w:left="6305" w:hanging="180"/>
      </w:pPr>
      <w:rPr/>
    </w:lvl>
    <w:lvl w:ilvl="6">
      <w:start w:val="1"/>
      <w:numFmt w:val="decimal"/>
      <w:lvlText w:val="%7."/>
      <w:lvlJc w:val="left"/>
      <w:pPr>
        <w:tabs>
          <w:tab w:val="num" w:pos="0"/>
        </w:tabs>
        <w:ind w:left="7025" w:hanging="360"/>
      </w:pPr>
      <w:rPr/>
    </w:lvl>
    <w:lvl w:ilvl="7">
      <w:start w:val="1"/>
      <w:numFmt w:val="lowerLetter"/>
      <w:lvlText w:val="%8."/>
      <w:lvlJc w:val="left"/>
      <w:pPr>
        <w:tabs>
          <w:tab w:val="num" w:pos="0"/>
        </w:tabs>
        <w:ind w:left="7745" w:hanging="360"/>
      </w:pPr>
      <w:rPr/>
    </w:lvl>
    <w:lvl w:ilvl="8">
      <w:start w:val="1"/>
      <w:numFmt w:val="lowerRoman"/>
      <w:lvlText w:val="%9."/>
      <w:lvlJc w:val="right"/>
      <w:pPr>
        <w:tabs>
          <w:tab w:val="num" w:pos="0"/>
        </w:tabs>
        <w:ind w:left="8465" w:hanging="180"/>
      </w:pPr>
      <w:rPr/>
    </w:lvl>
  </w:abstractNum>
  <w:abstractNum w:abstractNumId="17">
    <w:lvl w:ilvl="0">
      <w:start w:val="1"/>
      <w:numFmt w:val="bullet"/>
      <w:lvlText w:val=""/>
      <w:lvlJc w:val="left"/>
      <w:pPr>
        <w:tabs>
          <w:tab w:val="num" w:pos="0"/>
        </w:tabs>
        <w:ind w:left="2705" w:hanging="360"/>
      </w:pPr>
      <w:rPr>
        <w:rFonts w:ascii="Symbol" w:hAnsi="Symbol" w:cs="Symbol" w:hint="default"/>
      </w:rPr>
    </w:lvl>
    <w:lvl w:ilvl="1">
      <w:start w:val="1"/>
      <w:numFmt w:val="lowerLetter"/>
      <w:lvlText w:val="%2."/>
      <w:lvlJc w:val="left"/>
      <w:pPr>
        <w:tabs>
          <w:tab w:val="num" w:pos="0"/>
        </w:tabs>
        <w:ind w:left="3425" w:hanging="360"/>
      </w:pPr>
      <w:rPr/>
    </w:lvl>
    <w:lvl w:ilvl="2">
      <w:start w:val="1"/>
      <w:numFmt w:val="lowerRoman"/>
      <w:lvlText w:val="%3."/>
      <w:lvlJc w:val="right"/>
      <w:pPr>
        <w:tabs>
          <w:tab w:val="num" w:pos="0"/>
        </w:tabs>
        <w:ind w:left="4145" w:hanging="180"/>
      </w:pPr>
      <w:rPr/>
    </w:lvl>
    <w:lvl w:ilvl="3">
      <w:start w:val="1"/>
      <w:numFmt w:val="decimal"/>
      <w:lvlText w:val="%4."/>
      <w:lvlJc w:val="left"/>
      <w:pPr>
        <w:tabs>
          <w:tab w:val="num" w:pos="0"/>
        </w:tabs>
        <w:ind w:left="4865" w:hanging="360"/>
      </w:pPr>
      <w:rPr/>
    </w:lvl>
    <w:lvl w:ilvl="4">
      <w:start w:val="1"/>
      <w:numFmt w:val="lowerLetter"/>
      <w:lvlText w:val="%5."/>
      <w:lvlJc w:val="left"/>
      <w:pPr>
        <w:tabs>
          <w:tab w:val="num" w:pos="0"/>
        </w:tabs>
        <w:ind w:left="5585" w:hanging="360"/>
      </w:pPr>
      <w:rPr/>
    </w:lvl>
    <w:lvl w:ilvl="5">
      <w:start w:val="1"/>
      <w:numFmt w:val="lowerRoman"/>
      <w:lvlText w:val="%6."/>
      <w:lvlJc w:val="right"/>
      <w:pPr>
        <w:tabs>
          <w:tab w:val="num" w:pos="0"/>
        </w:tabs>
        <w:ind w:left="6305" w:hanging="180"/>
      </w:pPr>
      <w:rPr/>
    </w:lvl>
    <w:lvl w:ilvl="6">
      <w:start w:val="1"/>
      <w:numFmt w:val="decimal"/>
      <w:lvlText w:val="%7."/>
      <w:lvlJc w:val="left"/>
      <w:pPr>
        <w:tabs>
          <w:tab w:val="num" w:pos="0"/>
        </w:tabs>
        <w:ind w:left="7025" w:hanging="360"/>
      </w:pPr>
      <w:rPr/>
    </w:lvl>
    <w:lvl w:ilvl="7">
      <w:start w:val="1"/>
      <w:numFmt w:val="lowerLetter"/>
      <w:lvlText w:val="%8."/>
      <w:lvlJc w:val="left"/>
      <w:pPr>
        <w:tabs>
          <w:tab w:val="num" w:pos="0"/>
        </w:tabs>
        <w:ind w:left="7745" w:hanging="360"/>
      </w:pPr>
      <w:rPr/>
    </w:lvl>
    <w:lvl w:ilvl="8">
      <w:start w:val="1"/>
      <w:numFmt w:val="lowerRoman"/>
      <w:lvlText w:val="%9."/>
      <w:lvlJc w:val="right"/>
      <w:pPr>
        <w:tabs>
          <w:tab w:val="num" w:pos="0"/>
        </w:tabs>
        <w:ind w:left="8465"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w:zoom w:percent="14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 w:cstheme="minorBidi" w:eastAsiaTheme="minorHAnsi"/>
        <w:sz w:val="26"/>
        <w:szCs w:val="22"/>
        <w:lang w:val="ru-RU" w:eastAsia="en-US" w:bidi="ar-SA"/>
      </w:rPr>
    </w:rPrDefault>
    <w:pPrDefault>
      <w:pPr>
        <w:suppressAutoHyphens w:val="true"/>
      </w:pPr>
    </w:pPrDefault>
  </w:docDefaults>
  <w:latentStyles w:defLockedState="1" w:defUIPriority="99" w:defSemiHidden="0" w:defUnhideWhenUsed="0" w:defQFormat="0" w:count="376">
    <w:lsdException w:name="Normal" w:locked="0" w:uiPriority="0" w:qFormat="1"/>
    <w:lsdException w:name="heading 1" w:locked="0" w:uiPriority="0"/>
    <w:lsdException w:name="heading 2" w:locked="0" w:uiPriority="0" w:semiHidden="1" w:unhideWhenUsed="1"/>
    <w:lsdException w:name="heading 3" w:locked="0" w:uiPriority="0" w:semiHidden="1" w:unhideWhenUsed="1"/>
    <w:lsdException w:name="heading 4" w:locked="0" w:uiPriority="0" w:semiHidden="1" w:unhideWhenUsed="1" w:qFormat="1"/>
    <w:lsdException w:name="heading 5" w:locked="0" w:uiPriority="9" w:semiHidden="1" w:unhideWhenUsed="1" w:qFormat="1"/>
    <w:lsdException w:name="heading 6" w:locked="0" w:uiPriority="9" w:semiHidden="1" w:unhideWhenUsed="1" w:qFormat="1"/>
    <w:lsdException w:name="heading 7" w:locked="0" w:uiPriority="9" w:semiHidden="1" w:unhideWhenUsed="1" w:qFormat="1"/>
    <w:lsdException w:name="heading 8" w:locked="0" w:uiPriority="9" w:semiHidden="1" w:unhideWhenUsed="1" w:qFormat="1"/>
    <w:lsdException w:name="heading 9" w:locked="0" w:uiPriority="9" w:semiHidden="1"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uiPriority="39" w:semiHidden="1" w:unhideWhenUsed="1"/>
    <w:lsdException w:name="toc 2" w:locked="0" w:uiPriority="39" w:semiHidden="1" w:unhideWhenUsed="1"/>
    <w:lsdException w:name="toc 3" w:locked="0" w:uiPriority="39" w:semiHidden="1" w:unhideWhenUsed="1"/>
    <w:lsdException w:name="toc 4" w:locked="0" w:uiPriority="39" w:semiHidden="1" w:unhideWhenUsed="1"/>
    <w:lsdException w:name="toc 5" w:locked="0" w:uiPriority="39" w:semiHidden="1" w:unhideWhenUsed="1"/>
    <w:lsdException w:name="toc 6" w:locked="0" w:uiPriority="39" w:semiHidden="1" w:unhideWhenUsed="1"/>
    <w:lsdException w:name="toc 7" w:locked="0" w:uiPriority="39" w:semiHidden="1" w:unhideWhenUsed="1"/>
    <w:lsdException w:name="toc 8" w:locked="0" w:uiPriority="39" w:semiHidden="1" w:unhideWhenUsed="1"/>
    <w:lsdException w:name="toc 9" w:locked="0" w:uiPriority="39" w:semiHidden="1"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uiPriority="0" w:semiHidden="1" w:unhideWhenUsed="1"/>
    <w:lsdException w:name="index heading" w:locked="0" w:semiHidden="1" w:unhideWhenUsed="1"/>
    <w:lsdException w:name="caption" w:locked="0" w:uiPriority="35" w:semiHidden="1"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uiPriority="0" w:semiHidden="1" w:unhideWhenUsed="1"/>
    <w:lsdException w:name="annotation reference" w:locked="0" w:uiPriority="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uiPriority="1" w:semiHidden="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uiPriority="37" w:semiHidden="1" w:unhideWhenUsed="1"/>
    <w:lsdException w:name="TOC Heading" w:locked="0"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styleId="Normal" w:default="1">
    <w:name w:val="Normal"/>
    <w:qFormat/>
    <w:rsid w:val="00917933"/>
    <w:pPr>
      <w:widowControl/>
      <w:suppressAutoHyphens w:val="true"/>
      <w:bidi w:val="0"/>
      <w:spacing w:before="120" w:after="0"/>
      <w:jc w:val="left"/>
    </w:pPr>
    <w:rPr>
      <w:rFonts w:ascii="Times New Roman" w:hAnsi="Times New Roman" w:eastAsia="Calibri" w:cs="" w:cstheme="minorBidi" w:eastAsiaTheme="minorHAnsi"/>
      <w:color w:val="auto"/>
      <w:kern w:val="0"/>
      <w:sz w:val="26"/>
      <w:szCs w:val="22"/>
      <w:lang w:val="ru-RU" w:eastAsia="en-US" w:bidi="ar-SA"/>
    </w:rPr>
  </w:style>
  <w:style w:type="paragraph" w:styleId="Heading1">
    <w:name w:val="Heading 1"/>
    <w:basedOn w:val="Normal"/>
    <w:next w:val="Normal"/>
    <w:link w:val="1"/>
    <w:qFormat/>
    <w:rsid w:val="00565d50"/>
    <w:pPr>
      <w:keepNext w:val="true"/>
      <w:keepLines/>
      <w:pageBreakBefore/>
      <w:tabs>
        <w:tab w:val="clear" w:pos="708"/>
        <w:tab w:val="left" w:pos="1134" w:leader="none"/>
      </w:tabs>
      <w:suppressAutoHyphens w:val="true"/>
      <w:spacing w:before="480" w:after="240"/>
      <w:ind w:left="1134" w:hanging="1134"/>
      <w:outlineLvl w:val="0"/>
    </w:pPr>
    <w:rPr>
      <w:rFonts w:ascii="Arial" w:hAnsi="Arial" w:eastAsia="Times New Roman" w:cs="Times New Roman"/>
      <w:b/>
      <w:kern w:val="2"/>
      <w:sz w:val="40"/>
      <w:szCs w:val="26"/>
      <w:lang w:eastAsia="ru-RU"/>
    </w:rPr>
  </w:style>
  <w:style w:type="paragraph" w:styleId="Heading2">
    <w:name w:val="Heading 2"/>
    <w:basedOn w:val="Normal"/>
    <w:next w:val="Normal"/>
    <w:link w:val="21"/>
    <w:qFormat/>
    <w:rsid w:val="00565d50"/>
    <w:pPr>
      <w:keepNext w:val="true"/>
      <w:tabs>
        <w:tab w:val="clear" w:pos="708"/>
        <w:tab w:val="left" w:pos="2694" w:leader="none"/>
      </w:tabs>
      <w:suppressAutoHyphens w:val="true"/>
      <w:spacing w:before="360" w:after="120"/>
      <w:ind w:left="2694" w:hanging="1134"/>
      <w:outlineLvl w:val="1"/>
    </w:pPr>
    <w:rPr>
      <w:rFonts w:eastAsia="Times New Roman" w:cs="Times New Roman"/>
      <w:b/>
      <w:sz w:val="32"/>
      <w:szCs w:val="26"/>
      <w:lang w:eastAsia="ru-RU"/>
    </w:rPr>
  </w:style>
  <w:style w:type="paragraph" w:styleId="Heading3">
    <w:name w:val="Heading 3"/>
    <w:basedOn w:val="Normal"/>
    <w:next w:val="Normal"/>
    <w:link w:val="3"/>
    <w:semiHidden/>
    <w:unhideWhenUsed/>
    <w:qFormat/>
    <w:rsid w:val="00a74fa4"/>
    <w:pPr>
      <w:keepNext w:val="true"/>
      <w:keepLines/>
      <w:spacing w:before="40" w:after="0"/>
      <w:outlineLvl w:val="2"/>
    </w:pPr>
    <w:rPr>
      <w:rFonts w:ascii="Calibri Light" w:hAnsi="Calibri Light" w:eastAsia="" w:cs="" w:asciiTheme="majorHAnsi" w:cstheme="majorBidi" w:eastAsiaTheme="majorEastAsia" w:hAnsiTheme="majorHAnsi"/>
      <w:color w:val="1F3763" w:themeColor="accent1" w:themeShade="7f"/>
      <w:sz w:val="24"/>
      <w:szCs w:val="24"/>
    </w:rPr>
  </w:style>
  <w:style w:type="character" w:styleId="DefaultParagraphFont" w:default="1">
    <w:name w:val="Default Paragraph Font"/>
    <w:uiPriority w:val="1"/>
    <w:semiHidden/>
    <w:unhideWhenUsed/>
    <w:qFormat/>
    <w:rPr/>
  </w:style>
  <w:style w:type="character" w:styleId="Style6" w:customStyle="1">
    <w:name w:val="Верхний колонтитул Знак"/>
    <w:basedOn w:val="DefaultParagraphFont"/>
    <w:uiPriority w:val="99"/>
    <w:qFormat/>
    <w:rsid w:val="00c95e18"/>
    <w:rPr/>
  </w:style>
  <w:style w:type="character" w:styleId="Style7" w:customStyle="1">
    <w:name w:val="Нижний колонтитул Знак"/>
    <w:basedOn w:val="DefaultParagraphFont"/>
    <w:uiPriority w:val="99"/>
    <w:qFormat/>
    <w:rsid w:val="008364e8"/>
    <w:rPr/>
  </w:style>
  <w:style w:type="character" w:styleId="Style8" w:customStyle="1">
    <w:name w:val="[РГ] Инструкция для организатора"/>
    <w:basedOn w:val="DefaultParagraphFont"/>
    <w:uiPriority w:val="1"/>
    <w:qFormat/>
    <w:rsid w:val="00277346"/>
    <w:rPr>
      <w:i/>
      <w:iCs/>
      <w:shd w:fill="FFFF99" w:val="clear"/>
      <w:lang w:val="ru-RU"/>
    </w:rPr>
  </w:style>
  <w:style w:type="character" w:styleId="Style9" w:customStyle="1">
    <w:name w:val="Текст сноски Знак"/>
    <w:basedOn w:val="DefaultParagraphFont"/>
    <w:uiPriority w:val="99"/>
    <w:semiHidden/>
    <w:qFormat/>
    <w:rsid w:val="006608d1"/>
    <w:rPr>
      <w:sz w:val="20"/>
      <w:szCs w:val="20"/>
    </w:rPr>
  </w:style>
  <w:style w:type="character" w:styleId="Style10">
    <w:name w:val="Символ сноски"/>
    <w:unhideWhenUsed/>
    <w:qFormat/>
    <w:rsid w:val="006608d1"/>
    <w:rPr>
      <w:vertAlign w:val="superscript"/>
    </w:rPr>
  </w:style>
  <w:style w:type="character" w:styleId="FootnoteReference">
    <w:name w:val="Footnote Reference"/>
    <w:rPr>
      <w:vertAlign w:val="superscript"/>
    </w:rPr>
  </w:style>
  <w:style w:type="character" w:styleId="Hyperlink">
    <w:name w:val="Hyperlink"/>
    <w:basedOn w:val="DefaultParagraphFont"/>
    <w:uiPriority w:val="99"/>
    <w:unhideWhenUsed/>
    <w:rsid w:val="00cc7f55"/>
    <w:rPr>
      <w:color w:val="0563C1" w:themeColor="hyperlink"/>
      <w:u w:val="single"/>
    </w:rPr>
  </w:style>
  <w:style w:type="character" w:styleId="UnresolvedMention">
    <w:name w:val="Unresolved Mention"/>
    <w:basedOn w:val="DefaultParagraphFont"/>
    <w:uiPriority w:val="99"/>
    <w:semiHidden/>
    <w:unhideWhenUsed/>
    <w:qFormat/>
    <w:rsid w:val="00cc7f55"/>
    <w:rPr>
      <w:color w:val="605E5C"/>
      <w:shd w:fill="E1DFDD" w:val="clear"/>
    </w:rPr>
  </w:style>
  <w:style w:type="character" w:styleId="PlaceholderText">
    <w:name w:val="Placeholder Text"/>
    <w:basedOn w:val="DefaultParagraphFont"/>
    <w:uiPriority w:val="99"/>
    <w:semiHidden/>
    <w:qFormat/>
    <w:rsid w:val="00984d97"/>
    <w:rPr>
      <w:color w:val="808080"/>
    </w:rPr>
  </w:style>
  <w:style w:type="character" w:styleId="Style11" w:customStyle="1">
    <w:name w:val="[РГ] Отсылка"/>
    <w:basedOn w:val="DefaultParagraphFont"/>
    <w:uiPriority w:val="1"/>
    <w:qFormat/>
    <w:rsid w:val="00c558e6"/>
    <w:rPr>
      <w:color w:val="000000"/>
      <w:spacing w:val="0"/>
      <w:u w:val="dotted" w:color="4472C4"/>
      <w:shd w:fill="auto" w:val="clear"/>
      <w:lang w:val="ru-RU"/>
    </w:rPr>
  </w:style>
  <w:style w:type="character" w:styleId="Annotationreference">
    <w:name w:val="annotation reference"/>
    <w:basedOn w:val="DefaultParagraphFont"/>
    <w:unhideWhenUsed/>
    <w:qFormat/>
    <w:rsid w:val="007e365e"/>
    <w:rPr>
      <w:sz w:val="16"/>
      <w:szCs w:val="16"/>
    </w:rPr>
  </w:style>
  <w:style w:type="character" w:styleId="Style12" w:customStyle="1">
    <w:name w:val="Текст примечания Знак"/>
    <w:basedOn w:val="DefaultParagraphFont"/>
    <w:link w:val="Annotationtext"/>
    <w:uiPriority w:val="99"/>
    <w:qFormat/>
    <w:rsid w:val="007e365e"/>
    <w:rPr>
      <w:sz w:val="20"/>
      <w:szCs w:val="20"/>
    </w:rPr>
  </w:style>
  <w:style w:type="character" w:styleId="Style13" w:customStyle="1">
    <w:name w:val="Тема примечания Знак"/>
    <w:basedOn w:val="Style12"/>
    <w:link w:val="Annotationsubject"/>
    <w:uiPriority w:val="99"/>
    <w:semiHidden/>
    <w:qFormat/>
    <w:rsid w:val="007e365e"/>
    <w:rPr>
      <w:b/>
      <w:bCs/>
      <w:sz w:val="20"/>
      <w:szCs w:val="20"/>
    </w:rPr>
  </w:style>
  <w:style w:type="character" w:styleId="Style14" w:customStyle="1">
    <w:name w:val="[РГ] Инструкция для участника"/>
    <w:basedOn w:val="DefaultParagraphFont"/>
    <w:uiPriority w:val="1"/>
    <w:qFormat/>
    <w:rsid w:val="005864e9"/>
    <w:rPr>
      <w:i/>
      <w:shd w:fill="D0CECE" w:val="clear"/>
      <w:lang w:val="ru-RU"/>
    </w:rPr>
  </w:style>
  <w:style w:type="character" w:styleId="FollowedHyperlink">
    <w:name w:val="FollowedHyperlink"/>
    <w:basedOn w:val="DefaultParagraphFont"/>
    <w:uiPriority w:val="99"/>
    <w:semiHidden/>
    <w:unhideWhenUsed/>
    <w:rsid w:val="006d25e1"/>
    <w:rPr>
      <w:color w:val="954F72" w:themeColor="followedHyperlink"/>
      <w:u w:val="single"/>
    </w:rPr>
  </w:style>
  <w:style w:type="character" w:styleId="2" w:customStyle="1">
    <w:name w:val="Пункт Знак2"/>
    <w:link w:val="Style32"/>
    <w:qFormat/>
    <w:rsid w:val="00493761"/>
    <w:rPr>
      <w:rFonts w:eastAsia="Times New Roman" w:cs="Times New Roman"/>
      <w:szCs w:val="26"/>
      <w:lang w:eastAsia="ru-RU"/>
    </w:rPr>
  </w:style>
  <w:style w:type="character" w:styleId="1" w:customStyle="1">
    <w:name w:val="Заголовок 1 Знак"/>
    <w:basedOn w:val="DefaultParagraphFont"/>
    <w:qFormat/>
    <w:rsid w:val="00565d50"/>
    <w:rPr>
      <w:rFonts w:ascii="Arial" w:hAnsi="Arial" w:eastAsia="Times New Roman" w:cs="Times New Roman"/>
      <w:b/>
      <w:kern w:val="2"/>
      <w:sz w:val="40"/>
      <w:szCs w:val="26"/>
      <w:lang w:eastAsia="ru-RU"/>
    </w:rPr>
  </w:style>
  <w:style w:type="character" w:styleId="21" w:customStyle="1">
    <w:name w:val="Заголовок 2 Знак"/>
    <w:basedOn w:val="DefaultParagraphFont"/>
    <w:qFormat/>
    <w:rsid w:val="00565d50"/>
    <w:rPr>
      <w:rFonts w:eastAsia="Times New Roman" w:cs="Times New Roman"/>
      <w:b/>
      <w:sz w:val="32"/>
      <w:szCs w:val="26"/>
      <w:lang w:eastAsia="ru-RU"/>
    </w:rPr>
  </w:style>
  <w:style w:type="character" w:styleId="3" w:customStyle="1">
    <w:name w:val="Заголовок 3 Знак"/>
    <w:basedOn w:val="DefaultParagraphFont"/>
    <w:semiHidden/>
    <w:qFormat/>
    <w:rsid w:val="00a74fa4"/>
    <w:rPr>
      <w:rFonts w:ascii="Calibri Light" w:hAnsi="Calibri Light" w:eastAsia="" w:cs="" w:asciiTheme="majorHAnsi" w:cstheme="majorBidi" w:eastAsiaTheme="majorEastAsia" w:hAnsiTheme="majorHAnsi"/>
      <w:color w:val="1F3763" w:themeColor="accent1" w:themeShade="7f"/>
      <w:sz w:val="24"/>
      <w:szCs w:val="24"/>
    </w:rPr>
  </w:style>
  <w:style w:type="character" w:styleId="Style15" w:customStyle="1">
    <w:name w:val="Текст выноски Знак"/>
    <w:basedOn w:val="DefaultParagraphFont"/>
    <w:link w:val="BalloonText"/>
    <w:uiPriority w:val="99"/>
    <w:semiHidden/>
    <w:qFormat/>
    <w:rsid w:val="00ea697c"/>
    <w:rPr>
      <w:rFonts w:ascii="Segoe UI" w:hAnsi="Segoe UI" w:cs="Segoe UI"/>
      <w:sz w:val="18"/>
      <w:szCs w:val="18"/>
    </w:rPr>
  </w:style>
  <w:style w:type="character" w:styleId="Style16" w:customStyle="1">
    <w:name w:val="РГ_ЕПоЗ_а) Знак"/>
    <w:basedOn w:val="DefaultParagraphFont"/>
    <w:link w:val="Style35"/>
    <w:qFormat/>
    <w:rsid w:val="005537c2"/>
    <w:rPr>
      <w:rFonts w:eastAsia="Calibri" w:cs="Times New Roman"/>
      <w:sz w:val="28"/>
      <w:szCs w:val="28"/>
    </w:rPr>
  </w:style>
  <w:style w:type="character" w:styleId="-" w:customStyle="1">
    <w:name w:val="РГ_ЕПоЗ_- Знак"/>
    <w:basedOn w:val="DefaultParagraphFont"/>
    <w:link w:val="-1"/>
    <w:qFormat/>
    <w:rsid w:val="005537c2"/>
    <w:rPr>
      <w:rFonts w:eastAsia="Times New Roman" w:cs="Times New Roman"/>
      <w:sz w:val="28"/>
      <w:szCs w:val="20"/>
      <w:lang w:eastAsia="ru-RU"/>
    </w:rPr>
  </w:style>
  <w:style w:type="character" w:styleId="Style17">
    <w:name w:val="Ссылка указателя"/>
    <w:qFormat/>
    <w:rPr/>
  </w:style>
  <w:style w:type="character" w:styleId="Style18">
    <w:name w:val="Символ концевой сноски"/>
    <w:qFormat/>
    <w:rPr>
      <w:vertAlign w:val="superscript"/>
    </w:rPr>
  </w:style>
  <w:style w:type="character" w:styleId="EndnoteReference">
    <w:name w:val="Endnote Reference"/>
    <w:rPr>
      <w:vertAlign w:val="superscript"/>
    </w:rPr>
  </w:style>
  <w:style w:type="character" w:styleId="Style19">
    <w:name w:val="комментарий"/>
    <w:qFormat/>
    <w:rPr>
      <w:b/>
      <w:i/>
      <w:shd w:fill="FFFF99" w:val="clear"/>
    </w:rPr>
  </w:style>
  <w:style w:type="paragraph" w:styleId="Style20">
    <w:name w:val="Заголовок"/>
    <w:basedOn w:val="Normal"/>
    <w:next w:val="BodyText"/>
    <w:qFormat/>
    <w:pPr>
      <w:keepNext w:val="true"/>
      <w:spacing w:before="240" w:after="120"/>
    </w:pPr>
    <w:rPr>
      <w:rFonts w:ascii="Liberation Sans" w:hAnsi="Liberation Sans" w:eastAsia="WenQuanYi Zen Hei Sharp"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21">
    <w:name w:val="Указатель"/>
    <w:basedOn w:val="Normal"/>
    <w:qFormat/>
    <w:pPr>
      <w:suppressLineNumbers/>
    </w:pPr>
    <w:rPr>
      <w:rFonts w:cs="Lohit Devanagari"/>
    </w:rPr>
  </w:style>
  <w:style w:type="paragraph" w:styleId="Style22" w:customStyle="1">
    <w:name w:val="[РГ] Раздел"/>
    <w:basedOn w:val="Normal"/>
    <w:next w:val="Style23"/>
    <w:qFormat/>
    <w:rsid w:val="00c95e18"/>
    <w:pPr>
      <w:keepNext w:val="true"/>
      <w:pageBreakBefore/>
      <w:numPr>
        <w:ilvl w:val="0"/>
        <w:numId w:val="1"/>
      </w:numPr>
      <w:spacing w:before="0" w:after="360"/>
      <w:jc w:val="both"/>
      <w:outlineLvl w:val="0"/>
    </w:pPr>
    <w:rPr>
      <w:b/>
      <w:bCs/>
      <w:caps/>
    </w:rPr>
  </w:style>
  <w:style w:type="paragraph" w:styleId="Style23" w:customStyle="1">
    <w:name w:val="[РГ] Подраздел"/>
    <w:basedOn w:val="Normal"/>
    <w:next w:val="Style24"/>
    <w:qFormat/>
    <w:rsid w:val="00891546"/>
    <w:pPr>
      <w:keepNext w:val="true"/>
      <w:numPr>
        <w:ilvl w:val="1"/>
        <w:numId w:val="1"/>
      </w:numPr>
      <w:spacing w:before="360" w:after="0"/>
      <w:jc w:val="both"/>
      <w:outlineLvl w:val="1"/>
    </w:pPr>
    <w:rPr>
      <w:b/>
      <w:bCs/>
    </w:rPr>
  </w:style>
  <w:style w:type="paragraph" w:styleId="Style24" w:customStyle="1">
    <w:name w:val="[РГ] Пункт"/>
    <w:basedOn w:val="Normal"/>
    <w:qFormat/>
    <w:rsid w:val="00891546"/>
    <w:pPr>
      <w:numPr>
        <w:ilvl w:val="2"/>
        <w:numId w:val="1"/>
      </w:numPr>
      <w:jc w:val="both"/>
      <w:outlineLvl w:val="2"/>
    </w:pPr>
    <w:rPr/>
  </w:style>
  <w:style w:type="paragraph" w:styleId="Style25" w:customStyle="1">
    <w:name w:val="[РГ] Подпункт"/>
    <w:basedOn w:val="Normal"/>
    <w:qFormat/>
    <w:rsid w:val="00891546"/>
    <w:pPr>
      <w:numPr>
        <w:ilvl w:val="3"/>
        <w:numId w:val="1"/>
      </w:numPr>
      <w:jc w:val="both"/>
      <w:outlineLvl w:val="3"/>
    </w:pPr>
    <w:rPr/>
  </w:style>
  <w:style w:type="paragraph" w:styleId="Style26" w:customStyle="1">
    <w:name w:val="[РГ] Перечисление"/>
    <w:basedOn w:val="Normal"/>
    <w:qFormat/>
    <w:rsid w:val="00891546"/>
    <w:pPr>
      <w:numPr>
        <w:ilvl w:val="4"/>
        <w:numId w:val="1"/>
      </w:numPr>
      <w:jc w:val="both"/>
      <w:outlineLvl w:val="4"/>
    </w:pPr>
    <w:rPr/>
  </w:style>
  <w:style w:type="paragraph" w:styleId="Style27" w:customStyle="1">
    <w:name w:val="[РГ] Заголовок"/>
    <w:basedOn w:val="Normal"/>
    <w:next w:val="Style28"/>
    <w:qFormat/>
    <w:rsid w:val="00f87384"/>
    <w:pPr>
      <w:keepNext w:val="true"/>
      <w:pageBreakBefore/>
      <w:spacing w:before="0" w:after="360"/>
      <w:jc w:val="both"/>
    </w:pPr>
    <w:rPr>
      <w:b/>
      <w:bCs/>
      <w:caps/>
    </w:rPr>
  </w:style>
  <w:style w:type="paragraph" w:styleId="Style28" w:customStyle="1">
    <w:name w:val="[РГ] Текст"/>
    <w:basedOn w:val="Normal"/>
    <w:qFormat/>
    <w:rsid w:val="00891546"/>
    <w:pPr>
      <w:jc w:val="both"/>
    </w:pPr>
    <w:rPr/>
  </w:style>
  <w:style w:type="paragraph" w:styleId="Style29">
    <w:name w:val="Колонтитул"/>
    <w:basedOn w:val="Normal"/>
    <w:qFormat/>
    <w:pPr/>
    <w:rPr/>
  </w:style>
  <w:style w:type="paragraph" w:styleId="Header">
    <w:name w:val="Header"/>
    <w:basedOn w:val="Normal"/>
    <w:link w:val="Style6"/>
    <w:uiPriority w:val="99"/>
    <w:unhideWhenUsed/>
    <w:rsid w:val="00c95e18"/>
    <w:pPr>
      <w:spacing w:before="0" w:after="120"/>
      <w:jc w:val="center"/>
    </w:pPr>
    <w:rPr/>
  </w:style>
  <w:style w:type="paragraph" w:styleId="Footer">
    <w:name w:val="Footer"/>
    <w:basedOn w:val="Normal"/>
    <w:link w:val="Style7"/>
    <w:unhideWhenUsed/>
    <w:rsid w:val="008364e8"/>
    <w:pPr>
      <w:jc w:val="right"/>
    </w:pPr>
    <w:rPr/>
  </w:style>
  <w:style w:type="paragraph" w:styleId="FootnoteText">
    <w:name w:val="Footnote Text"/>
    <w:basedOn w:val="Normal"/>
    <w:link w:val="Style9"/>
    <w:uiPriority w:val="99"/>
    <w:semiHidden/>
    <w:unhideWhenUsed/>
    <w:rsid w:val="006608d1"/>
    <w:pPr>
      <w:spacing w:before="0" w:after="0"/>
    </w:pPr>
    <w:rPr>
      <w:sz w:val="20"/>
      <w:szCs w:val="20"/>
    </w:rPr>
  </w:style>
  <w:style w:type="paragraph" w:styleId="Style30" w:customStyle="1">
    <w:name w:val="[РГ] Сноска"/>
    <w:basedOn w:val="FootnoteText"/>
    <w:qFormat/>
    <w:rsid w:val="006608d1"/>
    <w:pPr>
      <w:spacing w:before="80" w:after="0"/>
      <w:ind w:left="567" w:hanging="567"/>
      <w:jc w:val="both"/>
    </w:pPr>
    <w:rPr>
      <w:sz w:val="22"/>
    </w:rPr>
  </w:style>
  <w:style w:type="paragraph" w:styleId="TOC2">
    <w:name w:val="TOC 2"/>
    <w:basedOn w:val="Normal"/>
    <w:next w:val="Normal"/>
    <w:autoRedefine/>
    <w:uiPriority w:val="39"/>
    <w:unhideWhenUsed/>
    <w:rsid w:val="002c4b1b"/>
    <w:pPr>
      <w:tabs>
        <w:tab w:val="clear" w:pos="708"/>
        <w:tab w:val="left" w:pos="851" w:leader="none"/>
        <w:tab w:val="right" w:pos="9923" w:leader="none"/>
      </w:tabs>
      <w:spacing w:before="120" w:after="120"/>
      <w:ind w:left="851" w:hanging="851"/>
    </w:pPr>
    <w:rPr/>
  </w:style>
  <w:style w:type="paragraph" w:styleId="TOC1">
    <w:name w:val="TOC 1"/>
    <w:basedOn w:val="Normal"/>
    <w:next w:val="Normal"/>
    <w:autoRedefine/>
    <w:uiPriority w:val="39"/>
    <w:unhideWhenUsed/>
    <w:rsid w:val="00bd294b"/>
    <w:pPr>
      <w:keepNext w:val="true"/>
      <w:tabs>
        <w:tab w:val="clear" w:pos="708"/>
        <w:tab w:val="left" w:pos="851" w:leader="none"/>
        <w:tab w:val="right" w:pos="9923" w:leader="none"/>
      </w:tabs>
      <w:spacing w:before="120" w:after="120"/>
      <w:ind w:left="851" w:hanging="851"/>
    </w:pPr>
    <w:rPr>
      <w:b/>
      <w:caps/>
    </w:rPr>
  </w:style>
  <w:style w:type="paragraph" w:styleId="TOC3">
    <w:name w:val="TOC 3"/>
    <w:basedOn w:val="Normal"/>
    <w:next w:val="Normal"/>
    <w:autoRedefine/>
    <w:uiPriority w:val="39"/>
    <w:unhideWhenUsed/>
    <w:rsid w:val="009c217f"/>
    <w:pPr>
      <w:spacing w:lineRule="auto" w:line="259" w:before="0" w:after="100"/>
      <w:ind w:left="440" w:hanging="0"/>
    </w:pPr>
    <w:rPr>
      <w:rFonts w:ascii="Calibri" w:hAnsi="Calibri" w:eastAsia="" w:asciiTheme="minorHAnsi" w:eastAsiaTheme="minorEastAsia" w:hAnsiTheme="minorHAnsi"/>
      <w:sz w:val="22"/>
      <w:lang w:eastAsia="ru-RU"/>
    </w:rPr>
  </w:style>
  <w:style w:type="paragraph" w:styleId="TOC4">
    <w:name w:val="TOC 4"/>
    <w:basedOn w:val="Normal"/>
    <w:next w:val="Normal"/>
    <w:autoRedefine/>
    <w:uiPriority w:val="39"/>
    <w:unhideWhenUsed/>
    <w:rsid w:val="009c217f"/>
    <w:pPr>
      <w:spacing w:lineRule="auto" w:line="259" w:before="0" w:after="100"/>
      <w:ind w:left="660" w:hanging="0"/>
    </w:pPr>
    <w:rPr>
      <w:rFonts w:ascii="Calibri" w:hAnsi="Calibri" w:eastAsia="" w:asciiTheme="minorHAnsi" w:eastAsiaTheme="minorEastAsia" w:hAnsiTheme="minorHAnsi"/>
      <w:sz w:val="22"/>
      <w:lang w:eastAsia="ru-RU"/>
    </w:rPr>
  </w:style>
  <w:style w:type="paragraph" w:styleId="TOC5">
    <w:name w:val="TOC 5"/>
    <w:basedOn w:val="Normal"/>
    <w:next w:val="Normal"/>
    <w:autoRedefine/>
    <w:uiPriority w:val="39"/>
    <w:unhideWhenUsed/>
    <w:rsid w:val="009c217f"/>
    <w:pPr>
      <w:spacing w:lineRule="auto" w:line="259" w:before="0" w:after="100"/>
      <w:ind w:left="880" w:hanging="0"/>
    </w:pPr>
    <w:rPr>
      <w:rFonts w:ascii="Calibri" w:hAnsi="Calibri" w:eastAsia="" w:asciiTheme="minorHAnsi" w:eastAsiaTheme="minorEastAsia" w:hAnsiTheme="minorHAnsi"/>
      <w:sz w:val="22"/>
      <w:lang w:eastAsia="ru-RU"/>
    </w:rPr>
  </w:style>
  <w:style w:type="paragraph" w:styleId="TOC6">
    <w:name w:val="TOC 6"/>
    <w:basedOn w:val="Normal"/>
    <w:next w:val="Normal"/>
    <w:autoRedefine/>
    <w:uiPriority w:val="39"/>
    <w:unhideWhenUsed/>
    <w:rsid w:val="009c217f"/>
    <w:pPr>
      <w:spacing w:lineRule="auto" w:line="259" w:before="0" w:after="100"/>
      <w:ind w:left="1100" w:hanging="0"/>
    </w:pPr>
    <w:rPr>
      <w:rFonts w:ascii="Calibri" w:hAnsi="Calibri" w:eastAsia="" w:asciiTheme="minorHAnsi" w:eastAsiaTheme="minorEastAsia" w:hAnsiTheme="minorHAnsi"/>
      <w:sz w:val="22"/>
      <w:lang w:eastAsia="ru-RU"/>
    </w:rPr>
  </w:style>
  <w:style w:type="paragraph" w:styleId="TOC7">
    <w:name w:val="TOC 7"/>
    <w:basedOn w:val="Normal"/>
    <w:next w:val="Normal"/>
    <w:autoRedefine/>
    <w:uiPriority w:val="39"/>
    <w:unhideWhenUsed/>
    <w:rsid w:val="009c217f"/>
    <w:pPr>
      <w:spacing w:lineRule="auto" w:line="259" w:before="0" w:after="100"/>
      <w:ind w:left="1320" w:hanging="0"/>
    </w:pPr>
    <w:rPr>
      <w:rFonts w:ascii="Calibri" w:hAnsi="Calibri" w:eastAsia="" w:asciiTheme="minorHAnsi" w:eastAsiaTheme="minorEastAsia" w:hAnsiTheme="minorHAnsi"/>
      <w:sz w:val="22"/>
      <w:lang w:eastAsia="ru-RU"/>
    </w:rPr>
  </w:style>
  <w:style w:type="paragraph" w:styleId="TOC8">
    <w:name w:val="TOC 8"/>
    <w:basedOn w:val="Normal"/>
    <w:next w:val="Normal"/>
    <w:autoRedefine/>
    <w:uiPriority w:val="39"/>
    <w:unhideWhenUsed/>
    <w:rsid w:val="009c217f"/>
    <w:pPr>
      <w:spacing w:lineRule="auto" w:line="259" w:before="0" w:after="100"/>
      <w:ind w:left="1540" w:hanging="0"/>
    </w:pPr>
    <w:rPr>
      <w:rFonts w:ascii="Calibri" w:hAnsi="Calibri" w:eastAsia="" w:asciiTheme="minorHAnsi" w:eastAsiaTheme="minorEastAsia" w:hAnsiTheme="minorHAnsi"/>
      <w:sz w:val="22"/>
      <w:lang w:eastAsia="ru-RU"/>
    </w:rPr>
  </w:style>
  <w:style w:type="paragraph" w:styleId="TOC9">
    <w:name w:val="TOC 9"/>
    <w:basedOn w:val="Normal"/>
    <w:next w:val="Normal"/>
    <w:autoRedefine/>
    <w:uiPriority w:val="39"/>
    <w:unhideWhenUsed/>
    <w:rsid w:val="009c217f"/>
    <w:pPr>
      <w:spacing w:lineRule="auto" w:line="259" w:before="0" w:after="100"/>
      <w:ind w:left="1760" w:hanging="0"/>
    </w:pPr>
    <w:rPr>
      <w:rFonts w:ascii="Calibri" w:hAnsi="Calibri" w:eastAsia="" w:asciiTheme="minorHAnsi" w:eastAsiaTheme="minorEastAsia" w:hAnsiTheme="minorHAnsi"/>
      <w:sz w:val="22"/>
      <w:lang w:eastAsia="ru-RU"/>
    </w:rPr>
  </w:style>
  <w:style w:type="paragraph" w:styleId="Annotationtext">
    <w:name w:val="annotation text"/>
    <w:basedOn w:val="Normal"/>
    <w:link w:val="Style12"/>
    <w:uiPriority w:val="99"/>
    <w:unhideWhenUsed/>
    <w:qFormat/>
    <w:rsid w:val="007e365e"/>
    <w:pPr/>
    <w:rPr>
      <w:sz w:val="20"/>
      <w:szCs w:val="20"/>
    </w:rPr>
  </w:style>
  <w:style w:type="paragraph" w:styleId="Annotationsubject">
    <w:name w:val="annotation subject"/>
    <w:basedOn w:val="Annotationtext"/>
    <w:next w:val="Annotationtext"/>
    <w:link w:val="Style13"/>
    <w:uiPriority w:val="99"/>
    <w:semiHidden/>
    <w:unhideWhenUsed/>
    <w:qFormat/>
    <w:rsid w:val="007e365e"/>
    <w:pPr/>
    <w:rPr>
      <w:b/>
      <w:bCs/>
    </w:rPr>
  </w:style>
  <w:style w:type="paragraph" w:styleId="Style31" w:customStyle="1">
    <w:name w:val="[РГ] Альтернатива / Дополнение"/>
    <w:basedOn w:val="Style28"/>
    <w:next w:val="Style28"/>
    <w:qFormat/>
    <w:rsid w:val="00a932a1"/>
    <w:pPr/>
    <w:rPr>
      <w:i/>
      <w:shd w:fill="CCECFF" w:val="clear"/>
    </w:rPr>
  </w:style>
  <w:style w:type="paragraph" w:styleId="Revision">
    <w:name w:val="Revision"/>
    <w:uiPriority w:val="99"/>
    <w:semiHidden/>
    <w:qFormat/>
    <w:rsid w:val="00537a41"/>
    <w:pPr>
      <w:widowControl/>
      <w:suppressAutoHyphens w:val="true"/>
      <w:bidi w:val="0"/>
      <w:spacing w:before="0" w:after="0"/>
      <w:jc w:val="left"/>
    </w:pPr>
    <w:rPr>
      <w:rFonts w:ascii="Times New Roman" w:hAnsi="Times New Roman" w:eastAsia="Calibri" w:cs="" w:cstheme="minorBidi" w:eastAsiaTheme="minorHAnsi"/>
      <w:color w:val="auto"/>
      <w:kern w:val="0"/>
      <w:sz w:val="26"/>
      <w:szCs w:val="22"/>
      <w:lang w:val="ru-RU" w:eastAsia="en-US" w:bidi="ar-SA"/>
    </w:rPr>
  </w:style>
  <w:style w:type="paragraph" w:styleId="ListParagraph">
    <w:name w:val="List Paragraph"/>
    <w:basedOn w:val="Normal"/>
    <w:uiPriority w:val="34"/>
    <w:qFormat/>
    <w:rsid w:val="00bb1e37"/>
    <w:pPr>
      <w:spacing w:before="120" w:after="0"/>
      <w:ind w:left="720" w:hanging="0"/>
      <w:contextualSpacing/>
    </w:pPr>
    <w:rPr/>
  </w:style>
  <w:style w:type="paragraph" w:styleId="Style32" w:customStyle="1">
    <w:name w:val="Пункт"/>
    <w:basedOn w:val="Normal"/>
    <w:link w:val="2"/>
    <w:qFormat/>
    <w:rsid w:val="00493761"/>
    <w:pPr>
      <w:numPr>
        <w:ilvl w:val="2"/>
        <w:numId w:val="9"/>
      </w:numPr>
      <w:jc w:val="both"/>
    </w:pPr>
    <w:rPr>
      <w:rFonts w:eastAsia="Times New Roman" w:cs="Times New Roman"/>
      <w:szCs w:val="26"/>
      <w:lang w:eastAsia="ru-RU"/>
    </w:rPr>
  </w:style>
  <w:style w:type="paragraph" w:styleId="Style33" w:customStyle="1">
    <w:name w:val="Подпункт"/>
    <w:basedOn w:val="Style32"/>
    <w:qFormat/>
    <w:rsid w:val="00493761"/>
    <w:pPr>
      <w:numPr>
        <w:ilvl w:val="3"/>
      </w:numPr>
      <w:tabs>
        <w:tab w:val="clear" w:pos="708"/>
      </w:tabs>
      <w:ind w:left="2880" w:hanging="360"/>
    </w:pPr>
    <w:rPr/>
  </w:style>
  <w:style w:type="paragraph" w:styleId="Style34" w:customStyle="1">
    <w:name w:val="Подподпункт"/>
    <w:basedOn w:val="Style33"/>
    <w:qFormat/>
    <w:rsid w:val="00493761"/>
    <w:pPr>
      <w:numPr>
        <w:ilvl w:val="4"/>
      </w:numPr>
      <w:ind w:left="3600" w:hanging="360"/>
    </w:pPr>
    <w:rPr/>
  </w:style>
  <w:style w:type="paragraph" w:styleId="BalloonText">
    <w:name w:val="Balloon Text"/>
    <w:basedOn w:val="Normal"/>
    <w:link w:val="Style15"/>
    <w:uiPriority w:val="99"/>
    <w:semiHidden/>
    <w:unhideWhenUsed/>
    <w:qFormat/>
    <w:rsid w:val="00ea697c"/>
    <w:pPr>
      <w:spacing w:before="0" w:after="0"/>
    </w:pPr>
    <w:rPr>
      <w:rFonts w:ascii="Segoe UI" w:hAnsi="Segoe UI" w:cs="Segoe UI"/>
      <w:sz w:val="18"/>
      <w:szCs w:val="18"/>
    </w:rPr>
  </w:style>
  <w:style w:type="paragraph" w:styleId="11" w:customStyle="1">
    <w:name w:val="РГ_ЕПоЗ_1."/>
    <w:basedOn w:val="Normal"/>
    <w:qFormat/>
    <w:rsid w:val="005537c2"/>
    <w:pPr>
      <w:keepNext w:val="true"/>
      <w:numPr>
        <w:ilvl w:val="0"/>
        <w:numId w:val="15"/>
      </w:numPr>
      <w:tabs>
        <w:tab w:val="clear" w:pos="708"/>
        <w:tab w:val="left" w:pos="1418" w:leader="none"/>
      </w:tabs>
      <w:spacing w:before="480" w:after="0"/>
      <w:jc w:val="both"/>
      <w:outlineLvl w:val="0"/>
    </w:pPr>
    <w:rPr>
      <w:rFonts w:eastAsia="Times New Roman" w:cs="Times New Roman"/>
      <w:b/>
      <w:sz w:val="28"/>
      <w:szCs w:val="28"/>
      <w:lang w:eastAsia="ru-RU"/>
    </w:rPr>
  </w:style>
  <w:style w:type="paragraph" w:styleId="111" w:customStyle="1">
    <w:name w:val="РГ_ЕПоЗ_1.1"/>
    <w:basedOn w:val="Normal"/>
    <w:qFormat/>
    <w:rsid w:val="005537c2"/>
    <w:pPr>
      <w:keepNext w:val="true"/>
      <w:numPr>
        <w:ilvl w:val="1"/>
        <w:numId w:val="15"/>
      </w:numPr>
      <w:tabs>
        <w:tab w:val="clear" w:pos="708"/>
        <w:tab w:val="left" w:pos="1418" w:leader="none"/>
      </w:tabs>
      <w:spacing w:before="360" w:after="0"/>
      <w:ind w:left="1134" w:hanging="567"/>
      <w:jc w:val="both"/>
      <w:outlineLvl w:val="1"/>
    </w:pPr>
    <w:rPr>
      <w:rFonts w:eastAsia="Times New Roman" w:cs="Times New Roman"/>
      <w:b/>
      <w:sz w:val="28"/>
      <w:szCs w:val="28"/>
      <w:lang w:eastAsia="ru-RU"/>
    </w:rPr>
  </w:style>
  <w:style w:type="paragraph" w:styleId="Style35" w:customStyle="1">
    <w:name w:val="РГ_ЕПоЗ_а)"/>
    <w:basedOn w:val="ListParagraph"/>
    <w:link w:val="Style16"/>
    <w:qFormat/>
    <w:rsid w:val="005537c2"/>
    <w:pPr>
      <w:numPr>
        <w:ilvl w:val="4"/>
        <w:numId w:val="15"/>
      </w:numPr>
      <w:spacing w:before="120" w:after="0"/>
      <w:contextualSpacing w:val="false"/>
      <w:jc w:val="both"/>
    </w:pPr>
    <w:rPr>
      <w:rFonts w:eastAsia="Calibri" w:cs="Times New Roman"/>
      <w:sz w:val="28"/>
      <w:szCs w:val="28"/>
    </w:rPr>
  </w:style>
  <w:style w:type="paragraph" w:styleId="1111" w:customStyle="1">
    <w:name w:val="РГ_ЕПоЗ_1.1.1.1"/>
    <w:basedOn w:val="Normal"/>
    <w:qFormat/>
    <w:rsid w:val="005537c2"/>
    <w:pPr>
      <w:numPr>
        <w:ilvl w:val="3"/>
        <w:numId w:val="15"/>
      </w:numPr>
      <w:tabs>
        <w:tab w:val="clear" w:pos="708"/>
        <w:tab w:val="left" w:pos="1843" w:leader="none"/>
      </w:tabs>
      <w:jc w:val="both"/>
    </w:pPr>
    <w:rPr>
      <w:rFonts w:eastAsia="Times New Roman" w:cs="Times New Roman"/>
      <w:sz w:val="28"/>
      <w:szCs w:val="28"/>
      <w:lang w:eastAsia="ru-RU"/>
    </w:rPr>
  </w:style>
  <w:style w:type="paragraph" w:styleId="-1" w:customStyle="1">
    <w:name w:val="РГ_ЕПоЗ_-"/>
    <w:basedOn w:val="Normal"/>
    <w:link w:val="-"/>
    <w:qFormat/>
    <w:rsid w:val="005537c2"/>
    <w:pPr>
      <w:numPr>
        <w:ilvl w:val="5"/>
        <w:numId w:val="15"/>
      </w:numPr>
      <w:tabs>
        <w:tab w:val="clear" w:pos="708"/>
        <w:tab w:val="left" w:pos="2552" w:leader="none"/>
      </w:tabs>
      <w:spacing w:before="0" w:after="0"/>
      <w:jc w:val="both"/>
    </w:pPr>
    <w:rPr>
      <w:rFonts w:eastAsia="Times New Roman" w:cs="Times New Roman"/>
      <w:sz w:val="28"/>
      <w:szCs w:val="20"/>
      <w:lang w:eastAsia="ru-RU"/>
    </w:rPr>
  </w:style>
  <w:style w:type="paragraph" w:styleId="1112" w:customStyle="1">
    <w:name w:val="РГ_ЕПоЗ_1.1.1"/>
    <w:basedOn w:val="Normal"/>
    <w:qFormat/>
    <w:rsid w:val="005537c2"/>
    <w:pPr>
      <w:numPr>
        <w:ilvl w:val="2"/>
        <w:numId w:val="15"/>
      </w:numPr>
      <w:tabs>
        <w:tab w:val="clear" w:pos="708"/>
        <w:tab w:val="left" w:pos="1134" w:leader="none"/>
      </w:tabs>
      <w:jc w:val="both"/>
    </w:pPr>
    <w:rPr>
      <w:rFonts w:eastAsia="Times New Roman" w:cs="Times New Roman"/>
      <w:sz w:val="28"/>
      <w:szCs w:val="28"/>
      <w:lang w:eastAsia="ru-RU"/>
    </w:rPr>
  </w:style>
  <w:style w:type="paragraph" w:styleId="Tableheader">
    <w:name w:val="Table_header"/>
    <w:basedOn w:val="Normal"/>
    <w:qFormat/>
    <w:pPr/>
    <w:rPr>
      <w:b/>
      <w:sz w:val="20"/>
      <w:szCs w:val="24"/>
    </w:rPr>
  </w:style>
  <w:style w:type="paragraph" w:styleId="Standard">
    <w:name w:val="Standard"/>
    <w:qFormat/>
    <w:pPr>
      <w:widowControl/>
      <w:suppressAutoHyphens w:val="true"/>
      <w:bidi w:val="0"/>
      <w:spacing w:before="0" w:after="0"/>
      <w:jc w:val="left"/>
      <w:textAlignment w:val="baseline"/>
    </w:pPr>
    <w:rPr>
      <w:rFonts w:ascii="Liberation Serif" w:hAnsi="Liberation Serif" w:eastAsia="WenQuanYi Zen Hei Sharp" w:cs="Lohit Devanagari"/>
      <w:color w:val="00000A"/>
      <w:kern w:val="0"/>
      <w:sz w:val="24"/>
      <w:szCs w:val="24"/>
      <w:lang w:val="ru-RU" w:eastAsia="zh-CN" w:bidi="hi-IN"/>
    </w:rPr>
  </w:style>
  <w:style w:type="paragraph" w:styleId="-2">
    <w:name w:val="УРОВЕНЬ_-"/>
    <w:qFormat/>
    <w:pPr>
      <w:widowControl/>
      <w:suppressAutoHyphens w:val="true"/>
      <w:bidi w:val="0"/>
      <w:spacing w:lineRule="exact" w:line="360" w:before="0" w:after="0"/>
      <w:ind w:left="720" w:hanging="0"/>
      <w:jc w:val="both"/>
      <w:textAlignment w:val="baseline"/>
      <w:outlineLvl w:val="4"/>
    </w:pPr>
    <w:rPr>
      <w:rFonts w:ascii="Calibri" w:hAnsi="Calibri" w:eastAsia="Calibri" w:cs="Calibri"/>
      <w:color w:val="00000A"/>
      <w:kern w:val="0"/>
      <w:sz w:val="26"/>
      <w:szCs w:val="28"/>
      <w:lang w:val="ru-RU" w:eastAsia="en-US" w:bidi="ar-SA"/>
    </w:rPr>
  </w:style>
  <w:style w:type="paragraph" w:styleId="22">
    <w:name w:val="УРОВЕНЬ_Абзац_тип2"/>
    <w:qFormat/>
    <w:pPr>
      <w:widowControl/>
      <w:suppressAutoHyphens w:val="true"/>
      <w:bidi w:val="0"/>
      <w:spacing w:lineRule="exact" w:line="360" w:before="0" w:after="0"/>
      <w:ind w:left="720" w:hanging="0"/>
      <w:jc w:val="both"/>
      <w:textAlignment w:val="baseline"/>
    </w:pPr>
    <w:rPr>
      <w:rFonts w:ascii="Calibri" w:hAnsi="Calibri" w:eastAsia="Calibri" w:cs="Calibri"/>
      <w:color w:val="00000A"/>
      <w:kern w:val="0"/>
      <w:sz w:val="26"/>
      <w:szCs w:val="28"/>
      <w:lang w:val="ru-RU" w:eastAsia="en-US" w:bidi="ar-SA"/>
    </w:rPr>
  </w:style>
  <w:style w:type="paragraph" w:styleId="Textbody">
    <w:name w:val="Text body"/>
    <w:basedOn w:val="Standard"/>
    <w:qFormat/>
    <w:pPr>
      <w:spacing w:lineRule="auto" w:line="276" w:before="0" w:after="140"/>
    </w:pPr>
    <w:rPr/>
  </w:style>
  <w:style w:type="paragraph" w:styleId="Style36">
    <w:name w:val="Содержимое таблицы"/>
    <w:basedOn w:val="Normal"/>
    <w:qFormat/>
    <w:pPr>
      <w:widowControl w:val="false"/>
      <w:suppressLineNumbers/>
    </w:pPr>
    <w:rPr/>
  </w:style>
  <w:style w:type="paragraph" w:styleId="Style37">
    <w:name w:val="Заголовок таблицы"/>
    <w:basedOn w:val="Style36"/>
    <w:qFormat/>
    <w:pPr>
      <w:suppressLineNumbers/>
      <w:jc w:val="center"/>
    </w:pPr>
    <w:rPr>
      <w:b/>
      <w:bCs/>
    </w:rPr>
  </w:style>
  <w:style w:type="numbering" w:styleId="NoList" w:default="1">
    <w:name w:val="No List"/>
    <w:uiPriority w:val="99"/>
    <w:semiHidden/>
    <w:unhideWhenUsed/>
    <w:qFormat/>
  </w:style>
  <w:style w:type="table" w:default="1" w:styleId="aa">
    <w:name w:val="Normal Table"/>
    <w:uiPriority w:val="99"/>
    <w:semiHidden/>
    <w:unhideWhenUsed/>
    <w:tblPr>
      <w:tblCellMar>
        <w:top w:w="0" w:type="dxa"/>
        <w:left w:w="108" w:type="dxa"/>
        <w:bottom w:w="0" w:type="dxa"/>
        <w:right w:w="108" w:type="dxa"/>
      </w:tblCellMar>
    </w:tblPr>
  </w:style>
  <w:style w:type="table" w:customStyle="1" w:styleId="af9">
    <w:name w:val="[РГ] Таблица"/>
    <w:basedOn w:val="aa"/>
    <w:uiPriority w:val="99"/>
    <w:rsid w:val="006173b0"/>
    <w:pPr>
      <w:spacing w:before="60" w:after="60"/>
    </w:pPr>
    <w:tblPr>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57" w:type="dxa"/>
        <w:right w:w="57" w:type="dxa"/>
      </w:tblCellMar>
    </w:tblPr>
    <w:tblStylePr w:type="firstRow">
      <w:pPr>
        <w:wordWrap/>
        <w:jc w:val="center"/>
      </w:pPr>
      <w:rPr>
        <w:b/>
      </w:rPr>
      <w:tblPr/>
    </w:tblStylePr>
  </w:style>
  <w:style w:type="table" w:styleId="afa">
    <w:name w:val="Table Grid"/>
    <w:basedOn w:val="aa"/>
    <w:uiPriority w:val="39"/>
    <w:rsid w:val="006173b0"/>
    <w:pPr>
      <w:spacing w:before="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tender.lot-online.ru/" TargetMode="External"/><Relationship Id="rId3" Type="http://schemas.openxmlformats.org/officeDocument/2006/relationships/hyperlink" Target="https://tender.lot-online.ru/app/EtpDocList/page" TargetMode="External"/><Relationship Id="rId4" Type="http://schemas.openxmlformats.org/officeDocument/2006/relationships/hyperlink" Target="mailto:sherbakova-tv@drsk.ru" TargetMode="External"/><Relationship Id="rId5" Type="http://schemas.openxmlformats.org/officeDocument/2006/relationships/hyperlink" Target="mailto:sherbakova-tv@drsk.ru" TargetMode="External"/><Relationship Id="rId6" Type="http://schemas.openxmlformats.org/officeDocument/2006/relationships/hyperlink" Target="mailto:sherbakova-tv@drsk.ru" TargetMode="Externa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package" Target="embeddings/oleObject1.docx"/><Relationship Id="rId14" Type="http://schemas.openxmlformats.org/officeDocument/2006/relationships/image" Target="media/image1.wmf"/><Relationship Id="rId15" Type="http://schemas.openxmlformats.org/officeDocument/2006/relationships/header" Target="header4.xml"/><Relationship Id="rId16" Type="http://schemas.openxmlformats.org/officeDocument/2006/relationships/header" Target="header5.xml"/><Relationship Id="rId17" Type="http://schemas.openxmlformats.org/officeDocument/2006/relationships/footer" Target="footer4.xml"/><Relationship Id="rId18" Type="http://schemas.openxmlformats.org/officeDocument/2006/relationships/footer" Target="footer5.xml"/><Relationship Id="rId19" Type="http://schemas.openxmlformats.org/officeDocument/2006/relationships/header" Target="header6.xml"/><Relationship Id="rId20" Type="http://schemas.openxmlformats.org/officeDocument/2006/relationships/header" Target="header7.xml"/><Relationship Id="rId21" Type="http://schemas.openxmlformats.org/officeDocument/2006/relationships/footer" Target="footer6.xml"/><Relationship Id="rId22" Type="http://schemas.openxmlformats.org/officeDocument/2006/relationships/footer" Target="footer7.xml"/><Relationship Id="rId23" Type="http://schemas.openxmlformats.org/officeDocument/2006/relationships/package" Target="embeddings/oleObject2.docx"/><Relationship Id="rId24" Type="http://schemas.openxmlformats.org/officeDocument/2006/relationships/image" Target="media/image2.wmf"/><Relationship Id="rId25" Type="http://schemas.openxmlformats.org/officeDocument/2006/relationships/package" Target="embeddings/oleObject3.docx"/><Relationship Id="rId26" Type="http://schemas.openxmlformats.org/officeDocument/2006/relationships/image" Target="media/image3.wmf"/><Relationship Id="rId27" Type="http://schemas.openxmlformats.org/officeDocument/2006/relationships/header" Target="header8.xml"/><Relationship Id="rId28" Type="http://schemas.openxmlformats.org/officeDocument/2006/relationships/header" Target="header9.xml"/><Relationship Id="rId29" Type="http://schemas.openxmlformats.org/officeDocument/2006/relationships/footer" Target="footer8.xml"/><Relationship Id="rId30" Type="http://schemas.openxmlformats.org/officeDocument/2006/relationships/footer" Target="footer9.xml"/><Relationship Id="rId31" Type="http://schemas.openxmlformats.org/officeDocument/2006/relationships/hyperlink" Target="https://bo.nalog.ru/" TargetMode="External"/><Relationship Id="rId32" Type="http://schemas.openxmlformats.org/officeDocument/2006/relationships/header" Target="header10.xml"/><Relationship Id="rId33" Type="http://schemas.openxmlformats.org/officeDocument/2006/relationships/header" Target="header11.xml"/><Relationship Id="rId34" Type="http://schemas.openxmlformats.org/officeDocument/2006/relationships/footer" Target="footer10.xml"/><Relationship Id="rId35" Type="http://schemas.openxmlformats.org/officeDocument/2006/relationships/footer" Target="footer11.xml"/><Relationship Id="rId36" Type="http://schemas.openxmlformats.org/officeDocument/2006/relationships/package" Target="embeddings/oleObject4.xlsx"/><Relationship Id="rId37" Type="http://schemas.openxmlformats.org/officeDocument/2006/relationships/image" Target="media/image4.wmf"/><Relationship Id="rId38" Type="http://schemas.openxmlformats.org/officeDocument/2006/relationships/package" Target="embeddings/oleObject5.docx"/><Relationship Id="rId39" Type="http://schemas.openxmlformats.org/officeDocument/2006/relationships/image" Target="media/image5.wmf"/><Relationship Id="rId40" Type="http://schemas.openxmlformats.org/officeDocument/2006/relationships/header" Target="header12.xml"/><Relationship Id="rId41" Type="http://schemas.openxmlformats.org/officeDocument/2006/relationships/header" Target="header13.xml"/><Relationship Id="rId42" Type="http://schemas.openxmlformats.org/officeDocument/2006/relationships/footer" Target="footer12.xml"/><Relationship Id="rId43" Type="http://schemas.openxmlformats.org/officeDocument/2006/relationships/footer" Target="footer13.xml"/><Relationship Id="rId44" Type="http://schemas.openxmlformats.org/officeDocument/2006/relationships/footnotes" Target="footnotes.xml"/><Relationship Id="rId45" Type="http://schemas.openxmlformats.org/officeDocument/2006/relationships/numbering" Target="numbering.xml"/><Relationship Id="rId46" Type="http://schemas.openxmlformats.org/officeDocument/2006/relationships/fontTable" Target="fontTable.xml"/><Relationship Id="rId47" Type="http://schemas.openxmlformats.org/officeDocument/2006/relationships/settings" Target="settings.xml"/><Relationship Id="rId48" Type="http://schemas.openxmlformats.org/officeDocument/2006/relationships/theme" Target="theme/theme1.xml"/><Relationship Id="rId4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12C762-423D-4F68-A8A6-C6563AA15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444</TotalTime>
  <Application>AlterOffice/3.3.1.3$Linux_X86_64 LibreOffice_project/90d829a0d92d6015ad4fa014ce4f460a7fe6c0ba</Application>
  <AppVersion>15.0000</AppVersion>
  <Pages>79</Pages>
  <Words>19091</Words>
  <Characters>131568</Characters>
  <CharactersWithSpaces>147837</CharactersWithSpaces>
  <Paragraphs>1098</Paragraphs>
  <Company>ПАО РусГидро; ИнКонТех</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2023-08-16T07:54:00Z</dcterms:created>
  <dc:creator>Владимир Щербаков</dc:creator>
  <dc:description/>
  <cp:keywords>Типовая форма</cp:keywords>
  <dc:language>ru-RU</dc:language>
  <cp:lastModifiedBy>scherbakova_tv</cp:lastModifiedBy>
  <cp:lastPrinted>2026-08-12T08:17:34Z</cp:lastPrinted>
  <dcterms:modified xsi:type="dcterms:W3CDTF">2026-08-12T08:11:23Z</dcterms:modified>
  <cp:revision>176</cp:revision>
  <dc:subject>Альбом типовых форм</dc:subject>
  <dc:title>Документация о закупке</dc:title>
</cp:coreProperties>
</file>

<file path=docProps/custom.xml><?xml version="1.0" encoding="utf-8"?>
<Properties xmlns="http://schemas.openxmlformats.org/officeDocument/2006/custom-properties" xmlns:vt="http://schemas.openxmlformats.org/officeDocument/2006/docPropsVTypes"/>
</file>