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ОБОСНОВАНИЕ НАЧАЛЬНОЙ (МАКСИМАЛЬНОЙ) ЦЕНЫ ДОГОВОРА/ ЦЕНЫ ЕДИНИЦЫ ТОВАРА, РАБОТЫ, УСЛУГИ</w:t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  <w:sz w:val="24"/>
          <w:szCs w:val="24"/>
        </w:rPr>
        <w:t>Общая информация</w:t>
      </w:r>
    </w:p>
    <w:tbl>
      <w:tblPr>
        <w:tblStyle w:val="a9"/>
        <w:tblW w:w="8707" w:type="dxa"/>
        <w:jc w:val="left"/>
        <w:tblInd w:w="787" w:type="dxa"/>
        <w:tblLayout w:type="fixed"/>
        <w:tblCellMar>
          <w:top w:w="0" w:type="dxa"/>
          <w:left w:w="6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07"/>
        <w:gridCol w:w="2094"/>
        <w:gridCol w:w="5806"/>
      </w:tblGrid>
      <w:tr>
        <w:trPr/>
        <w:tc>
          <w:tcPr>
            <w:tcW w:w="807" w:type="dxa"/>
            <w:tcBorders/>
            <w:shd w:fill="auto" w:val="clear"/>
          </w:tcPr>
          <w:p>
            <w:pPr>
              <w:pStyle w:val="ListParagraph"/>
              <w:widowControl w:val="false"/>
              <w:spacing w:lineRule="auto" w:line="36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  <w:t>п/п</w:t>
            </w:r>
          </w:p>
        </w:tc>
        <w:tc>
          <w:tcPr>
            <w:tcW w:w="2094" w:type="dxa"/>
            <w:tcBorders/>
            <w:shd w:fill="auto" w:val="clear"/>
          </w:tcPr>
          <w:p>
            <w:pPr>
              <w:pStyle w:val="ListParagraph"/>
              <w:widowControl w:val="false"/>
              <w:spacing w:lineRule="auto" w:line="36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  <w:t>Наименование</w:t>
            </w:r>
          </w:p>
        </w:tc>
        <w:tc>
          <w:tcPr>
            <w:tcW w:w="5806" w:type="dxa"/>
            <w:tcBorders/>
            <w:shd w:fill="auto" w:val="clear"/>
          </w:tcPr>
          <w:p>
            <w:pPr>
              <w:pStyle w:val="ListParagraph"/>
              <w:widowControl w:val="false"/>
              <w:spacing w:lineRule="auto" w:line="36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  <w:t>Информация по лоту</w:t>
            </w:r>
          </w:p>
        </w:tc>
      </w:tr>
      <w:tr>
        <w:trPr/>
        <w:tc>
          <w:tcPr>
            <w:tcW w:w="807" w:type="dxa"/>
            <w:tcBorders/>
            <w:shd w:fill="auto" w:val="clear"/>
          </w:tcPr>
          <w:p>
            <w:pPr>
              <w:pStyle w:val="ListParagraph"/>
              <w:widowControl w:val="false"/>
              <w:spacing w:lineRule="auto" w:line="36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</w:rPr>
              <w:t>1.1.</w:t>
            </w:r>
          </w:p>
        </w:tc>
        <w:tc>
          <w:tcPr>
            <w:tcW w:w="2094" w:type="dxa"/>
            <w:tcBorders/>
            <w:shd w:fill="auto" w:val="clea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</w:rPr>
              <w:t>Наименование лота</w:t>
            </w:r>
          </w:p>
        </w:tc>
        <w:tc>
          <w:tcPr>
            <w:tcW w:w="580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</w:rPr>
              <w:t>ОКПД2 42.22.22.140 Выполнение работ по капитальному ремонту ВЛ 110 кВ с заменой опоры на территории Партизанского района структурного подразделения «Приморские южные электрические сети»</w:t>
            </w:r>
          </w:p>
        </w:tc>
      </w:tr>
      <w:tr>
        <w:trPr/>
        <w:tc>
          <w:tcPr>
            <w:tcW w:w="807" w:type="dxa"/>
            <w:tcBorders/>
            <w:shd w:fill="auto" w:val="clear"/>
          </w:tcPr>
          <w:p>
            <w:pPr>
              <w:pStyle w:val="ListParagraph"/>
              <w:widowControl w:val="false"/>
              <w:spacing w:lineRule="auto" w:line="36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</w:rPr>
              <w:t>1.2.</w:t>
            </w:r>
          </w:p>
        </w:tc>
        <w:tc>
          <w:tcPr>
            <w:tcW w:w="2094" w:type="dxa"/>
            <w:tcBorders/>
            <w:shd w:fill="auto" w:val="clear"/>
          </w:tcPr>
          <w:p>
            <w:pPr>
              <w:pStyle w:val="ListParagraph"/>
              <w:widowControl w:val="false"/>
              <w:spacing w:lineRule="auto" w:line="360" w:before="0" w:after="0"/>
              <w:ind w:left="0" w:hanging="0"/>
              <w:contextualSpacing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</w:rPr>
              <w:t>Номер лота</w:t>
            </w:r>
          </w:p>
        </w:tc>
        <w:tc>
          <w:tcPr>
            <w:tcW w:w="5806" w:type="dxa"/>
            <w:tcBorders/>
            <w:shd w:fill="auto" w:val="clear"/>
          </w:tcPr>
          <w:p>
            <w:pPr>
              <w:pStyle w:val="ListParagraph"/>
              <w:widowControl w:val="false"/>
              <w:spacing w:lineRule="auto" w:line="360" w:before="0" w:after="0"/>
              <w:ind w:left="0" w:hanging="0"/>
              <w:contextualSpacing/>
              <w:jc w:val="both"/>
              <w:rPr>
                <w:kern w:val="0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</w:rPr>
              <w:t>312001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</w:rPr>
              <w:t>-РЕМ ПРОД-2026-ДРСК-ПЭС</w:t>
            </w:r>
          </w:p>
        </w:tc>
      </w:tr>
      <w:tr>
        <w:trPr/>
        <w:tc>
          <w:tcPr>
            <w:tcW w:w="807" w:type="dxa"/>
            <w:tcBorders/>
            <w:shd w:fill="auto" w:val="clear"/>
          </w:tcPr>
          <w:p>
            <w:pPr>
              <w:pStyle w:val="ListParagraph"/>
              <w:widowControl w:val="false"/>
              <w:spacing w:lineRule="auto" w:line="36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</w:rPr>
              <w:t>1.3.</w:t>
            </w:r>
          </w:p>
        </w:tc>
        <w:tc>
          <w:tcPr>
            <w:tcW w:w="2094" w:type="dxa"/>
            <w:tcBorders/>
            <w:shd w:fill="auto" w:val="clear"/>
          </w:tcPr>
          <w:p>
            <w:pPr>
              <w:pStyle w:val="ListParagraph"/>
              <w:widowControl w:val="false"/>
              <w:spacing w:lineRule="auto" w:line="36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</w:rPr>
              <w:t>НМЦ лота</w:t>
            </w:r>
          </w:p>
        </w:tc>
        <w:tc>
          <w:tcPr>
            <w:tcW w:w="5806" w:type="dxa"/>
            <w:tcBorders/>
            <w:shd w:fill="auto" w:val="clear"/>
          </w:tcPr>
          <w:p>
            <w:pPr>
              <w:pStyle w:val="ListParagraph"/>
              <w:widowControl w:val="false"/>
              <w:spacing w:lineRule="auto" w:line="360" w:before="0" w:after="0"/>
              <w:ind w:left="0" w:hanging="0"/>
              <w:contextualSpacing/>
              <w:jc w:val="both"/>
              <w:rPr>
                <w:kern w:val="0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</w:rPr>
              <w:t>5 159 046,33 руб. без учета НДС</w:t>
            </w:r>
          </w:p>
        </w:tc>
      </w:tr>
    </w:tbl>
    <w:p>
      <w:pPr>
        <w:pStyle w:val="ListParagraph"/>
        <w:spacing w:lineRule="auto" w: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0"/>
          <w:numId w:val="0"/>
        </w:numPr>
        <w:spacing w:lineRule="auto" w:line="360"/>
        <w:ind w:left="720" w:hanging="0"/>
        <w:jc w:val="both"/>
        <w:rPr/>
      </w:pPr>
      <w:r>
        <w:rPr>
          <w:rFonts w:eastAsia="Calibri" w:cs="Times New Roman" w:ascii="Times New Roman" w:hAnsi="Times New Roman" w:eastAsiaTheme="minorHAnsi"/>
          <w:b/>
          <w:color w:val="00000A"/>
          <w:sz w:val="24"/>
          <w:szCs w:val="24"/>
          <w:lang w:val="ru-RU" w:eastAsia="en-US" w:bidi="ar-SA"/>
        </w:rPr>
        <w:t xml:space="preserve">2.  Использованный </w:t>
      </w:r>
      <w:r>
        <w:rPr>
          <w:rFonts w:cs="Times New Roman" w:ascii="Times New Roman" w:hAnsi="Times New Roman"/>
          <w:b/>
          <w:sz w:val="24"/>
          <w:szCs w:val="24"/>
        </w:rPr>
        <w:t xml:space="preserve">метод (методы) расчета НМЦ/ цены единицы товара, работы, услуги: </w:t>
      </w:r>
      <w:r>
        <w:rPr>
          <w:rFonts w:cs="Times New Roman" w:ascii="Liberation Serif" w:hAnsi="Liberation Serif"/>
          <w:b w:val="false"/>
          <w:bCs w:val="false"/>
          <w:sz w:val="24"/>
          <w:szCs w:val="24"/>
        </w:rPr>
        <w:t>Ресурсно-индексный метод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.</w:t>
      </w:r>
    </w:p>
    <w:p>
      <w:pPr>
        <w:pStyle w:val="ListParagraph"/>
        <w:numPr>
          <w:ilvl w:val="0"/>
          <w:numId w:val="0"/>
        </w:numPr>
        <w:spacing w:lineRule="auto" w:line="360"/>
        <w:ind w:left="720" w:hanging="0"/>
        <w:jc w:val="both"/>
        <w:rPr/>
      </w:pPr>
      <w:r>
        <w:rPr>
          <w:rFonts w:cs="Times New Roman" w:ascii="Times New Roman" w:hAnsi="Times New Roman"/>
          <w:b/>
          <w:bCs w:val="false"/>
          <w:sz w:val="24"/>
          <w:szCs w:val="24"/>
        </w:rPr>
        <w:t xml:space="preserve">3. Обоснование расчета НМЦ: </w:t>
      </w:r>
      <w:r>
        <w:rPr>
          <w:rFonts w:cs="Times New Roman" w:ascii="Liberation Serif" w:hAnsi="Liberation Serif"/>
          <w:b w:val="false"/>
          <w:bCs w:val="false"/>
          <w:sz w:val="24"/>
          <w:szCs w:val="24"/>
        </w:rPr>
        <w:t>Локальный сметный расчет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.</w:t>
      </w:r>
    </w:p>
    <w:p>
      <w:pPr>
        <w:pStyle w:val="ListParagraph"/>
        <w:numPr>
          <w:ilvl w:val="0"/>
          <w:numId w:val="0"/>
        </w:numPr>
        <w:spacing w:lineRule="auto" w:line="360"/>
        <w:ind w:left="720" w:hanging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br w:type="page"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  <w:lang w:eastAsia="ru-RU"/>
        </w:rPr>
      </w:r>
    </w:p>
    <w:p>
      <w:pPr>
        <w:pStyle w:val="Normal"/>
        <w:spacing w:lineRule="auto" w:line="240" w:before="0" w:after="24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before="0" w:after="160"/>
        <w:rPr/>
      </w:pPr>
      <w:r>
        <w:rPr/>
      </w:r>
    </w:p>
    <w:sectPr>
      <w:type w:val="nextPage"/>
      <w:pgSz w:w="11906" w:h="16838"/>
      <w:pgMar w:left="1418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272023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27202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AlterOffice/3.3.1.3$Linux_X86_64 LibreOffice_project/90d829a0d92d6015ad4fa014ce4f460a7fe6c0ba</Application>
  <AppVersion>15.0000</AppVersion>
  <DocSecurity>0</DocSecurity>
  <Pages>2</Pages>
  <Words>80</Words>
  <Characters>530</Characters>
  <CharactersWithSpaces>595</CharactersWithSpaces>
  <Paragraphs>17</Paragraphs>
  <Company>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2022-03-11T05:50:00Z</dcterms:created>
  <dc:creator>Захарищева Галина Леонидовна</dc:creator>
  <dc:description/>
  <dc:language>ru-RU</dc:language>
  <cp:lastModifiedBy>scherbakova_tv</cp:lastModifiedBy>
  <dcterms:modified xsi:type="dcterms:W3CDTF">2026-08-10T12:50:22Z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