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/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/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/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/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/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</w:rPr>
      </w:pPr>
      <w:r>
        <w:rPr>
          <w:rFonts w:eastAsia="Calibri" w:cs="Times New Roman"/>
          <w:b/>
          <w:i/>
          <w:caps w:val="false"/>
          <w:smallCaps w:val="false"/>
          <w:color w:val="000000"/>
          <w:spacing w:val="0"/>
          <w:sz w:val="26"/>
          <w:szCs w:val="26"/>
          <w:shd w:fill="auto" w:val="clear"/>
        </w:rPr>
        <w:t xml:space="preserve">ОКПД2 </w:t>
      </w:r>
      <w:r>
        <w:rPr>
          <w:rFonts w:eastAsia="Calibri" w:cs="Times New Roman"/>
          <w:b/>
          <w:i/>
          <w:caps w:val="false"/>
          <w:smallCaps w:val="false"/>
          <w:color w:val="000000"/>
          <w:spacing w:val="0"/>
          <w:sz w:val="26"/>
          <w:szCs w:val="26"/>
          <w:shd w:fill="auto" w:val="clear"/>
        </w:rPr>
        <w:t>26.30. Поставка материально-технических ресурсов для службы мониторинга оборудования гидротехнических сооружений для нужд филиала ПАО "РусГидро"-"Камская ГЭС"</w:t>
      </w:r>
    </w:p>
    <w:p>
      <w:pPr>
        <w:pStyle w:val="Normal"/>
        <w:spacing w:lineRule="auto" w:line="276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 27-ЭКСП-БПД-2026-КамГЭС</w:t>
      </w:r>
    </w:p>
    <w:p>
      <w:pPr>
        <w:pStyle w:val="Normal"/>
        <w:jc w:val="center"/>
        <w:rPr>
          <w:rStyle w:val="Style8"/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0" w:name="_Toc51339697"/>
      <w:bookmarkStart w:id="1" w:name="_Toc75446579"/>
      <w:bookmarkStart w:id="2" w:name="_Toc46743510"/>
      <w:bookmarkStart w:id="3" w:name="_Toc50125126"/>
      <w:bookmarkStart w:id="4" w:name="_Toc50125127"/>
      <w:bookmarkEnd w:id="2"/>
      <w:bookmarkEnd w:id="3"/>
      <w:r>
        <w:rPr>
          <w:sz w:val="24"/>
          <w:szCs w:val="24"/>
        </w:rPr>
        <w:t>1</w:t>
      </w:r>
      <w:bookmarkEnd w:id="0"/>
      <w:bookmarkEnd w:id="1"/>
      <w:bookmarkEnd w:id="4"/>
      <w:r>
        <w:rPr>
          <w:sz w:val="24"/>
          <w:szCs w:val="24"/>
        </w:rPr>
        <w:t xml:space="preserve">. </w:t>
      </w:r>
      <w:bookmarkStart w:id="5" w:name="_Toc75446568"/>
      <w:r>
        <w:rPr>
          <w:sz w:val="24"/>
          <w:szCs w:val="24"/>
        </w:rPr>
        <w:t>Наименование закупаемой продукции</w:t>
      </w:r>
      <w:bookmarkEnd w:id="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sz w:val="24"/>
          <w:szCs w:val="24"/>
        </w:rPr>
      </w:pPr>
      <w:r>
        <w:rPr>
          <w:rFonts w:eastAsia="Times New Roman" w:cs="Times New Roman"/>
          <w:i w:val="false"/>
          <w:iCs w:val="false"/>
          <w:sz w:val="24"/>
          <w:szCs w:val="24"/>
          <w:shd w:fill="auto" w:val="clear"/>
          <w:lang w:val="ru-RU" w:eastAsia="zh-CN" w:bidi="ar-SA"/>
        </w:rPr>
        <w:t xml:space="preserve">Сейсмоприемник А1738В с поверкой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2. </w:t>
      </w:r>
      <w:bookmarkStart w:id="6" w:name="_Toc46743510_Копия_1"/>
      <w:bookmarkStart w:id="7" w:name="_Toc50125126_Копия_1"/>
      <w:bookmarkStart w:id="8" w:name="_Toc51339693"/>
      <w:bookmarkStart w:id="9" w:name="_Toc75446573"/>
      <w:r>
        <w:rPr>
          <w:b/>
          <w:bCs/>
          <w:iCs/>
          <w:sz w:val="24"/>
          <w:szCs w:val="24"/>
        </w:rPr>
        <w:t>Требования к продукции</w:t>
      </w:r>
      <w:bookmarkEnd w:id="8"/>
      <w:bookmarkEnd w:id="9"/>
    </w:p>
    <w:p>
      <w:pPr>
        <w:pStyle w:val="Heading4"/>
        <w:numPr>
          <w:ilvl w:val="0"/>
          <w:numId w:val="0"/>
        </w:numPr>
        <w:ind w:left="432" w:hanging="0"/>
        <w:rPr/>
      </w:pPr>
      <w:r>
        <w:rPr/>
        <w:t xml:space="preserve">2.1 </w:t>
      </w:r>
      <w:bookmarkStart w:id="10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0"/>
    </w:p>
    <w:p>
      <w:pPr>
        <w:pStyle w:val="Heading3"/>
        <w:numPr>
          <w:ilvl w:val="0"/>
          <w:numId w:val="0"/>
        </w:numPr>
        <w:ind w:left="1224" w:hanging="0"/>
        <w:rPr/>
      </w:pPr>
      <w:r>
        <w:rPr>
          <w:lang w:val="ru-RU"/>
        </w:rPr>
        <w:t xml:space="preserve">2.1.1 </w:t>
      </w:r>
      <w:bookmarkStart w:id="11" w:name="_Toc75446575"/>
      <w:r>
        <w:rPr>
          <w:lang w:val="ru-RU"/>
        </w:rPr>
        <w:t>Перечень и объем закупаемой продукции</w:t>
      </w:r>
      <w:bookmarkEnd w:id="11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2" w:name="_Toc51339695"/>
      <w:bookmarkStart w:id="13" w:name="_Toc75446576"/>
      <w:r>
        <w:rPr>
          <w:sz w:val="24"/>
          <w:szCs w:val="24"/>
        </w:rPr>
        <w:t>Таблица 1.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закупаемой продукции</w:t>
      </w:r>
      <w:bookmarkEnd w:id="13"/>
    </w:p>
    <w:tbl>
      <w:tblPr>
        <w:tblW w:w="981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7"/>
        <w:gridCol w:w="6128"/>
        <w:gridCol w:w="1419"/>
        <w:gridCol w:w="1417"/>
      </w:tblGrid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/>
                <w:i/>
                <w:sz w:val="24"/>
                <w:szCs w:val="24"/>
              </w:rPr>
            </w:pP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iCs w:val="false"/>
                <w:sz w:val="24"/>
                <w:szCs w:val="24"/>
                <w:shd w:fill="auto" w:val="clear"/>
                <w:lang w:val="ru-RU" w:eastAsia="zh-CN" w:bidi="ar-SA"/>
              </w:rPr>
              <w:t xml:space="preserve">Сейсмоприемник А1738В с поверкой </w:t>
            </w:r>
          </w:p>
          <w:p>
            <w:pPr>
              <w:pStyle w:val="Normal"/>
              <w:widowControl w:val="false"/>
              <w:suppressAutoHyphens w:val="tru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3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0"/>
          <w:numId w:val="0"/>
        </w:numPr>
        <w:ind w:left="1224" w:hanging="0"/>
        <w:rPr/>
      </w:pPr>
      <w:r>
        <w:rPr>
          <w:rFonts w:eastAsia="Calibri"/>
          <w:b/>
          <w:sz w:val="24"/>
          <w:szCs w:val="24"/>
          <w:shd w:fill="auto" w:val="clear"/>
          <w:lang w:val="ru-RU" w:eastAsia="x-none"/>
        </w:rPr>
        <w:t xml:space="preserve">2.1.2 </w:t>
      </w:r>
      <w:bookmarkStart w:id="14" w:name="_Toc75446578_Копия_1"/>
      <w:bookmarkStart w:id="15" w:name="_Toc51339696_Копия_1"/>
      <w:r>
        <w:rPr>
          <w:rFonts w:eastAsia="Calibri"/>
          <w:b/>
          <w:sz w:val="24"/>
          <w:szCs w:val="24"/>
          <w:shd w:fill="auto" w:val="clear"/>
          <w:lang w:val="ru-RU" w:eastAsia="x-none"/>
        </w:rPr>
        <w:t xml:space="preserve">Требования </w:t>
      </w:r>
      <w:bookmarkEnd w:id="15"/>
      <w:r>
        <w:rPr>
          <w:rFonts w:eastAsia="Calibri"/>
          <w:b/>
          <w:sz w:val="24"/>
          <w:szCs w:val="24"/>
          <w:shd w:fill="auto" w:val="clear"/>
          <w:lang w:val="ru-RU" w:eastAsia="x-none"/>
        </w:rPr>
        <w:t xml:space="preserve">к срокам поставки продукции </w:t>
      </w:r>
      <w:bookmarkEnd w:id="14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6" w:name="_Toc75446579_Копия_1"/>
      <w:bookmarkStart w:id="17" w:name="_Toc50125127_Копия_1"/>
      <w:bookmarkStart w:id="18" w:name="_Toc51339697_Копия_1"/>
      <w:bookmarkEnd w:id="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 xml:space="preserve"> </w:t>
      </w:r>
      <w:bookmarkStart w:id="19" w:name="_Hlk50465284"/>
      <w:r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19"/>
      <w:r>
        <w:rPr>
          <w:sz w:val="24"/>
          <w:szCs w:val="24"/>
          <w:lang w:val="ru-RU"/>
        </w:rPr>
        <w:t>поставки продукции</w:t>
      </w:r>
      <w:bookmarkEnd w:id="16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2551"/>
        <w:gridCol w:w="2978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iCs w:val="false"/>
                <w:sz w:val="24"/>
                <w:szCs w:val="24"/>
                <w:shd w:fill="auto" w:val="clear"/>
                <w:lang w:val="ru-RU" w:eastAsia="zh-CN" w:bidi="ar-SA"/>
              </w:rPr>
              <w:t xml:space="preserve">Сейсмоприемник А1738В с поверкой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 момента заключения договора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30.11.2026</w:t>
            </w:r>
          </w:p>
        </w:tc>
      </w:tr>
    </w:tbl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sz w:val="24"/>
          <w:szCs w:val="24"/>
        </w:rPr>
      </w:r>
      <w:bookmarkEnd w:id="6"/>
    </w:p>
    <w:p>
      <w:pPr>
        <w:pStyle w:val="Heading4"/>
        <w:numPr>
          <w:ilvl w:val="0"/>
          <w:numId w:val="0"/>
        </w:numPr>
        <w:ind w:left="0" w:right="0" w:hanging="0"/>
        <w:rPr/>
      </w:pPr>
      <w:r>
        <w:rPr/>
        <w:t xml:space="preserve"> </w:t>
      </w:r>
      <w:r>
        <w:rPr/>
        <w:t xml:space="preserve">2.1.3 </w:t>
      </w:r>
      <w:bookmarkStart w:id="20" w:name="_Toc51339698_Копия_2"/>
      <w:bookmarkStart w:id="21" w:name="_Toc75446581_Копия_2"/>
      <w:bookmarkStart w:id="22" w:name="_Toc46743511_Копия_2"/>
      <w:r>
        <w:rPr/>
        <w:t xml:space="preserve">Требования к </w:t>
      </w:r>
      <w:bookmarkEnd w:id="22"/>
      <w:r>
        <w:rPr>
          <w:lang w:val="ru-RU"/>
        </w:rPr>
        <w:t>качеству продукции</w:t>
      </w:r>
      <w:bookmarkEnd w:id="21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3" w:name="_Toc75446582_Копия_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3"/>
      <w:r>
        <w:rPr>
          <w:sz w:val="24"/>
          <w:szCs w:val="24"/>
        </w:rPr>
        <w:t xml:space="preserve"> </w:t>
      </w:r>
      <w:bookmarkEnd w:id="20"/>
    </w:p>
    <w:p>
      <w:pPr>
        <w:pStyle w:val="Normal"/>
        <w:jc w:val="both"/>
        <w:rPr>
          <w:rStyle w:val="Style8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rPr>
          <w:rStyle w:val="Style8"/>
          <w:b w:val="false"/>
        </w:rPr>
      </w:pPr>
      <w:r>
        <w:rPr>
          <w:rStyle w:val="Style8"/>
          <w:b w:val="false"/>
        </w:rPr>
        <w:t xml:space="preserve"> </w:t>
      </w:r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</w:t>
      </w:r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rFonts w:eastAsia="Times New Roman" w:cs="Times New Roman"/>
          <w:b/>
          <w:bCs/>
          <w:i w:val="false"/>
          <w:iCs w:val="false"/>
          <w:sz w:val="24"/>
          <w:szCs w:val="24"/>
          <w:shd w:fill="auto" w:val="clear"/>
          <w:lang w:val="ru-RU" w:eastAsia="zh-CN" w:bidi="ar-SA"/>
        </w:rPr>
        <w:t xml:space="preserve">Сейсмоприемник А1738В с поверкой </w:t>
      </w:r>
    </w:p>
    <w:tbl>
      <w:tblPr>
        <w:tblStyle w:val="af"/>
        <w:tblW w:w="1489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12"/>
        <w:gridCol w:w="3402"/>
        <w:gridCol w:w="4259"/>
        <w:gridCol w:w="4083"/>
        <w:gridCol w:w="1437"/>
      </w:tblGrid>
      <w:tr>
        <w:trPr/>
        <w:tc>
          <w:tcPr>
            <w:tcW w:w="61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40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25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52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61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40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25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0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4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6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25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40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4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6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66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40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4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Номинальное значение коэффициента преобразования В/м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>-1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с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>-2</w:t>
            </w:r>
          </w:p>
        </w:tc>
        <w:tc>
          <w:tcPr>
            <w:tcW w:w="42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1 </w:t>
            </w:r>
          </w:p>
        </w:tc>
        <w:tc>
          <w:tcPr>
            <w:tcW w:w="40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65" w:hRule="atLeast"/>
        </w:trPr>
        <w:tc>
          <w:tcPr>
            <w:tcW w:w="6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4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Номинальный диапазон рабочих частот, Гц</w:t>
            </w:r>
          </w:p>
        </w:tc>
        <w:tc>
          <w:tcPr>
            <w:tcW w:w="42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0,2-400 </w:t>
            </w:r>
          </w:p>
        </w:tc>
        <w:tc>
          <w:tcPr>
            <w:tcW w:w="40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4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4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Диапазон рабочих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частот, Гц</w:t>
            </w:r>
          </w:p>
        </w:tc>
        <w:tc>
          <w:tcPr>
            <w:tcW w:w="425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0,25-100</w:t>
            </w:r>
          </w:p>
        </w:tc>
        <w:tc>
          <w:tcPr>
            <w:tcW w:w="408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4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4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Значение постоянной времени интегрирования, определенное на частоте 20Гц, с</w:t>
            </w:r>
          </w:p>
        </w:tc>
        <w:tc>
          <w:tcPr>
            <w:tcW w:w="425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0,1</w:t>
            </w:r>
          </w:p>
        </w:tc>
        <w:tc>
          <w:tcPr>
            <w:tcW w:w="408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4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35" w:hRule="atLeast"/>
        </w:trPr>
        <w:tc>
          <w:tcPr>
            <w:tcW w:w="61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1.5</w:t>
            </w:r>
          </w:p>
        </w:tc>
        <w:tc>
          <w:tcPr>
            <w:tcW w:w="34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Напряжение питания, В</w:t>
            </w:r>
          </w:p>
        </w:tc>
        <w:tc>
          <w:tcPr>
            <w:tcW w:w="425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408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4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1.6</w:t>
            </w:r>
          </w:p>
        </w:tc>
        <w:tc>
          <w:tcPr>
            <w:tcW w:w="340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Полярность выходного напряжения при воздействии ускорения в направлении измерительной оси</w:t>
            </w:r>
          </w:p>
        </w:tc>
        <w:tc>
          <w:tcPr>
            <w:tcW w:w="425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положительная</w:t>
            </w:r>
          </w:p>
        </w:tc>
        <w:tc>
          <w:tcPr>
            <w:tcW w:w="408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4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66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40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Степень защиты от попадания пыли и влаги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5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IP66</w:t>
            </w:r>
          </w:p>
        </w:tc>
        <w:tc>
          <w:tcPr>
            <w:tcW w:w="40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4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66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40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поставке</w:t>
            </w:r>
          </w:p>
        </w:tc>
        <w:tc>
          <w:tcPr>
            <w:tcW w:w="42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Поставка продукции одной партией на склад Покупателя, расположенный по адресу: 614030, г. Пермь, улица Соликамская, 329 с сопроводительными документами.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2.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Продукция, поставленная без обязательных сопроводительных документов, не принимается и ответственность за ее сохранность Покупатель не несет.</w:t>
            </w:r>
          </w:p>
          <w:p>
            <w:pPr>
              <w:pStyle w:val="Style34"/>
              <w:widowControl w:val="false"/>
              <w:tabs>
                <w:tab w:val="clear" w:pos="708"/>
                <w:tab w:val="left" w:pos="565" w:leader="none"/>
              </w:tabs>
              <w:suppressAutoHyphens w:val="true"/>
              <w:bidi w:val="0"/>
              <w:spacing w:lineRule="auto" w:line="240" w:before="0" w:after="113"/>
              <w:ind w:right="0" w:hanging="0"/>
              <w:contextualSpacing w:val="false"/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3. Дата, время поставки продукции сообщаются в письменном виде ответственному сотруднику Покупателя не менее чем за десять дней до предполагаемого срока поставки товара.</w:t>
            </w:r>
          </w:p>
          <w:p>
            <w:pPr>
              <w:pStyle w:val="Style34"/>
              <w:widowControl w:val="false"/>
              <w:tabs>
                <w:tab w:val="clear" w:pos="708"/>
                <w:tab w:val="left" w:pos="565" w:leader="none"/>
              </w:tabs>
              <w:suppressAutoHyphens w:val="true"/>
              <w:bidi w:val="0"/>
              <w:spacing w:lineRule="auto" w:line="240" w:before="0" w:after="113"/>
              <w:ind w:right="0" w:hanging="0"/>
              <w:contextualSpacing w:val="false"/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4. Государственный номер транспорта, ФИО сотрудников Поставщика, непосредственно осуществляющих доставку продукции, сообщаются в письменном виде ответственному сотруднику Покупателя не позднее 15:00 часов дня, предшествующего дню поставки.</w:t>
            </w:r>
          </w:p>
          <w:p>
            <w:pPr>
              <w:pStyle w:val="Style34"/>
              <w:widowControl w:val="false"/>
              <w:tabs>
                <w:tab w:val="clear" w:pos="708"/>
                <w:tab w:val="left" w:pos="173" w:leader="none"/>
                <w:tab w:val="left" w:pos="335" w:leader="none"/>
                <w:tab w:val="left" w:pos="1073" w:leader="none"/>
              </w:tabs>
              <w:suppressAutoHyphens w:val="true"/>
              <w:bidi w:val="0"/>
              <w:spacing w:lineRule="auto" w:line="240" w:before="0" w:after="113"/>
              <w:ind w:right="0" w:hanging="0"/>
              <w:contextualSpacing w:val="false"/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5. Доставка продукции производится в рабочее время с 8:00–15:00часов местного времени.</w:t>
            </w:r>
          </w:p>
        </w:tc>
        <w:tc>
          <w:tcPr>
            <w:tcW w:w="40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437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Упаковка</w:t>
            </w:r>
          </w:p>
        </w:tc>
        <w:tc>
          <w:tcPr>
            <w:tcW w:w="425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92" w:leader="none"/>
              </w:tabs>
              <w:suppressAutoHyphens w:val="true"/>
              <w:bidi w:val="0"/>
              <w:spacing w:before="0" w:after="120"/>
              <w:ind w:left="57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Поставка Продукции осуществляется в упаковке, исключающей возможность повреждения при транспортировке.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92" w:leader="none"/>
              </w:tabs>
              <w:suppressAutoHyphens w:val="true"/>
              <w:bidi w:val="0"/>
              <w:spacing w:before="0" w:after="120"/>
              <w:ind w:left="57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43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66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4083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37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Гарантии</w:t>
            </w:r>
          </w:p>
        </w:tc>
        <w:tc>
          <w:tcPr>
            <w:tcW w:w="425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92" w:leader="none"/>
              </w:tabs>
              <w:suppressAutoHyphens w:val="true"/>
              <w:bidi w:val="0"/>
              <w:spacing w:before="0" w:after="120"/>
              <w:ind w:left="57" w:right="0" w:hanging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Поставщик продукции должен гарантировать оперативную замену продукции, не отвечающей стандартам качества, настоящим техническим требованиям.</w:t>
            </w:r>
          </w:p>
        </w:tc>
        <w:tc>
          <w:tcPr>
            <w:tcW w:w="40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43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66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4083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3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Документация</w:t>
            </w:r>
          </w:p>
        </w:tc>
        <w:tc>
          <w:tcPr>
            <w:tcW w:w="425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92" w:leader="none"/>
              </w:tabs>
              <w:suppressAutoHyphens w:val="true"/>
              <w:bidi w:val="0"/>
              <w:spacing w:before="0" w:after="120"/>
              <w:ind w:right="0" w:hanging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Техническая документация передается на русском языке, включающая: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92" w:leader="none"/>
              </w:tabs>
              <w:suppressAutoHyphens w:val="true"/>
              <w:bidi w:val="0"/>
              <w:spacing w:before="0" w:after="120"/>
              <w:ind w:right="0" w:hanging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-Технический паспорт (руководство по эксплуатации, формуляр),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92" w:leader="none"/>
              </w:tabs>
              <w:suppressAutoHyphens w:val="true"/>
              <w:bidi w:val="0"/>
              <w:spacing w:before="0" w:after="120"/>
              <w:ind w:right="0" w:hanging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-свидетельство о поверке приборов,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92" w:leader="none"/>
              </w:tabs>
              <w:suppressAutoHyphens w:val="true"/>
              <w:bidi w:val="0"/>
              <w:spacing w:before="0" w:after="120"/>
              <w:ind w:right="0" w:hanging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сертификат качества.</w:t>
            </w:r>
          </w:p>
        </w:tc>
        <w:tc>
          <w:tcPr>
            <w:tcW w:w="40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4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66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4083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3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Формирование цены</w:t>
            </w:r>
          </w:p>
        </w:tc>
        <w:tc>
          <w:tcPr>
            <w:tcW w:w="425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92" w:leader="none"/>
              </w:tabs>
              <w:suppressAutoHyphens w:val="true"/>
              <w:bidi w:val="0"/>
              <w:spacing w:before="0" w:after="120"/>
              <w:ind w:right="0" w:hanging="0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Стоимость продукции должна учитывать затраты на транспортировку, страхование, уплату налогов, таможенных пошлин, сборов и других обязательных платежей.</w:t>
            </w:r>
          </w:p>
        </w:tc>
        <w:tc>
          <w:tcPr>
            <w:tcW w:w="40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4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Heading1"/>
        <w:keepLines/>
        <w:numPr>
          <w:ilvl w:val="0"/>
          <w:numId w:val="0"/>
        </w:numPr>
        <w:spacing w:before="0" w:after="120"/>
        <w:ind w:hanging="0"/>
        <w:jc w:val="center"/>
        <w:rPr>
          <w:sz w:val="28"/>
          <w:szCs w:val="28"/>
        </w:rPr>
      </w:pPr>
      <w:r>
        <w:rPr/>
      </w:r>
    </w:p>
    <w:p>
      <w:pPr>
        <w:pStyle w:val="Heading1"/>
        <w:numPr>
          <w:ilvl w:val="0"/>
          <w:numId w:val="0"/>
        </w:numPr>
        <w:spacing w:before="0" w:after="120"/>
        <w:ind w:hanging="0"/>
        <w:jc w:val="left"/>
        <w:rPr/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>Требо</w:t>
      </w:r>
      <w:bookmarkStart w:id="24" w:name="_Toc75446583"/>
      <w:bookmarkStart w:id="25" w:name="_Toc53393312"/>
      <w:r>
        <w:rPr>
          <w:sz w:val="28"/>
          <w:szCs w:val="28"/>
        </w:rPr>
        <w:t>вания к документации по ценообразованию</w:t>
      </w:r>
      <w:bookmarkEnd w:id="25"/>
      <w:r>
        <w:rPr>
          <w:sz w:val="28"/>
          <w:szCs w:val="28"/>
        </w:rPr>
        <w:t xml:space="preserve"> на этапе закупки</w:t>
      </w:r>
      <w:bookmarkEnd w:id="24"/>
    </w:p>
    <w:p>
      <w:pPr>
        <w:pStyle w:val="Heading1"/>
        <w:numPr>
          <w:ilvl w:val="0"/>
          <w:numId w:val="0"/>
        </w:numPr>
        <w:spacing w:before="0" w:after="120"/>
        <w:ind w:hanging="0"/>
        <w:jc w:val="left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  <w:sz w:val="24"/>
          <w:szCs w:val="24"/>
          <w:lang w:eastAsia="x-none"/>
        </w:rPr>
        <w:t xml:space="preserve">3.1 </w:t>
      </w:r>
      <w:r>
        <w:rPr>
          <w:b w:val="false"/>
          <w:bCs w:val="false"/>
          <w:i w:val="false"/>
          <w:iCs w:val="false"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</w:t>
      </w:r>
    </w:p>
    <w:p>
      <w:pPr>
        <w:pStyle w:val="Normal"/>
        <w:spacing w:before="0" w:after="120"/>
        <w:ind w:left="357" w:hanging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46da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Абзац списка"/>
    <w:basedOn w:val="Normal"/>
    <w:qFormat/>
    <w:pPr>
      <w:spacing w:before="0" w:after="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D4B86-1D49-4C4B-AED9-20C805371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Application>AlterOffice/3.4.0.9$Linux_X86_64 LibreOffice_project/b8daf9e823b1a5463a2f48435ddc2e8696e7d4fc</Application>
  <AppVersion>15.0000</AppVersion>
  <Pages>5</Pages>
  <Words>523</Words>
  <Characters>3649</Characters>
  <CharactersWithSpaces>4053</CharactersWithSpaces>
  <Paragraphs>137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2021-04-05T15:04:00Z</dcterms:created>
  <dc:creator>Быстров Олег Геннадьевич</dc:creator>
  <dc:description/>
  <dc:language>ru-RU</dc:language>
  <cp:lastModifiedBy>shvalyukee@corp.gidroogk.com</cp:lastModifiedBy>
  <cp:lastPrinted>2006-07-26T14:04:00Z</cp:lastPrinted>
  <dcterms:modified xsi:type="dcterms:W3CDTF">2026-08-12T08:20:06Z</dcterms:modified>
  <cp:revision>29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