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val="false"/>
        <w:tabs>
          <w:tab w:val="clear" w:pos="709"/>
          <w:tab w:val="left" w:pos="6926" w:leader="none"/>
        </w:tabs>
        <w:suppressAutoHyphens w:val="true"/>
        <w:bidi w:val="0"/>
        <w:spacing w:before="0" w:after="0"/>
        <w:ind w:hanging="0"/>
        <w:jc w:val="right"/>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Директора Филиала ПАО «РусГидро» - «Загорская ГАЭС» Жизневского Виктора Викторовича</w:t>
      </w:r>
      <w:r>
        <w:rPr>
          <w:spacing w:val="4"/>
          <w:sz w:val="24"/>
          <w:szCs w:val="24"/>
        </w:rPr>
        <w:t xml:space="preserve">, действующего на основании доверенности 895d91be-ee10-4ce0-946a-079ab992baca от 21.01.2025,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color w:val="000000"/>
          <w:kern w:val="0"/>
          <w:sz w:val="24"/>
          <w:szCs w:val="24"/>
          <w:shd w:fill="auto" w:val="clear"/>
        </w:rPr>
        <w:t xml:space="preserve">по результатам проведенной Покупателем </w:t>
      </w:r>
      <w:r>
        <w:rPr>
          <w:color w:val="000000"/>
          <w:sz w:val="24"/>
          <w:szCs w:val="24"/>
          <w:shd w:fill="auto" w:val="clear"/>
        </w:rPr>
        <w:t>закупочной</w:t>
      </w:r>
      <w:r>
        <w:rPr>
          <w:color w:val="000000"/>
          <w:kern w:val="0"/>
          <w:sz w:val="24"/>
          <w:szCs w:val="24"/>
          <w:shd w:fill="auto" w:val="clear"/>
        </w:rPr>
        <w:t xml:space="preserve"> процедуры по лоту № </w:t>
      </w:r>
      <w:r>
        <w:rPr>
          <w:color w:val="000000"/>
          <w:sz w:val="24"/>
          <w:szCs w:val="24"/>
          <w:shd w:fill="auto" w:val="clear"/>
          <w:lang w:eastAsia="en-US"/>
        </w:rPr>
        <w:t xml:space="preserve">____________ и на основании протокола __________ от «___» _________ г. №_______, </w:t>
      </w:r>
      <w:r>
        <w:rPr>
          <w:color w:val="000000"/>
          <w:sz w:val="24"/>
          <w:szCs w:val="24"/>
          <w:shd w:fill="auto" w:val="clear"/>
        </w:rPr>
        <w:t>заключили настоящий договор поставки (да</w:t>
      </w:r>
      <w:r>
        <w:rPr>
          <w:sz w:val="24"/>
          <w:szCs w:val="24"/>
        </w:rPr>
        <w:t>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ind w:left="0" w:right="0" w:firstLine="709"/>
        <w:jc w:val="both"/>
        <w:rPr>
          <w:sz w:val="24"/>
          <w:szCs w:val="24"/>
          <w:lang w:eastAsia="en-US"/>
        </w:rPr>
      </w:pPr>
      <w:r>
        <w:rPr>
          <w:b/>
          <w:color w:val="auto"/>
          <w:sz w:val="24"/>
          <w:szCs w:val="24"/>
          <w:lang w:val="ru-RU" w:eastAsia="en-US"/>
        </w:rPr>
        <w:t>«Универсальный передаточный документ (УПД)»</w:t>
      </w:r>
      <w:r>
        <w:rPr>
          <w:b w:val="false"/>
          <w:color w:val="auto"/>
          <w:sz w:val="24"/>
          <w:szCs w:val="24"/>
          <w:lang w:val="ru-RU"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 w:val="false"/>
          <w:bCs/>
          <w:sz w:val="24"/>
          <w:szCs w:val="24"/>
          <w:shd w:fill="auto" w:val="clear"/>
        </w:rPr>
        <w:t xml:space="preserve"> </w:t>
      </w:r>
      <w:r>
        <w:rPr>
          <w:b w:val="false"/>
          <w:bCs w:val="false"/>
          <w:color w:val="000000"/>
          <w:sz w:val="24"/>
          <w:szCs w:val="24"/>
          <w:shd w:fill="auto" w:val="clear"/>
        </w:rPr>
        <w:t>материал</w:t>
      </w:r>
      <w:r>
        <w:rPr>
          <w:b w:val="false"/>
          <w:bCs w:val="false"/>
          <w:color w:val="000000"/>
          <w:sz w:val="24"/>
          <w:szCs w:val="24"/>
          <w:shd w:fill="auto" w:val="clear"/>
        </w:rPr>
        <w:t>ы</w:t>
      </w:r>
      <w:r>
        <w:rPr>
          <w:b w:val="false"/>
          <w:bCs w:val="false"/>
          <w:color w:val="000000"/>
          <w:sz w:val="24"/>
          <w:szCs w:val="24"/>
          <w:shd w:fill="auto" w:val="clear"/>
        </w:rPr>
        <w:t xml:space="preserve"> для оборудования камеры хранения на ЦКПП</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shd w:fill="auto" w:val="clear"/>
        </w:rPr>
        <w:t>филиала ПАО «РусГидро»-«Загорская ГАЭС».</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bCs/>
          <w:color w:val="000000"/>
          <w:sz w:val="24"/>
          <w:szCs w:val="24"/>
          <w:shd w:fill="auto" w:val="clear"/>
        </w:rPr>
        <w:t>141342, Московская обл., Сергиево-Посадский г.о., пгт. Богородское, д. 100</w:t>
      </w:r>
      <w:r>
        <w:rPr>
          <w:sz w:val="24"/>
          <w:szCs w:val="24"/>
          <w:shd w:fill="auto" w:val="clear"/>
        </w:rPr>
        <w:t xml:space="preserve">  </w:t>
      </w:r>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shd w:fill="auto" w:val="clear"/>
        </w:rPr>
        <w:t>«__»_______2026</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shd w:fill="auto" w:val="clear"/>
        </w:rPr>
        <w:t>твердой</w:t>
      </w:r>
      <w:r>
        <w:rPr>
          <w:rStyle w:val="FootnoteReference"/>
          <w:bCs/>
          <w:sz w:val="24"/>
          <w:szCs w:val="24"/>
          <w:shd w:fill="auto" w:val="clear"/>
          <w:vertAlign w:val="superscript"/>
        </w:rPr>
        <w:footnoteReference w:id="2"/>
      </w:r>
      <w:r>
        <w:rPr>
          <w:bCs/>
          <w:sz w:val="24"/>
          <w:szCs w:val="24"/>
        </w:rPr>
        <w:t xml:space="preserve"> и составляет</w:t>
      </w:r>
      <w:r>
        <w:rPr>
          <w:bCs/>
          <w:sz w:val="24"/>
          <w:szCs w:val="24"/>
          <w:shd w:fill="auto" w:val="clear"/>
        </w:rPr>
        <w:t xml:space="preserve"> </w:t>
      </w:r>
      <w:r>
        <w:rPr>
          <w:sz w:val="24"/>
          <w:szCs w:val="24"/>
          <w:shd w:fill="auto" w:val="clear"/>
        </w:rPr>
        <w:t>_______</w:t>
      </w:r>
      <w:r>
        <w:rPr>
          <w:bCs/>
          <w:sz w:val="24"/>
          <w:szCs w:val="24"/>
          <w:shd w:fill="auto" w:val="clear"/>
        </w:rPr>
        <w:t xml:space="preserve"> (</w:t>
      </w:r>
      <w:r>
        <w:rPr>
          <w:sz w:val="24"/>
          <w:szCs w:val="24"/>
          <w:shd w:fill="auto" w:val="clear"/>
        </w:rPr>
        <w:t>__________________</w:t>
      </w:r>
      <w:r>
        <w:rPr>
          <w:bCs/>
          <w:sz w:val="24"/>
          <w:szCs w:val="24"/>
          <w:shd w:fill="auto" w:val="clear"/>
        </w:rPr>
        <w:t xml:space="preserve">) рублей </w:t>
      </w:r>
      <w:r>
        <w:rPr>
          <w:sz w:val="24"/>
          <w:szCs w:val="24"/>
          <w:shd w:fill="auto" w:val="clear"/>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0"/>
          <w:numId w:val="0"/>
        </w:numPr>
        <w:tabs>
          <w:tab w:val="clear" w:pos="709"/>
          <w:tab w:val="left" w:pos="568" w:leader="none"/>
          <w:tab w:val="left" w:pos="1134" w:leader="none"/>
        </w:tabs>
        <w:ind w:left="0" w:hanging="0"/>
        <w:jc w:val="both"/>
        <w:rPr>
          <w:bCs/>
          <w:sz w:val="24"/>
          <w:szCs w:val="24"/>
          <w:highlight w:val="lightGray"/>
        </w:rPr>
      </w:pPr>
      <w:r>
        <w:rPr>
          <w:bCs/>
          <w:sz w:val="24"/>
          <w:szCs w:val="24"/>
          <w:highlight w:val="lightGray"/>
        </w:rPr>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shd w:fill="auto" w:val="clear"/>
        </w:rPr>
        <w:t>перемещение по территории Покупателя,</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 xml:space="preserve">Авансовый платеж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pPr>
        <w:pStyle w:val="ListParagraph"/>
        <w:numPr>
          <w:ilvl w:val="2"/>
          <w:numId w:val="2"/>
        </w:numPr>
        <w:tabs>
          <w:tab w:val="clear" w:pos="709"/>
        </w:tabs>
        <w:ind w:left="0" w:firstLine="709"/>
        <w:jc w:val="both"/>
        <w:rPr>
          <w:sz w:val="24"/>
        </w:rPr>
      </w:pPr>
      <w:r>
        <w:rPr>
          <w:sz w:val="24"/>
        </w:rPr>
        <w:t xml:space="preserve">Окончательный платеж в размере  разницы между стоимостью Товара без учёта НДС, кроме того НДС по ставке, установленной статьёй 164 НК РФ,  выплачивается Поставщику в течение </w:t>
      </w:r>
      <w:r>
        <w:rPr>
          <w:sz w:val="24"/>
          <w:shd w:fill="auto" w:val="clear"/>
        </w:rPr>
        <w:t xml:space="preserve"> 7 (семи) рабочих дней </w:t>
      </w:r>
      <w:r>
        <w:rPr>
          <w:sz w:val="24"/>
        </w:rPr>
        <w:t>с даты подписания Сторонами накладной ТОРГ-12/УПД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 1 (одном)экз.;</w:t>
      </w:r>
    </w:p>
    <w:p>
      <w:pPr>
        <w:pStyle w:val="Normal"/>
        <w:numPr>
          <w:ilvl w:val="0"/>
          <w:numId w:val="4"/>
        </w:numPr>
        <w:tabs>
          <w:tab w:val="clear" w:pos="709"/>
          <w:tab w:val="left" w:pos="1418" w:leader="none"/>
        </w:tabs>
        <w:ind w:left="0" w:firstLine="709"/>
        <w:jc w:val="both"/>
        <w:rPr>
          <w:sz w:val="24"/>
          <w:szCs w:val="24"/>
        </w:rPr>
      </w:pPr>
      <w:r>
        <w:rPr>
          <w:sz w:val="24"/>
          <w:szCs w:val="24"/>
        </w:rPr>
        <w:t>технический паспорт на русском языке в 1 (одном)экз.;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shd w:fill="auto" w:val="clear"/>
        </w:rPr>
        <w:t xml:space="preserve">1 (одном) </w:t>
      </w:r>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shd w:fill="auto" w:val="clear"/>
        </w:rPr>
        <w:t>1 (одном)</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r>
        <w:rPr>
          <w:sz w:val="24"/>
          <w:szCs w:val="24"/>
          <w:shd w:fill="auto" w:val="clear"/>
        </w:rPr>
        <w:t xml:space="preserve">2 (двух) </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shd w:fill="auto" w:val="clear"/>
        </w:rPr>
        <w:t xml:space="preserve">и перемещение Товара (в том числе </w:t>
        <w:br/>
        <w:t>по территории Покупателя)</w:t>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w:t>
      </w:r>
      <w:r>
        <w:rPr>
          <w:sz w:val="24"/>
          <w:szCs w:val="24"/>
          <w:shd w:fill="auto" w:val="clear"/>
        </w:rPr>
        <w:t xml:space="preserve"> 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shd w:fill="auto" w:val="clear"/>
        </w:rPr>
        <w:t xml:space="preserve">3 (трех) </w:t>
      </w:r>
      <w:r>
        <w:rPr>
          <w:sz w:val="24"/>
          <w:szCs w:val="24"/>
        </w:rPr>
        <w:t xml:space="preserve">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shd w:fill="auto" w:val="clear"/>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 xml:space="preserve">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0"/>
          <w:numId w:val="0"/>
        </w:numPr>
        <w:shd w:val="clear" w:color="auto" w:fill="FFFFFF"/>
        <w:tabs>
          <w:tab w:val="clear" w:pos="709"/>
          <w:tab w:val="left" w:pos="1134" w:leader="none"/>
          <w:tab w:val="left" w:pos="1985" w:leader="none"/>
        </w:tabs>
        <w:ind w:left="0" w:hanging="0"/>
        <w:jc w:val="both"/>
        <w:rPr>
          <w:bCs/>
          <w:sz w:val="24"/>
          <w:szCs w:val="24"/>
        </w:rPr>
      </w:pPr>
      <w:r>
        <w:rPr>
          <w:bCs/>
          <w:sz w:val="24"/>
          <w:szCs w:val="24"/>
        </w:rPr>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6"/>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6"/>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6"/>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6"/>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6"/>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6"/>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6"/>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6"/>
        </w:numPr>
        <w:ind w:left="0" w:firstLine="709"/>
        <w:jc w:val="both"/>
        <w:rPr>
          <w:highlight w:val="none"/>
          <w:shd w:fill="auto" w:val="clear"/>
        </w:rPr>
      </w:pPr>
      <w:r>
        <w:rPr>
          <w:sz w:val="24"/>
          <w:szCs w:val="24"/>
          <w:shd w:fill="auto" w:val="clear"/>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shd w:fill="auto" w:val="clear"/>
        </w:rPr>
        <w:t>Покупателем</w:t>
      </w:r>
      <w:r>
        <w:rPr>
          <w:sz w:val="24"/>
          <w:szCs w:val="24"/>
          <w:shd w:fill="auto" w:val="clear"/>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shd w:fill="auto" w:val="clear"/>
        </w:rPr>
        <w:t>Покупателем</w:t>
      </w:r>
      <w:r>
        <w:rPr>
          <w:sz w:val="24"/>
          <w:szCs w:val="24"/>
          <w:shd w:fill="auto" w:val="clear"/>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shd w:fill="auto" w:val="clear"/>
        </w:rPr>
        <w:t>Покупателем</w:t>
      </w:r>
      <w:r>
        <w:rPr>
          <w:sz w:val="24"/>
          <w:szCs w:val="24"/>
          <w:shd w:fill="auto" w:val="clear"/>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highlight w:val="none"/>
          <w:shd w:fill="auto" w:val="clear"/>
        </w:rPr>
      </w:pPr>
      <w:r>
        <w:rPr>
          <w:sz w:val="24"/>
          <w:szCs w:val="24"/>
          <w:shd w:fill="auto" w:val="clear"/>
        </w:rPr>
        <w:t xml:space="preserve">Кроме суммы реального ущерба, Поставщик компенсирует </w:t>
      </w:r>
      <w:r>
        <w:rPr>
          <w:bCs/>
          <w:sz w:val="24"/>
          <w:szCs w:val="24"/>
          <w:shd w:fill="auto" w:val="clear"/>
        </w:rPr>
        <w:t>Покупателем</w:t>
      </w:r>
      <w:r>
        <w:rPr>
          <w:sz w:val="24"/>
          <w:szCs w:val="24"/>
          <w:shd w:fill="auto" w:val="clear"/>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highlight w:val="none"/>
          <w:shd w:fill="auto" w:val="clear"/>
        </w:rPr>
      </w:pPr>
      <w:r>
        <w:rPr>
          <w:sz w:val="24"/>
          <w:szCs w:val="24"/>
          <w:shd w:fill="auto" w:val="clear"/>
        </w:rPr>
        <w:t xml:space="preserve">Размер упущенной выгоды (выручки) подтверждается (по выбору </w:t>
      </w:r>
      <w:r>
        <w:rPr>
          <w:bCs/>
          <w:sz w:val="24"/>
          <w:szCs w:val="24"/>
          <w:shd w:fill="auto" w:val="clear"/>
        </w:rPr>
        <w:t>Покупателя</w:t>
      </w:r>
      <w:r>
        <w:rPr>
          <w:sz w:val="24"/>
          <w:szCs w:val="24"/>
          <w:shd w:fill="auto" w:val="clear"/>
        </w:rPr>
        <w:t>):</w:t>
      </w:r>
    </w:p>
    <w:p>
      <w:pPr>
        <w:pStyle w:val="Normal"/>
        <w:widowControl/>
        <w:numPr>
          <w:ilvl w:val="0"/>
          <w:numId w:val="13"/>
        </w:numPr>
        <w:spacing w:lineRule="auto" w:line="259"/>
        <w:ind w:left="0" w:firstLine="709"/>
        <w:jc w:val="both"/>
        <w:rPr>
          <w:highlight w:val="none"/>
          <w:shd w:fill="auto" w:val="clear"/>
        </w:rPr>
      </w:pPr>
      <w:r>
        <w:rPr>
          <w:sz w:val="24"/>
          <w:szCs w:val="24"/>
          <w:shd w:fill="auto" w:val="clear"/>
        </w:rPr>
        <w:t>в ценовых зонах:</w:t>
      </w:r>
    </w:p>
    <w:p>
      <w:pPr>
        <w:pStyle w:val="Normal"/>
        <w:ind w:firstLine="709"/>
        <w:jc w:val="both"/>
        <w:rPr>
          <w:highlight w:val="none"/>
          <w:shd w:fill="auto" w:val="clear"/>
        </w:rPr>
      </w:pPr>
      <w:r>
        <w:rPr>
          <w:sz w:val="24"/>
          <w:szCs w:val="24"/>
          <w:shd w:fill="auto" w:val="clear"/>
        </w:rPr>
        <w:t xml:space="preserve">расчетом, подготовленным Коммерческим оператором оптового рынка; </w:t>
      </w:r>
    </w:p>
    <w:p>
      <w:pPr>
        <w:pStyle w:val="Normal"/>
        <w:ind w:firstLine="709"/>
        <w:jc w:val="both"/>
        <w:rPr>
          <w:highlight w:val="none"/>
          <w:shd w:fill="auto" w:val="clear"/>
        </w:rPr>
      </w:pPr>
      <w:r>
        <w:rPr>
          <w:sz w:val="24"/>
          <w:szCs w:val="24"/>
          <w:shd w:fill="auto" w:val="clear"/>
        </w:rPr>
        <w:t>и / или</w:t>
      </w:r>
    </w:p>
    <w:p>
      <w:pPr>
        <w:pStyle w:val="Normal"/>
        <w:ind w:firstLine="709"/>
        <w:jc w:val="both"/>
        <w:rPr>
          <w:highlight w:val="none"/>
          <w:shd w:fill="auto" w:val="clear"/>
        </w:rPr>
      </w:pPr>
      <w:r>
        <w:rPr>
          <w:sz w:val="24"/>
          <w:szCs w:val="24"/>
          <w:shd w:fill="auto" w:val="clear"/>
        </w:rPr>
        <w:t xml:space="preserve">расчетом, подготовленным </w:t>
      </w:r>
      <w:r>
        <w:rPr>
          <w:bCs/>
          <w:sz w:val="24"/>
          <w:szCs w:val="24"/>
          <w:shd w:fill="auto" w:val="clear"/>
        </w:rPr>
        <w:t>Покупателем</w:t>
      </w:r>
      <w:r>
        <w:rPr>
          <w:sz w:val="24"/>
          <w:szCs w:val="24"/>
          <w:shd w:fill="auto" w:val="clear"/>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val="false"/>
        <w:numPr>
          <w:ilvl w:val="0"/>
          <w:numId w:val="0"/>
        </w:numPr>
        <w:suppressAutoHyphens w:val="true"/>
        <w:bidi w:val="0"/>
        <w:spacing w:lineRule="auto" w:line="240" w:before="0" w:after="0"/>
        <w:ind w:left="0" w:firstLine="709"/>
        <w:jc w:val="both"/>
        <w:rPr>
          <w:sz w:val="24"/>
          <w:szCs w:val="24"/>
          <w:highlight w:val="lightGray"/>
        </w:rPr>
      </w:pPr>
      <w:r>
        <w:rPr>
          <w:sz w:val="24"/>
          <w:szCs w:val="24"/>
          <w:highlight w:val="lightGray"/>
        </w:rPr>
      </w:r>
    </w:p>
    <w:p>
      <w:pPr>
        <w:pStyle w:val="ListParagraph"/>
        <w:widowControl/>
        <w:numPr>
          <w:ilvl w:val="1"/>
          <w:numId w:val="16"/>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0"/>
          <w:numId w:val="0"/>
        </w:numPr>
        <w:ind w:left="0" w:hanging="0"/>
        <w:jc w:val="both"/>
        <w:rPr>
          <w:rFonts w:eastAsia="Calibri"/>
          <w:bCs/>
          <w:sz w:val="24"/>
          <w:szCs w:val="24"/>
          <w:highlight w:val="lightGray"/>
        </w:rPr>
      </w:pPr>
      <w:r>
        <w:rPr>
          <w:rFonts w:eastAsia="Calibri"/>
          <w:bCs/>
          <w:sz w:val="24"/>
          <w:szCs w:val="24"/>
          <w:highlight w:val="lightGray"/>
        </w:rPr>
      </w:r>
    </w:p>
    <w:p>
      <w:pPr>
        <w:pStyle w:val="ListParagraph"/>
        <w:widowControl/>
        <w:numPr>
          <w:ilvl w:val="1"/>
          <w:numId w:val="16"/>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6"/>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6"/>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6"/>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0"/>
          <w:numId w:val="0"/>
        </w:numPr>
        <w:shd w:val="clear" w:color="auto" w:fill="FFFFFF"/>
        <w:ind w:left="0" w:hanging="0"/>
        <w:jc w:val="both"/>
        <w:rPr>
          <w:bCs/>
          <w:sz w:val="24"/>
          <w:szCs w:val="24"/>
        </w:rPr>
      </w:pPr>
      <w:r>
        <w:rPr>
          <w:bCs/>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auto" w:val="clear"/>
        </w:rPr>
        <w:t xml:space="preserve">Московской области </w:t>
      </w:r>
      <w:r>
        <w:rPr>
          <w:bCs/>
          <w:sz w:val="24"/>
          <w:szCs w:val="24"/>
        </w:rPr>
        <w:t xml:space="preserve">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shd w:fill="auto" w:val="clear"/>
        </w:rPr>
        <w:t xml:space="preserve">14.8 </w:t>
      </w:r>
      <w:r>
        <w:rPr>
          <w:bCs/>
          <w:sz w:val="24"/>
          <w:szCs w:val="24"/>
        </w:rPr>
        <w:t>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shd w:fill="auto" w:val="clear"/>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numPr>
          <w:ilvl w:val="1"/>
          <w:numId w:val="2"/>
        </w:numPr>
        <w:rPr>
          <w:highlight w:val="none"/>
          <w:shd w:fill="auto" w:val="clear"/>
        </w:rPr>
      </w:pPr>
      <w:r>
        <w:rPr>
          <w:sz w:val="24"/>
          <w:szCs w:val="24"/>
          <w:shd w:fill="auto" w:val="clea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sz w:val="24"/>
          <w:szCs w:val="24"/>
          <w:shd w:fill="auto" w:val="clea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shd w:fill="auto" w:val="clear"/>
        </w:rPr>
        <w:t xml:space="preserve">14.7 </w:t>
      </w:r>
      <w:r>
        <w:rPr>
          <w:sz w:val="24"/>
          <w:szCs w:val="24"/>
        </w:rPr>
        <w:t xml:space="preserve">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shd w:fill="auto" w:val="clear"/>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shd w:fill="auto" w:val="clear"/>
        </w:rPr>
        <w:t xml:space="preserve">14.8 </w:t>
      </w:r>
      <w:r>
        <w:rPr>
          <w:sz w:val="24"/>
          <w:szCs w:val="24"/>
        </w:rPr>
        <w:t>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shd w:fill="auto" w:val="clear"/>
        </w:rPr>
        <w:t xml:space="preserve">14.8.1 – 14.8.2 </w:t>
      </w:r>
      <w:r>
        <w:rPr>
          <w:bCs/>
          <w:sz w:val="24"/>
          <w:szCs w:val="24"/>
        </w:rPr>
        <w:t xml:space="preserve">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widowControl w:val="false"/>
        <w:suppressAutoHyphens w:val="true"/>
        <w:bidi w:val="0"/>
        <w:spacing w:before="0" w:after="0"/>
        <w:ind w:firstLine="709"/>
        <w:jc w:val="both"/>
        <w:rPr>
          <w:bCs/>
          <w:sz w:val="24"/>
          <w:szCs w:val="24"/>
          <w:highlight w:val="lightGray"/>
        </w:rPr>
      </w:pPr>
      <w:r>
        <w:rPr>
          <w:bCs/>
          <w:sz w:val="24"/>
          <w:szCs w:val="24"/>
          <w:highlight w:val="lightGray"/>
        </w:rPr>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5"/>
        <w:gridCol w:w="153"/>
        <w:gridCol w:w="4633"/>
        <w:gridCol w:w="329"/>
      </w:tblGrid>
      <w:tr>
        <w:trPr/>
        <w:tc>
          <w:tcPr>
            <w:tcW w:w="4928" w:type="dxa"/>
            <w:gridSpan w:val="2"/>
            <w:tcBorders/>
          </w:tcPr>
          <w:p>
            <w:pPr>
              <w:pStyle w:val="Normal"/>
              <w:widowControl w:val="false"/>
              <w:rPr>
                <w:highlight w:val="none"/>
                <w:shd w:fill="auto" w:val="clear"/>
              </w:rPr>
            </w:pPr>
            <w:r>
              <w:rPr>
                <w:sz w:val="24"/>
                <w:szCs w:val="24"/>
                <w:shd w:fill="auto" w:val="clear"/>
              </w:rPr>
              <w:t>ПОКУПАТЕЛЬ:</w:t>
            </w:r>
          </w:p>
        </w:tc>
        <w:tc>
          <w:tcPr>
            <w:tcW w:w="4962" w:type="dxa"/>
            <w:gridSpan w:val="2"/>
            <w:tcBorders/>
          </w:tcPr>
          <w:p>
            <w:pPr>
              <w:pStyle w:val="Normal"/>
              <w:widowControl w:val="false"/>
              <w:rPr>
                <w:highlight w:val="none"/>
                <w:shd w:fill="auto" w:val="clear"/>
              </w:rPr>
            </w:pPr>
            <w:r>
              <w:rPr>
                <w:sz w:val="24"/>
                <w:szCs w:val="24"/>
                <w:shd w:fill="auto" w:val="clear"/>
              </w:rPr>
              <w:t>ПОСТАВЩИК:</w:t>
            </w:r>
          </w:p>
        </w:tc>
      </w:tr>
      <w:tr>
        <w:trPr/>
        <w:tc>
          <w:tcPr>
            <w:tcW w:w="4928"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sz w:val="24"/>
                <w:szCs w:val="24"/>
                <w:shd w:fill="auto" w:val="clear"/>
              </w:rPr>
              <w:t>Публичное акционерное общество</w:t>
            </w:r>
          </w:p>
          <w:p>
            <w:pPr>
              <w:pStyle w:val="Normal"/>
              <w:widowControl w:val="false"/>
              <w:rPr>
                <w:highlight w:val="none"/>
                <w:shd w:fill="auto" w:val="clear"/>
              </w:rPr>
            </w:pPr>
            <w:r>
              <w:rPr>
                <w:b/>
                <w:sz w:val="24"/>
                <w:szCs w:val="24"/>
                <w:shd w:fill="auto" w:val="clear"/>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 xml:space="preserve">Адрес: 660049, Красноярский край, </w:t>
            </w:r>
          </w:p>
          <w:p>
            <w:pPr>
              <w:pStyle w:val="Normal"/>
              <w:widowControl w:val="false"/>
              <w:rPr>
                <w:sz w:val="24"/>
                <w:szCs w:val="24"/>
              </w:rPr>
            </w:pPr>
            <w:r>
              <w:rPr>
                <w:sz w:val="24"/>
                <w:szCs w:val="24"/>
              </w:rPr>
              <w:t>г. Красноярск, ул. Перенсона, зд. 2а, помещ.1</w:t>
            </w:r>
          </w:p>
          <w:p>
            <w:pPr>
              <w:pStyle w:val="Normal"/>
              <w:widowControl w:val="false"/>
              <w:rPr>
                <w:sz w:val="24"/>
                <w:szCs w:val="24"/>
              </w:rPr>
            </w:pPr>
            <w:r>
              <w:rPr>
                <w:sz w:val="24"/>
                <w:szCs w:val="24"/>
              </w:rPr>
              <w:t xml:space="preserve">Грузополучатель, Плательщик: </w:t>
            </w:r>
          </w:p>
          <w:p>
            <w:pPr>
              <w:pStyle w:val="Normal"/>
              <w:widowControl w:val="false"/>
              <w:rPr>
                <w:sz w:val="24"/>
                <w:szCs w:val="24"/>
              </w:rPr>
            </w:pPr>
            <w:r>
              <w:rPr>
                <w:sz w:val="24"/>
                <w:szCs w:val="24"/>
              </w:rPr>
              <w:t xml:space="preserve">Филиал ПАО «РусГидро» - «Загорская ГАЭС» </w:t>
            </w:r>
          </w:p>
          <w:p>
            <w:pPr>
              <w:pStyle w:val="Normal"/>
              <w:widowControl w:val="false"/>
              <w:rPr>
                <w:sz w:val="24"/>
                <w:szCs w:val="24"/>
              </w:rPr>
            </w:pPr>
            <w:r>
              <w:rPr>
                <w:sz w:val="24"/>
                <w:szCs w:val="24"/>
              </w:rPr>
              <w:t>Место нахождения Филиала:</w:t>
            </w:r>
          </w:p>
          <w:p>
            <w:pPr>
              <w:pStyle w:val="Normal"/>
              <w:widowControl w:val="false"/>
              <w:rPr>
                <w:sz w:val="24"/>
                <w:szCs w:val="24"/>
              </w:rPr>
            </w:pPr>
            <w:r>
              <w:rPr>
                <w:sz w:val="24"/>
                <w:szCs w:val="24"/>
              </w:rPr>
              <w:t>Россия, 141342, Московская область, Сергиево-Посадский г.о., пгт. Богородское, д. 100</w:t>
            </w:r>
          </w:p>
          <w:p>
            <w:pPr>
              <w:pStyle w:val="Normal"/>
              <w:widowControl w:val="false"/>
              <w:rPr>
                <w:sz w:val="24"/>
                <w:szCs w:val="24"/>
              </w:rPr>
            </w:pPr>
            <w:r>
              <w:rPr>
                <w:sz w:val="24"/>
                <w:szCs w:val="24"/>
              </w:rPr>
              <w:t>ИНН 2460066195 КПП 504202001</w:t>
            </w:r>
          </w:p>
          <w:p>
            <w:pPr>
              <w:pStyle w:val="Normal"/>
              <w:widowControl w:val="false"/>
              <w:rPr>
                <w:sz w:val="24"/>
                <w:szCs w:val="24"/>
              </w:rPr>
            </w:pPr>
            <w:r>
              <w:rPr>
                <w:sz w:val="24"/>
                <w:szCs w:val="24"/>
              </w:rPr>
              <w:t>Р/с 40702810200190001070</w:t>
            </w:r>
          </w:p>
          <w:p>
            <w:pPr>
              <w:pStyle w:val="Normal"/>
              <w:widowControl w:val="false"/>
              <w:rPr>
                <w:sz w:val="24"/>
                <w:szCs w:val="24"/>
              </w:rPr>
            </w:pPr>
            <w:r>
              <w:rPr>
                <w:sz w:val="24"/>
                <w:szCs w:val="24"/>
              </w:rPr>
              <w:t>Филиал Банка ВТБ (ПАО) в г. Москва</w:t>
            </w:r>
          </w:p>
          <w:p>
            <w:pPr>
              <w:pStyle w:val="Normal"/>
              <w:widowControl w:val="false"/>
              <w:rPr>
                <w:sz w:val="24"/>
                <w:szCs w:val="24"/>
              </w:rPr>
            </w:pPr>
            <w:r>
              <w:rPr>
                <w:sz w:val="24"/>
                <w:szCs w:val="24"/>
              </w:rPr>
              <w:t>К/с 30101810700000000187</w:t>
            </w:r>
          </w:p>
          <w:p>
            <w:pPr>
              <w:pStyle w:val="Normal"/>
              <w:widowControl w:val="false"/>
              <w:rPr>
                <w:sz w:val="24"/>
                <w:szCs w:val="24"/>
              </w:rPr>
            </w:pPr>
            <w:r>
              <w:rPr>
                <w:sz w:val="24"/>
                <w:szCs w:val="24"/>
              </w:rPr>
              <w:t>БИК 044525187</w:t>
            </w:r>
          </w:p>
          <w:p>
            <w:pPr>
              <w:pStyle w:val="Normal"/>
              <w:widowControl w:val="false"/>
              <w:rPr>
                <w:sz w:val="24"/>
                <w:szCs w:val="24"/>
              </w:rPr>
            </w:pPr>
            <w:r>
              <w:rPr>
                <w:sz w:val="24"/>
                <w:szCs w:val="24"/>
              </w:rPr>
              <w:t>ОГРН 1042401810494</w:t>
            </w:r>
          </w:p>
          <w:p>
            <w:pPr>
              <w:pStyle w:val="Normal"/>
              <w:widowControl w:val="false"/>
              <w:rPr>
                <w:sz w:val="24"/>
                <w:szCs w:val="24"/>
              </w:rPr>
            </w:pPr>
            <w:r>
              <w:rPr>
                <w:sz w:val="24"/>
                <w:szCs w:val="24"/>
              </w:rPr>
              <w:t>ОКВЭД 35.11.2, ОКПО 04622553</w:t>
            </w:r>
          </w:p>
          <w:p>
            <w:pPr>
              <w:pStyle w:val="Normal"/>
              <w:widowControl w:val="false"/>
              <w:rPr>
                <w:sz w:val="24"/>
                <w:szCs w:val="24"/>
              </w:rPr>
            </w:pPr>
            <w:r>
              <w:rPr>
                <w:sz w:val="24"/>
                <w:szCs w:val="24"/>
              </w:rPr>
              <w:t xml:space="preserve">ОКАТО 46215553000 </w:t>
            </w:r>
          </w:p>
          <w:p>
            <w:pPr>
              <w:pStyle w:val="Normal"/>
              <w:widowControl w:val="false"/>
              <w:rPr>
                <w:sz w:val="24"/>
                <w:szCs w:val="24"/>
              </w:rPr>
            </w:pPr>
            <w:r>
              <w:rPr>
                <w:sz w:val="24"/>
                <w:szCs w:val="24"/>
              </w:rPr>
              <w:t>ОКОПФ 30002 ОКОГУ 4210014</w:t>
            </w:r>
          </w:p>
          <w:p>
            <w:pPr>
              <w:pStyle w:val="Normal"/>
              <w:widowControl w:val="false"/>
              <w:rPr>
                <w:sz w:val="24"/>
                <w:szCs w:val="24"/>
              </w:rPr>
            </w:pPr>
            <w:r>
              <w:rPr>
                <w:sz w:val="24"/>
                <w:szCs w:val="24"/>
              </w:rPr>
              <w:t>Тел. (496) 554-75-00</w:t>
            </w:r>
          </w:p>
          <w:p>
            <w:pPr>
              <w:pStyle w:val="Normal"/>
              <w:widowControl w:val="false"/>
              <w:rPr>
                <w:sz w:val="24"/>
                <w:szCs w:val="24"/>
              </w:rPr>
            </w:pPr>
            <w:r>
              <w:rPr>
                <w:sz w:val="24"/>
                <w:szCs w:val="24"/>
              </w:rPr>
            </w:r>
          </w:p>
        </w:tc>
        <w:tc>
          <w:tcPr>
            <w:tcW w:w="4962"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Место нахождения:</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Почтовый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ОГРН ___________________________</w:t>
            </w:r>
          </w:p>
          <w:p>
            <w:pPr>
              <w:pStyle w:val="Normal"/>
              <w:widowControl w:val="false"/>
              <w:rPr>
                <w:highlight w:val="none"/>
                <w:shd w:fill="auto" w:val="clear"/>
              </w:rPr>
            </w:pPr>
            <w:r>
              <w:rPr>
                <w:sz w:val="24"/>
                <w:szCs w:val="24"/>
                <w:shd w:fill="auto" w:val="clear"/>
              </w:rPr>
              <w:t>ИНН ____________ / КПП___________</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r>
      <w:tr>
        <w:trPr/>
        <w:tc>
          <w:tcPr>
            <w:tcW w:w="4775" w:type="dxa"/>
            <w:tcBorders/>
          </w:tcPr>
          <w:p>
            <w:pPr>
              <w:pStyle w:val="Normal"/>
              <w:widowControl w:val="false"/>
              <w:rPr>
                <w:sz w:val="24"/>
                <w:szCs w:val="24"/>
              </w:rPr>
            </w:pPr>
            <w:r>
              <w:rPr>
                <w:sz w:val="24"/>
                <w:szCs w:val="24"/>
              </w:rPr>
              <w:t xml:space="preserve">Директор филиала </w:t>
            </w:r>
          </w:p>
          <w:p>
            <w:pPr>
              <w:pStyle w:val="Normal"/>
              <w:widowControl w:val="false"/>
              <w:rPr>
                <w:sz w:val="24"/>
                <w:szCs w:val="24"/>
              </w:rPr>
            </w:pPr>
            <w:r>
              <w:rPr>
                <w:sz w:val="24"/>
                <w:szCs w:val="24"/>
              </w:rPr>
              <w:t>ПАО «РусГидро» - «Загорская ГАЭС»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 В.В. Жизневский /</w:t>
            </w:r>
          </w:p>
          <w:p>
            <w:pPr>
              <w:pStyle w:val="Normal"/>
              <w:widowControl w:val="false"/>
              <w:rPr>
                <w:sz w:val="24"/>
                <w:szCs w:val="24"/>
              </w:rPr>
            </w:pPr>
            <w:r>
              <w:rPr/>
              <w:t>М.П.</w:t>
            </w:r>
          </w:p>
        </w:tc>
        <w:tc>
          <w:tcPr>
            <w:tcW w:w="4786" w:type="dxa"/>
            <w:gridSpan w:val="2"/>
            <w:tcBorders/>
          </w:tcPr>
          <w:p>
            <w:pPr>
              <w:pStyle w:val="Normal"/>
              <w:widowControl w:val="false"/>
              <w:rPr>
                <w:highlight w:val="none"/>
                <w:shd w:fill="auto" w:val="clear"/>
              </w:rPr>
            </w:pPr>
            <w:r>
              <w:rPr>
                <w:sz w:val="24"/>
                <w:szCs w:val="24"/>
                <w:shd w:fill="auto" w:val="clear"/>
              </w:rPr>
              <w:t xml:space="preserve">_______________ / _______________ </w:t>
            </w:r>
          </w:p>
        </w:tc>
        <w:tc>
          <w:tcPr>
            <w:tcW w:w="329" w:type="dxa"/>
            <w:tcBorders/>
          </w:tcPr>
          <w:p>
            <w:pPr>
              <w:pStyle w:val="Normal"/>
              <w:widowControl w:val="false"/>
              <w:rPr>
                <w:highlight w:val="none"/>
                <w:shd w:fill="auto" w:val="clear"/>
              </w:rPr>
            </w:pPr>
            <w:r>
              <w:rPr>
                <w:shd w:fill="auto" w:val="clea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widowControl w:val="false"/>
        <w:suppressAutoHyphens w:val="true"/>
        <w:bidi w:val="0"/>
        <w:spacing w:before="0" w:after="0"/>
        <w:ind w:right="96" w:hanging="0"/>
        <w:jc w:val="right"/>
        <w:rPr/>
      </w:pPr>
      <w:r>
        <w:rPr>
          <w:sz w:val="22"/>
          <w:szCs w:val="22"/>
        </w:rPr>
        <w:t>Приложение № 1</w:t>
      </w:r>
    </w:p>
    <w:p>
      <w:pPr>
        <w:pStyle w:val="Normal"/>
        <w:widowControl w:val="false"/>
        <w:suppressAutoHyphens w:val="true"/>
        <w:bidi w:val="0"/>
        <w:spacing w:before="0" w:after="0"/>
        <w:ind w:right="96" w:hanging="0"/>
        <w:jc w:val="right"/>
        <w:rPr/>
      </w:pPr>
      <w:r>
        <w:rPr>
          <w:sz w:val="22"/>
          <w:szCs w:val="22"/>
        </w:rPr>
        <w:t>к Договору поставки</w:t>
      </w:r>
    </w:p>
    <w:p>
      <w:pPr>
        <w:pStyle w:val="Normal"/>
        <w:widowControl w:val="false"/>
        <w:suppressAutoHyphens w:val="true"/>
        <w:bidi w:val="0"/>
        <w:spacing w:before="0" w:after="0"/>
        <w:ind w:right="96" w:hanging="0"/>
        <w:jc w:val="right"/>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397"/>
        <w:gridCol w:w="633"/>
        <w:gridCol w:w="635"/>
        <w:gridCol w:w="639"/>
        <w:gridCol w:w="799"/>
        <w:gridCol w:w="766"/>
        <w:gridCol w:w="644"/>
        <w:gridCol w:w="761"/>
        <w:gridCol w:w="721"/>
        <w:gridCol w:w="375"/>
        <w:gridCol w:w="158"/>
        <w:gridCol w:w="665"/>
        <w:gridCol w:w="583"/>
        <w:gridCol w:w="531"/>
        <w:gridCol w:w="745"/>
        <w:gridCol w:w="585"/>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3"/>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4"/>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0"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7"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jc w:val="right"/>
        <w:rPr/>
      </w:pPr>
      <w:r>
        <w:rPr>
          <w:sz w:val="22"/>
          <w:szCs w:val="22"/>
        </w:rPr>
        <w:t>Приложение № 2</w:t>
      </w:r>
    </w:p>
    <w:p>
      <w:pPr>
        <w:pStyle w:val="Normal"/>
        <w:suppressAutoHyphens w:val="true"/>
        <w:ind w:right="96" w:firstLine="5103"/>
        <w:jc w:val="right"/>
        <w:rPr/>
      </w:pPr>
      <w:r>
        <w:rPr>
          <w:sz w:val="22"/>
          <w:szCs w:val="22"/>
        </w:rPr>
        <w:t xml:space="preserve">к Договору поставки </w:t>
      </w:r>
    </w:p>
    <w:p>
      <w:pPr>
        <w:pStyle w:val="Normal"/>
        <w:suppressAutoHyphens w:val="true"/>
        <w:ind w:right="96" w:firstLine="5103"/>
        <w:jc w:val="right"/>
        <w:rPr/>
      </w:pPr>
      <w:r>
        <w:rPr>
          <w:sz w:val="22"/>
          <w:szCs w:val="22"/>
        </w:rPr>
        <w:t>от «____» __________ 20 _ г. № _____</w:t>
      </w:r>
    </w:p>
    <w:p>
      <w:pPr>
        <w:pStyle w:val="Normal"/>
        <w:widowControl/>
        <w:ind w:firstLine="567"/>
        <w:jc w:val="right"/>
        <w:rPr>
          <w:rFonts w:eastAsia="Calibri"/>
          <w:b/>
          <w:sz w:val="24"/>
          <w:szCs w:val="24"/>
          <w:lang w:eastAsia="en-US"/>
        </w:rPr>
      </w:pPr>
      <w:r>
        <w:rPr>
          <w:rFonts w:eastAsia="Calibri"/>
          <w:b/>
          <w:sz w:val="24"/>
          <w:szCs w:val="24"/>
          <w:lang w:eastAsia="en-US"/>
        </w:rPr>
      </w:r>
    </w:p>
    <w:p>
      <w:pPr>
        <w:pStyle w:val="Normal"/>
        <w:widowControl/>
        <w:ind w:firstLine="567"/>
        <w:jc w:val="right"/>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5"/>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6"/>
      </w:r>
      <w:r>
        <w:rPr>
          <w:sz w:val="24"/>
          <w:szCs w:val="24"/>
        </w:rPr>
        <w:t>, а также соответствовать следующим критериям:</w:t>
      </w:r>
    </w:p>
    <w:p>
      <w:pPr>
        <w:pStyle w:val="Normal"/>
        <w:widowControl/>
        <w:numPr>
          <w:ilvl w:val="1"/>
          <w:numId w:val="14"/>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4"/>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w:t>
        <w:br/>
        <w:t>213-ФЗ).</w:t>
      </w:r>
    </w:p>
    <w:p>
      <w:pPr>
        <w:pStyle w:val="Normal"/>
        <w:widowControl/>
        <w:numPr>
          <w:ilvl w:val="1"/>
          <w:numId w:val="14"/>
        </w:numPr>
        <w:tabs>
          <w:tab w:val="clear" w:pos="709"/>
          <w:tab w:val="left" w:pos="1134" w:leader="none"/>
        </w:tabs>
        <w:ind w:left="0" w:firstLine="710"/>
        <w:jc w:val="both"/>
        <w:rPr>
          <w:sz w:val="24"/>
          <w:szCs w:val="24"/>
        </w:rPr>
      </w:pPr>
      <w:r>
        <w:rPr>
          <w:sz w:val="24"/>
          <w:szCs w:val="24"/>
        </w:rPr>
        <w:t xml:space="preserve">Иметь собственные средства (капитал) в размере не менее 30 млрд. рублей </w:t>
        <w:br/>
        <w:t xml:space="preserve">на 1 января текущего календарного года, опубликованного на официальном сайте ЦБ РФ </w:t>
        <w:br/>
        <w:t>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xml:space="preserve">»)» (далее – Методика </w:t>
        <w:br/>
        <w:t>ЦБ РФ) или иным документом, его заменяющим (в случае изменения или отмены указанного Положения).</w:t>
      </w:r>
    </w:p>
    <w:p>
      <w:pPr>
        <w:pStyle w:val="Normal"/>
        <w:widowControl/>
        <w:numPr>
          <w:ilvl w:val="1"/>
          <w:numId w:val="14"/>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7"/>
      </w:r>
      <w:r>
        <w:rPr>
          <w:sz w:val="24"/>
          <w:szCs w:val="24"/>
        </w:rPr>
        <w:t xml:space="preserve">. </w:t>
      </w:r>
    </w:p>
    <w:p>
      <w:pPr>
        <w:pStyle w:val="Normal"/>
        <w:widowControl/>
        <w:numPr>
          <w:ilvl w:val="1"/>
          <w:numId w:val="14"/>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8"/>
      </w:r>
      <w:r>
        <w:rPr>
          <w:sz w:val="24"/>
          <w:szCs w:val="24"/>
        </w:rPr>
        <w:t>.</w:t>
      </w:r>
    </w:p>
    <w:p>
      <w:pPr>
        <w:pStyle w:val="Normal"/>
        <w:widowControl/>
        <w:numPr>
          <w:ilvl w:val="1"/>
          <w:numId w:val="14"/>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4"/>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4"/>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9"/>
      </w:r>
      <w:r>
        <w:rPr>
          <w:sz w:val="24"/>
          <w:szCs w:val="24"/>
        </w:rPr>
        <w:t>.</w:t>
      </w:r>
    </w:p>
    <w:p>
      <w:pPr>
        <w:pStyle w:val="Normal"/>
        <w:widowControl/>
        <w:numPr>
          <w:ilvl w:val="1"/>
          <w:numId w:val="14"/>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5"/>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5"/>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5"/>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5"/>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4"/>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10"/>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опубликованный на официальном сайте ЦБ РФ </w:t>
              <w:br/>
              <w:t>в информационно-телекоммуникационной сети «Интернет» (</w:t>
            </w:r>
            <w:hyperlink r:id="rId8">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xml:space="preserve">) </w:t>
              <w:br/>
              <w:t>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11"/>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suppressAutoHyphens w:val="true"/>
        <w:bidi w:val="0"/>
        <w:snapToGrid w:val="true"/>
        <w:spacing w:before="120" w:after="20"/>
        <w:ind w:hanging="0"/>
        <w:jc w:val="both"/>
        <w:rPr>
          <w:sz w:val="24"/>
          <w:szCs w:val="24"/>
        </w:rPr>
      </w:pPr>
      <w:r>
        <w:rPr/>
      </w:r>
    </w:p>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p>
  </w:footnote>
  <w:footnote w:id="3">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4">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5">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6">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7">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8">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9">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0">
    <w:p>
      <w:pPr>
        <w:pStyle w:val="FootnoteText"/>
        <w:jc w:val="both"/>
        <w:rPr/>
      </w:pPr>
      <w:r>
        <w:rPr>
          <w:rStyle w:val="Style14"/>
        </w:rPr>
        <w:footnoteRef/>
      </w:r>
      <w:r>
        <w:rPr>
          <w:lang w:eastAsia="x-none"/>
        </w:rPr>
        <w:t xml:space="preserve"> </w:t>
      </w:r>
      <w:r>
        <w:rPr>
          <w:lang w:eastAsia="x-none"/>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1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/или рейтинговых агентств и/или </w:t>
        <w:br/>
        <w:t xml:space="preserve">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5">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6">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Application>AlterOffice/3.4.0.9$Linux_X86_64 LibreOffice_project/b8daf9e823b1a5463a2f48435ddc2e8696e7d4fc</Application>
  <AppVersion>15.0000</AppVersion>
  <Pages>26</Pages>
  <Words>9148</Words>
  <Characters>65329</Characters>
  <CharactersWithSpaces>73854</CharactersWithSpaces>
  <Paragraphs>421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medvedevala@corp.gidroogk.com</cp:lastModifiedBy>
  <cp:lastPrinted>2018-05-22T09:46:00Z</cp:lastPrinted>
  <dcterms:modified xsi:type="dcterms:W3CDTF">2026-08-11T14:49:15Z</dcterms:modified>
  <cp:revision>59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