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fff9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626"/>
        <w:gridCol w:w="278"/>
        <w:gridCol w:w="5016"/>
      </w:tblGrid>
      <w:tr>
        <w:trPr>
          <w:trHeight w:val="142" w:hRule="atLeast"/>
        </w:trPr>
        <w:tc>
          <w:tcPr>
            <w:tcW w:w="49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926" w:leader="none"/>
              </w:tabs>
              <w:suppressAutoHyphens w:val="true"/>
              <w:spacing w:before="0" w:after="0"/>
              <w:jc w:val="right"/>
              <w:rPr>
                <w:bCs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6926" w:leader="none"/>
              </w:tabs>
              <w:suppressAutoHyphens w:val="true"/>
              <w:spacing w:before="0" w:after="0"/>
              <w:jc w:val="right"/>
              <w:rPr>
                <w:bCs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</w:r>
          </w:p>
        </w:tc>
        <w:tc>
          <w:tcPr>
            <w:tcW w:w="5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spacing w:before="0" w:after="0"/>
              <w:jc w:val="righ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ru-RU" w:eastAsia="ru-RU" w:bidi="ar-SA"/>
              </w:rPr>
            </w:r>
          </w:p>
        </w:tc>
      </w:tr>
    </w:tbl>
    <w:p>
      <w:pPr>
        <w:pStyle w:val="Normal"/>
        <w:keepNext w:val="true"/>
        <w:keepLines/>
        <w:rPr>
          <w:color w:val="FFFFFF" w:themeColor="background1"/>
          <w:sz w:val="26"/>
          <w:szCs w:val="26"/>
        </w:rPr>
      </w:pPr>
      <w:r>
        <w:rPr>
          <w:color w:val="FFFFFF" w:themeColor="background1"/>
          <w:sz w:val="26"/>
          <w:szCs w:val="26"/>
        </w:rPr>
      </w:r>
    </w:p>
    <w:p>
      <w:pPr>
        <w:pStyle w:val="Normal"/>
        <w:keepNext w:val="true"/>
        <w:keepLines/>
        <w:rPr>
          <w:color w:val="FFFFFF" w:themeColor="background1"/>
          <w:sz w:val="26"/>
          <w:szCs w:val="26"/>
        </w:rPr>
      </w:pPr>
      <w:r>
        <w:rPr>
          <w:color w:val="FFFFFF" w:themeColor="background1"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ab/>
      </w:r>
      <w:r>
        <w:rPr>
          <w:rFonts w:eastAsia="Calibri"/>
          <w:b/>
          <w:i/>
          <w:iCs/>
        </w:rPr>
        <w:t>ОКПД2: 49.41.19.900 Услуги по перевозке автомобильным транспортом спецтехники для нужд Дальневосточного филиала АО «ТК РусГидро»</w:t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_RefHeading___Toc2634_942833219">
            <w:r>
              <w:rPr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1.1. Обозначения и сокращения</w:t>
            <w:tab/>
            <w:t>3</w:t>
          </w:r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38_942833219">
            <w:r>
              <w:rPr>
                <w:rStyle w:val="Style14"/>
                <w:sz w:val="24"/>
                <w:szCs w:val="24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40_942833219">
            <w:r>
              <w:rPr>
                <w:rStyle w:val="Style14"/>
                <w:sz w:val="24"/>
                <w:szCs w:val="24"/>
              </w:rPr>
              <w:t>1.3. Цель оказания услуг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42_942833219">
            <w:r>
              <w:rPr>
                <w:rStyle w:val="Style14"/>
                <w:sz w:val="24"/>
                <w:szCs w:val="24"/>
              </w:rPr>
              <w:t>1.4. Существующее положение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644_942833219">
            <w:r>
              <w:rPr>
                <w:rStyle w:val="Style14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646_942833219">
            <w:r>
              <w:rPr>
                <w:rStyle w:val="Style14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48_942833219">
            <w:r>
              <w:rPr>
                <w:rStyle w:val="Style14"/>
                <w:sz w:val="24"/>
                <w:szCs w:val="24"/>
              </w:rPr>
              <w:t>2.1. Требования к объемам и срокам оказания услуг</w:t>
              <w:tab/>
              <w:t>4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>
              <w:sz w:val="24"/>
              <w:szCs w:val="24"/>
            </w:rPr>
          </w:pPr>
          <w:r>
            <w:rPr>
              <w:sz w:val="24"/>
              <w:szCs w:val="24"/>
            </w:rPr>
            <w:t>2.1.1. Требования к перечню и объему услуг</w:t>
            <w:tab/>
            <w:t>4</w:t>
          </w:r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652_942833219">
            <w:r>
              <w:rPr>
                <w:rStyle w:val="Style14"/>
              </w:rPr>
              <w:t>Таблица 2. Перечень и объем оказываемых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54_942833219">
            <w:r>
              <w:rPr>
                <w:rStyle w:val="Style14"/>
                <w:sz w:val="24"/>
                <w:szCs w:val="24"/>
              </w:rPr>
              <w:t>2.2. Требования к срокам оказания услуг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656_942833219">
            <w:r>
              <w:rPr>
                <w:rStyle w:val="Style14"/>
              </w:rPr>
              <w:t>Таблица 3. Требования к срокам оказания услуг</w:t>
              <w:tab/>
              <w:t>4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58_942833219">
            <w:r>
              <w:rPr>
                <w:rStyle w:val="Style14"/>
                <w:sz w:val="24"/>
                <w:szCs w:val="24"/>
              </w:rPr>
              <w:t>2.3.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2660_942833219">
            <w:r>
              <w:rPr>
                <w:rStyle w:val="Style14"/>
              </w:rPr>
              <w:t>Таблица 4. Требования к качеству продукции.</w:t>
              <w:tab/>
              <w:t>5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662_942833219">
            <w:r>
              <w:rPr>
                <w:rStyle w:val="Style14"/>
                <w:sz w:val="24"/>
                <w:szCs w:val="24"/>
              </w:rPr>
              <w:t>3. Требования к документации по ценообразованию на этапе закупки</w:t>
              <w:tab/>
              <w:t>6</w:t>
            </w:r>
          </w:hyperlink>
          <w:r>
            <w:rPr>
              <w:rStyle w:val="Style14"/>
              <w:sz w:val="24"/>
              <w:szCs w:val="24"/>
            </w:rPr>
            <w:fldChar w:fldCharType="end"/>
          </w:r>
        </w:p>
      </w:sdtContent>
    </w:sdt>
    <w:p>
      <w:pPr>
        <w:pStyle w:val="Heading1"/>
        <w:keepLines/>
        <w:numPr>
          <w:ilvl w:val="0"/>
          <w:numId w:val="3"/>
        </w:numPr>
        <w:ind w:left="788" w:hanging="363"/>
        <w:rPr>
          <w:sz w:val="24"/>
          <w:lang w:val="ru-RU"/>
        </w:rPr>
      </w:pPr>
      <w:r>
        <w:br w:type="page"/>
      </w:r>
      <w:bookmarkStart w:id="0" w:name="__RefHeading___Toc2634_942833219"/>
      <w:bookmarkStart w:id="1" w:name="_Toc234764819"/>
      <w:bookmarkEnd w:id="0"/>
      <w:r>
        <w:rPr>
          <w:sz w:val="24"/>
          <w:lang w:val="ru-RU"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bookmarkStart w:id="2" w:name="__RefHeading___Toc2636_942833219"/>
      <w:bookmarkStart w:id="3" w:name="_Toc234764820"/>
      <w:bookmarkStart w:id="4" w:name="_Toc46743505"/>
      <w:bookmarkEnd w:id="2"/>
      <w:r>
        <w:rPr/>
        <w:t>Обозначения и сокращения</w:t>
      </w:r>
      <w:bookmarkEnd w:id="3"/>
      <w:bookmarkEnd w:id="4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передаточный документ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Транспортное(ые) средство(а)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5" w:name="__RefHeading___Toc2638_942833219"/>
      <w:bookmarkStart w:id="6" w:name="_Toc234764821"/>
      <w:bookmarkEnd w:id="5"/>
      <w:r>
        <w:rPr/>
        <w:t>Наименование закупаемой продукции</w:t>
      </w:r>
      <w:bookmarkEnd w:id="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  <w:t>ОКПД2: 49.41.19.900 Услуги по перевозке автомобильным транспортом спецтехники для нужд Дальневосточного филиала АО «ТК РусГидро».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7" w:name="__RefHeading___Toc2640_942833219"/>
      <w:bookmarkStart w:id="8" w:name="_Toc234764822"/>
      <w:bookmarkStart w:id="9" w:name="_Toc46743507"/>
      <w:bookmarkEnd w:id="7"/>
      <w:r>
        <w:rPr/>
        <w:t xml:space="preserve">Цель </w:t>
      </w:r>
      <w:bookmarkEnd w:id="9"/>
      <w:r>
        <w:rPr>
          <w:lang w:val="ru-RU"/>
        </w:rPr>
        <w:t>оказания услуг</w:t>
      </w:r>
      <w:bookmarkEnd w:id="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  <w:t>Перебазировка спецтехники осуществляется в связи с приостановкой работ и консервацией Колымского строительного участка. Спецтехника будет распределена на следующие объекты: Строительный участок Нерюнгри, Хабаровский участок расчистки просек, Загорская ГАЭС.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10" w:name="__RefHeading___Toc2642_942833219"/>
      <w:bookmarkStart w:id="11" w:name="_Toc234764823"/>
      <w:bookmarkEnd w:id="10"/>
      <w:r>
        <w:rPr/>
        <w:t>Существующее положение</w:t>
      </w:r>
      <w:bookmarkEnd w:id="11"/>
    </w:p>
    <w:p>
      <w:pPr>
        <w:pStyle w:val="Normal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>Услуги оказываются в отношении технических средств согласно Таблицы 1. Перечень объектов Заказчика</w:t>
      </w:r>
    </w:p>
    <w:p>
      <w:pPr>
        <w:pStyle w:val="Heading1"/>
        <w:keepLines/>
        <w:tabs>
          <w:tab w:val="clear" w:pos="0"/>
        </w:tabs>
        <w:ind w:left="0" w:hanging="0"/>
        <w:rPr>
          <w:sz w:val="24"/>
          <w:szCs w:val="24"/>
          <w:lang w:val="ru-RU"/>
        </w:rPr>
      </w:pPr>
      <w:bookmarkStart w:id="12" w:name="__RefHeading___Toc2644_942833219"/>
      <w:bookmarkStart w:id="13" w:name="_Toc234764824"/>
      <w:bookmarkEnd w:id="12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3"/>
    </w:p>
    <w:tbl>
      <w:tblPr>
        <w:tblW w:w="10496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54"/>
        <w:gridCol w:w="1683"/>
        <w:gridCol w:w="2285"/>
        <w:gridCol w:w="3855"/>
        <w:gridCol w:w="1523"/>
        <w:gridCol w:w="295"/>
      </w:tblGrid>
      <w:tr>
        <w:trPr/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  <w:tc>
          <w:tcPr>
            <w:tcW w:w="2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71" w:hRule="atLeast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>
                <w:sz w:val="24"/>
                <w:szCs w:val="24"/>
              </w:rPr>
            </w:pPr>
            <w:r>
              <w:rPr>
                <w:rFonts w:cs="TimesNewRomanPSMT"/>
                <w:iCs/>
                <w:sz w:val="24"/>
                <w:szCs w:val="24"/>
              </w:rPr>
              <w:t>Экскаватор HYUNDAI HX300SL</w:t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Место нахождения (погрузки)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Магаданская область, пгт. Синегорье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Габариты, мм (ДхШхВ):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14800 х 3200 х 3360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Масса ТС в снаряженном состоянии 33 910 кг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60" w:hanging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 ед.</w:t>
            </w:r>
          </w:p>
        </w:tc>
        <w:tc>
          <w:tcPr>
            <w:tcW w:w="2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71" w:hRule="atLeast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>
                <w:sz w:val="24"/>
                <w:szCs w:val="24"/>
              </w:rPr>
            </w:pPr>
            <w:r>
              <w:rPr>
                <w:rFonts w:cs="TimesNewRomanPSMT"/>
                <w:iCs/>
                <w:sz w:val="24"/>
                <w:szCs w:val="24"/>
              </w:rPr>
              <w:t>Экскаватор SUNWARD SWE215E-3H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Место нахождения (погрузки)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Магаданская область, пгт. Синегорье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Габариты, мм (ДхШхВ):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9570 х 2990 х 2970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Масса ТС в снаряженном состоянии 21 300 кг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60" w:hanging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 ед.</w:t>
            </w:r>
          </w:p>
        </w:tc>
        <w:tc>
          <w:tcPr>
            <w:tcW w:w="2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71" w:hRule="atLeast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>
                <w:sz w:val="24"/>
                <w:szCs w:val="24"/>
              </w:rPr>
            </w:pPr>
            <w:r>
              <w:rPr>
                <w:rFonts w:cs="TimesNewRomanPSMT"/>
                <w:iCs/>
                <w:sz w:val="24"/>
                <w:szCs w:val="24"/>
              </w:rPr>
              <w:t>Бульдозер SHANTUI SD 23</w:t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Место нахождения (погрузки)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Магаданская область, пгт. Синегорье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Габариты, мм (ДхШхВ):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5900 х 3750 х 3360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Масса ТС в снаряженном состоянии 24 600 кг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60" w:hanging="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 ед.</w:t>
            </w:r>
          </w:p>
        </w:tc>
        <w:tc>
          <w:tcPr>
            <w:tcW w:w="2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71" w:hRule="atLeast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>
                <w:rFonts w:cs="TimesNewRomanPSMT"/>
                <w:iCs/>
                <w:sz w:val="24"/>
                <w:szCs w:val="24"/>
              </w:rPr>
            </w:pPr>
            <w:r>
              <w:rPr>
                <w:rFonts w:cs="TimesNewRomanPSMT"/>
                <w:iCs/>
                <w:sz w:val="24"/>
                <w:szCs w:val="24"/>
              </w:rPr>
              <w:t>Экскаватор SUNWARD SWE500E-3H</w:t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Место нахождения (погрузки)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Магаданская область, пгт. Синегорье</w:t>
            </w:r>
          </w:p>
        </w:tc>
        <w:tc>
          <w:tcPr>
            <w:tcW w:w="3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Габариты, мм (ДхШхВ):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11450 х 3480 х 4000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lineRule="exact" w:line="24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Масса ТС в снаряженном состоянии 49 000 кг</w:t>
            </w:r>
          </w:p>
        </w:tc>
        <w:tc>
          <w:tcPr>
            <w:tcW w:w="1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360" w:hanging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 ед.</w:t>
            </w:r>
          </w:p>
        </w:tc>
        <w:tc>
          <w:tcPr>
            <w:tcW w:w="295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Heading1"/>
        <w:keepLines/>
        <w:numPr>
          <w:ilvl w:val="0"/>
          <w:numId w:val="3"/>
        </w:numPr>
        <w:spacing w:before="119" w:after="119"/>
        <w:ind w:left="788" w:hanging="363"/>
        <w:rPr>
          <w:iCs/>
          <w:caps/>
          <w:sz w:val="24"/>
          <w:lang w:val="ru-RU"/>
        </w:rPr>
      </w:pPr>
      <w:bookmarkStart w:id="14" w:name="__RefHeading___Toc2646_942833219"/>
      <w:bookmarkStart w:id="15" w:name="_Toc234764825"/>
      <w:bookmarkEnd w:id="14"/>
      <w:r>
        <w:rPr>
          <w:iCs/>
          <w:sz w:val="24"/>
          <w:lang w:val="ru-RU"/>
        </w:rPr>
        <w:t>Требования</w:t>
      </w:r>
      <w:r>
        <w:rPr>
          <w:iCs/>
          <w:sz w:val="24"/>
        </w:rPr>
        <w:t xml:space="preserve"> к продукции</w:t>
      </w:r>
      <w:bookmarkEnd w:id="15"/>
    </w:p>
    <w:p>
      <w:pPr>
        <w:pStyle w:val="Heading4"/>
        <w:numPr>
          <w:ilvl w:val="1"/>
          <w:numId w:val="3"/>
        </w:numPr>
        <w:ind w:left="0" w:hanging="0"/>
        <w:rPr/>
      </w:pPr>
      <w:bookmarkStart w:id="16" w:name="__RefHeading___Toc2648_942833219"/>
      <w:bookmarkStart w:id="17" w:name="_Toc234764826"/>
      <w:bookmarkEnd w:id="16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7"/>
    </w:p>
    <w:p>
      <w:pPr>
        <w:pStyle w:val="Heading3"/>
        <w:numPr>
          <w:ilvl w:val="2"/>
          <w:numId w:val="3"/>
        </w:numPr>
        <w:ind w:left="0" w:hanging="0"/>
        <w:rPr/>
      </w:pPr>
      <w:bookmarkStart w:id="18" w:name="__RefHeading___Toc2650_942833219"/>
      <w:bookmarkStart w:id="19" w:name="_Toc234764827"/>
      <w:bookmarkEnd w:id="18"/>
      <w:r>
        <w:rPr>
          <w:lang w:val="ru-RU"/>
        </w:rPr>
        <w:t>Требования к перечню и объему услуг</w:t>
      </w:r>
      <w:bookmarkEnd w:id="19"/>
    </w:p>
    <w:p>
      <w:pPr>
        <w:pStyle w:val="Heading1"/>
        <w:keepLines/>
        <w:tabs>
          <w:tab w:val="clear" w:pos="0"/>
        </w:tabs>
        <w:spacing w:before="0" w:after="60"/>
        <w:ind w:left="0" w:hanging="0"/>
        <w:rPr>
          <w:sz w:val="24"/>
          <w:szCs w:val="24"/>
          <w:lang w:val="ru-RU"/>
        </w:rPr>
      </w:pPr>
      <w:bookmarkStart w:id="20" w:name="__RefHeading___Toc2652_942833219"/>
      <w:bookmarkStart w:id="21" w:name="_Toc234764828"/>
      <w:bookmarkStart w:id="22" w:name="_Toc51339695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2"/>
      <w:r>
        <w:rPr>
          <w:sz w:val="24"/>
          <w:szCs w:val="24"/>
          <w:lang w:val="ru-RU"/>
        </w:rPr>
        <w:t>и объем оказываемых услуг</w:t>
      </w:r>
      <w:bookmarkEnd w:id="21"/>
    </w:p>
    <w:tbl>
      <w:tblPr>
        <w:tblW w:w="10070" w:type="dxa"/>
        <w:jc w:val="left"/>
        <w:tblInd w:w="-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1154"/>
        <w:gridCol w:w="6531"/>
        <w:gridCol w:w="1407"/>
        <w:gridCol w:w="977"/>
      </w:tblGrid>
      <w:tr>
        <w:trPr/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0" w:after="0"/>
              <w:contextualSpacing w:val="false"/>
              <w:jc w:val="center"/>
              <w:rPr/>
            </w:pPr>
            <w:r>
              <w:rPr/>
            </w:r>
          </w:p>
        </w:tc>
        <w:tc>
          <w:tcPr>
            <w:tcW w:w="8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Экскаватор HYUNDAI HX300SL</w:t>
            </w:r>
          </w:p>
        </w:tc>
      </w:tr>
      <w:tr>
        <w:trPr>
          <w:trHeight w:val="1349" w:hRule="atLeast"/>
        </w:trPr>
        <w:tc>
          <w:tcPr>
            <w:tcW w:w="11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Перевозка ТС по маршруту: Магаданская область, п. Синегорье - Московская область, Сергиево-Посадский городской округ, рп. Богородское, д. 100, Загорская ГАЭС с применением грузового седельного тягача с возможностью перевозки техники грузоподъемностью не менее 34 тонн.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стяжек и ремней для крепления.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0" w:after="0"/>
              <w:contextualSpacing w:val="false"/>
              <w:jc w:val="center"/>
              <w:rPr/>
            </w:pPr>
            <w:r>
              <w:rPr/>
            </w:r>
          </w:p>
        </w:tc>
        <w:tc>
          <w:tcPr>
            <w:tcW w:w="8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rPr>
                <w:sz w:val="24"/>
                <w:szCs w:val="24"/>
              </w:rPr>
            </w:pPr>
            <w:r>
              <w:rPr>
                <w:rFonts w:cs="TimesNewRomanPSMT"/>
                <w:b/>
                <w:i/>
                <w:iCs/>
                <w:sz w:val="24"/>
                <w:szCs w:val="24"/>
              </w:rPr>
              <w:t>Экскаватор SUNWARD SWE215E-3H</w:t>
            </w:r>
          </w:p>
        </w:tc>
      </w:tr>
      <w:tr>
        <w:trPr>
          <w:trHeight w:val="1189" w:hRule="atLeast"/>
        </w:trPr>
        <w:tc>
          <w:tcPr>
            <w:tcW w:w="11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Перевозка ТС по маршруту: Магаданская область, п. Синегорье — Московская область, Сергиево-Посадский городской округ, рп. Богородское, д. 100, Загорская ГАЭС, с применением грузового седельного тягача с возможностью перевозки техники грузоподъемностью не менее 22 тонн.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стяжек и ремней для крепления.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279" w:hRule="atLeast"/>
        </w:trPr>
        <w:tc>
          <w:tcPr>
            <w:tcW w:w="11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rFonts w:cs="TimesNewRomanPSMT"/>
                <w:b/>
                <w:i/>
                <w:i/>
                <w:iCs/>
                <w:sz w:val="24"/>
                <w:szCs w:val="24"/>
              </w:rPr>
            </w:pPr>
            <w:r>
              <w:rPr>
                <w:rFonts w:cs="TimesNewRomanPSMT"/>
                <w:b/>
                <w:i/>
                <w:iCs/>
                <w:sz w:val="24"/>
                <w:szCs w:val="24"/>
              </w:rPr>
              <w:t>Бульдозер SHANTUI SD 23</w:t>
            </w:r>
          </w:p>
        </w:tc>
      </w:tr>
      <w:tr>
        <w:trPr>
          <w:trHeight w:val="1250" w:hRule="atLeast"/>
        </w:trPr>
        <w:tc>
          <w:tcPr>
            <w:tcW w:w="11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Перевозка ТС по маршруту: Магаданская область, п. Синегорье — Хабаровский край, г. Хабаровск, ул. Автономная 5а, с применением грузового седельного тягача с возможностью перевозки техники грузоподъемностью не менее 25 тонн.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стяжек и ремней для крепления.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81" w:hRule="atLeast"/>
        </w:trPr>
        <w:tc>
          <w:tcPr>
            <w:tcW w:w="115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spacing w:before="0" w:after="0"/>
              <w:contextualSpacing/>
              <w:rPr>
                <w:rFonts w:cs="TimesNewRomanPSMT"/>
                <w:b/>
                <w:i/>
                <w:i/>
                <w:iCs/>
                <w:sz w:val="24"/>
                <w:szCs w:val="24"/>
              </w:rPr>
            </w:pPr>
            <w:r>
              <w:rPr>
                <w:rFonts w:cs="TimesNewRomanPSMT"/>
                <w:b/>
                <w:i/>
                <w:iCs/>
                <w:sz w:val="24"/>
                <w:szCs w:val="24"/>
              </w:rPr>
              <w:t>Экскаватор SUNWARD SWE500E-3H</w:t>
            </w:r>
          </w:p>
        </w:tc>
      </w:tr>
      <w:tr>
        <w:trPr>
          <w:trHeight w:val="1561" w:hRule="atLeast"/>
        </w:trPr>
        <w:tc>
          <w:tcPr>
            <w:tcW w:w="11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Перевозка ТС по маршруту: Магаданская область, п. Синегорье — Республика Саха (Якутия), Нерюнгринский район, пгт. Серебряный Бор, Нерюнгринская ГРЭС, с применением грузового седельного тягача с возможностью перевозки техники грузоподъемностью не менее 50 тонн.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стяжек и ремней для крепления.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1"/>
          <w:numId w:val="3"/>
        </w:numPr>
        <w:spacing w:before="0" w:after="0"/>
        <w:ind w:left="0" w:hanging="0"/>
        <w:rPr/>
      </w:pPr>
      <w:bookmarkStart w:id="23" w:name="__RefHeading___Toc2654_942833219"/>
      <w:bookmarkStart w:id="24" w:name="_Toc234764829"/>
      <w:bookmarkStart w:id="25" w:name="_Toc51339696"/>
      <w:bookmarkEnd w:id="23"/>
      <w:r>
        <w:rPr/>
        <w:t xml:space="preserve">Требования </w:t>
      </w:r>
      <w:bookmarkEnd w:id="25"/>
      <w:r>
        <w:rPr/>
        <w:t>к срокам оказания услуг</w:t>
      </w:r>
      <w:bookmarkEnd w:id="24"/>
    </w:p>
    <w:p>
      <w:pPr>
        <w:pStyle w:val="Heading1"/>
        <w:tabs>
          <w:tab w:val="clear" w:pos="0"/>
        </w:tabs>
        <w:ind w:left="284" w:hanging="0"/>
        <w:rPr>
          <w:sz w:val="24"/>
          <w:szCs w:val="24"/>
        </w:rPr>
      </w:pPr>
      <w:bookmarkStart w:id="26" w:name="__RefHeading___Toc2656_942833219"/>
      <w:bookmarkStart w:id="27" w:name="_Toc234764830"/>
      <w:bookmarkEnd w:id="26"/>
      <w:r>
        <w:rPr>
          <w:sz w:val="24"/>
          <w:szCs w:val="24"/>
        </w:rPr>
        <w:t>Таблица 3. Требования к срокам оказания услуг</w:t>
      </w:r>
      <w:bookmarkEnd w:id="27"/>
    </w:p>
    <w:tbl>
      <w:tblPr>
        <w:tblW w:w="10038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3"/>
        <w:gridCol w:w="3550"/>
        <w:gridCol w:w="2527"/>
        <w:gridCol w:w="3117"/>
      </w:tblGrid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>
          <w:trHeight w:val="15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410" w:hRule="atLeast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center"/>
              <w:rPr/>
            </w:pPr>
            <w:r>
              <w:rPr/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ОКПД2: 49.41.19.900 Услуги по перевозке автомобильным транспортом спецтехники для нужд Дальневосточного филиала АО «ТК РусГидро»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5 (пяти) дней с момента подачи заявки от Заказчика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 течение 25 (двадцати пяти) календарных дней с момента принятия груза к перевозке</w:t>
            </w:r>
          </w:p>
        </w:tc>
      </w:tr>
    </w:tbl>
    <w:p>
      <w:pPr>
        <w:pStyle w:val="Heading4"/>
        <w:numPr>
          <w:ilvl w:val="1"/>
          <w:numId w:val="3"/>
        </w:numPr>
        <w:rPr>
          <w:lang w:val="ru-RU"/>
        </w:rPr>
      </w:pPr>
      <w:bookmarkStart w:id="28" w:name="__RefHeading___Toc2658_942833219"/>
      <w:bookmarkStart w:id="29" w:name="_Toc234764831"/>
      <w:bookmarkStart w:id="30" w:name="_Toc200980035"/>
      <w:bookmarkStart w:id="31" w:name="_Toc46743511"/>
      <w:bookmarkStart w:id="32" w:name="_Toc51339698"/>
      <w:bookmarkStart w:id="33" w:name="_Toc50125131"/>
      <w:bookmarkEnd w:id="28"/>
      <w:bookmarkEnd w:id="32"/>
      <w:bookmarkEnd w:id="33"/>
      <w:r>
        <w:rPr/>
        <w:t xml:space="preserve">Требования к </w:t>
      </w:r>
      <w:bookmarkEnd w:id="31"/>
      <w:r>
        <w:rPr>
          <w:lang w:val="ru-RU"/>
        </w:rPr>
        <w:t xml:space="preserve">качеству </w:t>
      </w:r>
      <w:bookmarkEnd w:id="30"/>
      <w:r>
        <w:rPr>
          <w:lang w:val="ru-RU"/>
        </w:rPr>
        <w:t>продукции</w:t>
      </w:r>
      <w:bookmarkEnd w:id="29"/>
    </w:p>
    <w:p>
      <w:pPr>
        <w:pStyle w:val="Heading1"/>
        <w:keepLines/>
        <w:tabs>
          <w:tab w:val="clear" w:pos="0"/>
        </w:tabs>
        <w:spacing w:before="0" w:after="60"/>
        <w:ind w:left="0" w:hanging="0"/>
        <w:rPr>
          <w:sz w:val="24"/>
          <w:szCs w:val="24"/>
          <w:lang w:val="ru-RU"/>
        </w:rPr>
      </w:pPr>
      <w:bookmarkStart w:id="34" w:name="__RefHeading___Toc2660_942833219"/>
      <w:bookmarkStart w:id="35" w:name="_Toc234764832"/>
      <w:bookmarkEnd w:id="34"/>
      <w:r>
        <w:rPr>
          <w:sz w:val="24"/>
          <w:szCs w:val="24"/>
        </w:rPr>
        <w:t>Таблица 4. Требования к качеству продукции</w:t>
      </w:r>
      <w:r>
        <w:rPr>
          <w:sz w:val="24"/>
          <w:szCs w:val="24"/>
          <w:lang w:val="ru-RU"/>
        </w:rPr>
        <w:t>.</w:t>
      </w:r>
      <w:bookmarkEnd w:id="3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sz w:val="22"/>
          <w:szCs w:val="26"/>
        </w:rPr>
      </w:pPr>
      <w:r>
        <w:rPr>
          <w:b/>
          <w:bCs/>
          <w:sz w:val="24"/>
          <w:szCs w:val="24"/>
        </w:rPr>
        <w:t xml:space="preserve">Наименование услуг/этапа услуг: </w:t>
      </w:r>
      <w:r>
        <w:rPr>
          <w:rFonts w:eastAsia="Calibri"/>
          <w:sz w:val="24"/>
          <w:szCs w:val="24"/>
        </w:rPr>
        <w:t>ОКПД2: 49.41.19.900 Услуги по перевозке автомобильным транспортом спецтехники для нужд Дальневосточного филиала АО «ТК РусГидро».</w:t>
      </w:r>
    </w:p>
    <w:tbl>
      <w:tblPr>
        <w:tblStyle w:val="affff9"/>
        <w:tblW w:w="1025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08"/>
        <w:gridCol w:w="2133"/>
        <w:gridCol w:w="5566"/>
        <w:gridCol w:w="1749"/>
      </w:tblGrid>
      <w:tr>
        <w:trPr/>
        <w:tc>
          <w:tcPr>
            <w:tcW w:w="80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13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56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17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0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0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13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5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7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0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1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74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99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174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</w:r>
          </w:p>
        </w:tc>
        <w:tc>
          <w:tcPr>
            <w:tcW w:w="7699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17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Маршруты</w:t>
            </w:r>
          </w:p>
        </w:tc>
        <w:tc>
          <w:tcPr>
            <w:tcW w:w="556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Магаданская область, п. Синегорье - Московская область, Сергиево-Посадский городской округ, рп. Богородское, д. 100, Загорская ГАЭС;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Магаданская область, п. Синегорье — Московская область, Сергиево-Посадский городской округ, рп. Богородское, д. 100, Загорская ГАЭС;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Магаданская область, п. Синегорье — Хабаровский край, г. Хабаровск, ул. Автономная 5а;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- Магаданская область, п. Синегорье — Республика Саха (Якутия), Нерюнгринский район, пгт. Серебряный Бор, Нерюнгринская ГРЭС.</w:t>
            </w:r>
          </w:p>
        </w:tc>
        <w:tc>
          <w:tcPr>
            <w:tcW w:w="174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04" w:hRule="atLeast"/>
        </w:trPr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99" w:type="dxa"/>
            <w:gridSpan w:val="2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  <w:bookmarkStart w:id="36" w:name="_GoBack"/>
            <w:bookmarkEnd w:id="36"/>
          </w:p>
        </w:tc>
        <w:tc>
          <w:tcPr>
            <w:tcW w:w="174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Порядок оказания услуг</w:t>
            </w:r>
          </w:p>
        </w:tc>
        <w:tc>
          <w:tcPr>
            <w:tcW w:w="556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>Перевозка ТС по маршрутам должна осуществляться по предварительной заявке Заказчика в любое время, включая выходные и праздничные дни.</w:t>
            </w:r>
          </w:p>
        </w:tc>
        <w:tc>
          <w:tcPr>
            <w:tcW w:w="1749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40" w:hRule="atLeast"/>
        </w:trPr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99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17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Обеспечение целостности и сохранности груза с момента приема к отправке до вручения грузополучателю</w:t>
            </w:r>
          </w:p>
        </w:tc>
        <w:tc>
          <w:tcPr>
            <w:tcW w:w="55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несёт полную материальную ответственность перед Заказчиком за сохранность, порчу, утрату груза во время всего периода перевозки, с момента передачи груза Исполнителю до момента передачи груза грузополучателю в месте доставки.</w:t>
            </w:r>
          </w:p>
        </w:tc>
        <w:tc>
          <w:tcPr>
            <w:tcW w:w="174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Погрузо-разгрузочные работы</w:t>
            </w:r>
          </w:p>
        </w:tc>
        <w:tc>
          <w:tcPr>
            <w:tcW w:w="55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заборе груза по адресу Заказчика, погрузка производятся силами Заказчика. При доставке груза по адресу Заказчика выгрузка груза производятся силами Заказчика.</w:t>
            </w:r>
          </w:p>
        </w:tc>
        <w:tc>
          <w:tcPr>
            <w:tcW w:w="174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Сопроводительная документация</w:t>
            </w:r>
          </w:p>
        </w:tc>
        <w:tc>
          <w:tcPr>
            <w:tcW w:w="55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обеспечить оформление разрешительной документации, транспортно-сопроводительных документов на перевозку технических средств по маршрутам, указанному в таблице № 2 ТТ.</w:t>
            </w:r>
          </w:p>
        </w:tc>
        <w:tc>
          <w:tcPr>
            <w:tcW w:w="174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Складское хранение</w:t>
            </w:r>
          </w:p>
        </w:tc>
        <w:tc>
          <w:tcPr>
            <w:tcW w:w="55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случае необходимости Исполнитель должен обеспечить согласованное хранение груза на своих складах и/или складах партнеров Исполнителя по направлениям (маршрутам) перевозки.</w:t>
            </w:r>
          </w:p>
        </w:tc>
        <w:tc>
          <w:tcPr>
            <w:tcW w:w="174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Контроль местонахождения груза</w:t>
            </w:r>
          </w:p>
        </w:tc>
        <w:tc>
          <w:tcPr>
            <w:tcW w:w="55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обеспечивать диспетчерский контроль за доставкой груза, при возникновении нештатной ситуации, немедленно принять меры для устранения факторов способных повлиять на не своевременную доставку груза в пункт назначения, незамедлительно информировать Заказчика обо всех случаях задержки ТС, которые повлекли или могут повлечь за собой нарушение срока доставки груза, или на обеспечение его сохранности.</w:t>
            </w:r>
          </w:p>
        </w:tc>
        <w:tc>
          <w:tcPr>
            <w:tcW w:w="174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99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17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99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17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8"/>
              </w:numPr>
              <w:suppressAutoHyphens w:val="fals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55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акт сдачи –приемки оказанных услуг/УПД в двух экземплярах, транспортную накладную с отметками грузоотправителя и грузополучателя о сохранности груза.</w:t>
            </w:r>
          </w:p>
        </w:tc>
        <w:tc>
          <w:tcPr>
            <w:tcW w:w="174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699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174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37" w:hRule="atLeast"/>
        </w:trPr>
        <w:tc>
          <w:tcPr>
            <w:tcW w:w="8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8"/>
              </w:numPr>
              <w:suppressAutoHyphens w:val="fals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1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нормативно-правовых актов, регулирующих перевозку грузов соответствующим видом транспорта</w:t>
            </w:r>
          </w:p>
        </w:tc>
        <w:tc>
          <w:tcPr>
            <w:tcW w:w="55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Услуги должны осуществляться в соответствии с нормативно-правовыми актами, регламентирующими правила перевозки грузов конкретным видом транспорта: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Приказ Минтруда России от 28.10.2020 N 753н «Об утверждении Правил по охране труда при погрузочно-разгрузочных работах и размещении грузов»;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Федеральный закон от 10.12.1995 N 196-ФЗ «О безопасности дорожного движения»;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6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Постановление Правительства РФ от 21.12.2020 N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</w:t>
            </w:r>
            <w:r>
              <w:rPr>
                <w:rFonts w:eastAsia="Times New Roman" w:cs="Times New Roman"/>
                <w:bCs/>
                <w:iCs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1749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4"/>
        <w:numPr>
          <w:ilvl w:val="0"/>
          <w:numId w:val="3"/>
        </w:numPr>
        <w:ind w:left="426" w:hanging="426"/>
        <w:rPr/>
      </w:pPr>
      <w:bookmarkStart w:id="37" w:name="__RefHeading___Toc2662_942833219"/>
      <w:bookmarkStart w:id="38" w:name="_Toc234764833"/>
      <w:bookmarkEnd w:id="37"/>
      <w:r>
        <w:rPr/>
        <w:t>Требования к документации по ценообразованию на этапе закупки</w:t>
      </w:r>
      <w:bookmarkEnd w:id="38"/>
      <w:r>
        <w:rPr/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3.1. В обоснование стоимости своей заявки Участник предоставляет коммерческое предложение.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3.2. Дополнительные документы по ценообразованию в состав заявки не включаются.</w:t>
      </w:r>
    </w:p>
    <w:p>
      <w:pPr>
        <w:pStyle w:val="ListParagraph"/>
        <w:ind w:left="0" w:hanging="0"/>
        <w:rPr/>
      </w:pPr>
      <w:r>
        <w:rPr>
          <w:lang w:eastAsia="en-US"/>
        </w:rPr>
        <w:t xml:space="preserve">                                                                                    </w:t>
      </w:r>
    </w:p>
    <w:sectPr>
      <w:headerReference w:type="default" r:id="rId2"/>
      <w:headerReference w:type="first" r:id="rId3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331" w:hanging="362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13e8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basedOn w:val="DefaultParagraphFont"/>
    <w:uiPriority w:val="99"/>
    <w:unhideWhenUsed/>
    <w:rsid w:val="00ce5fde"/>
    <w:rPr>
      <w:color w:val="0563C1" w:themeColor="hyperlink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880d13"/>
    <w:pPr>
      <w:tabs>
        <w:tab w:val="clear" w:pos="708"/>
        <w:tab w:val="left" w:pos="1120" w:leader="none"/>
        <w:tab w:val="right" w:pos="9911" w:leader="dot"/>
      </w:tabs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qFormat/>
    <w:rsid w:val="000f3d81"/>
    <w:pPr>
      <w:widowControl/>
      <w:suppressAutoHyphens w:val="true"/>
      <w:bidi w:val="0"/>
      <w:spacing w:before="0" w:after="0"/>
      <w:jc w:val="left"/>
    </w:pPr>
    <w:rPr>
      <w:rFonts w:ascii="Calibri" w:hAnsi="Calibri" w:cs="Calibri" w:eastAsia="Times New Roman"/>
      <w:color w:val="000000"/>
      <w:kern w:val="0"/>
      <w:sz w:val="24"/>
      <w:szCs w:val="24"/>
      <w:lang w:val="ru-RU" w:eastAsia="ru-RU" w:bidi="ar-SA"/>
    </w:rPr>
  </w:style>
  <w:style w:type="paragraph" w:styleId="Style34" w:customStyle="1">
    <w:name w:val="[РГ] Текст"/>
    <w:basedOn w:val="Normal"/>
    <w:qFormat/>
    <w:rsid w:val="009651eb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23" w:customStyle="1">
    <w:name w:val="Нумерованный 123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82D43-C9A1-4D81-B6F7-B36BA05C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3415</TotalTime>
  <Application>AlterOffice/3.4.0.9$Linux_X86_64 LibreOffice_project/b8daf9e823b1a5463a2f48435ddc2e8696e7d4fc</Application>
  <AppVersion>15.0000</AppVersion>
  <Pages>6</Pages>
  <Words>1158</Words>
  <Characters>7549</Characters>
  <CharactersWithSpaces>8608</CharactersWithSpaces>
  <Paragraphs>192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2025-06-10T09:41:00Z</dcterms:created>
  <dc:creator>Быстров Олег Геннадьевич</dc:creator>
  <dc:description/>
  <dc:language>ru-RU</dc:language>
  <cp:lastModifiedBy>melnikovoi@corp.gidroogk.com</cp:lastModifiedBy>
  <cp:lastPrinted>2026-08-05T00:41:00Z</cp:lastPrinted>
  <dcterms:modified xsi:type="dcterms:W3CDTF">2026-08-12T16:50:21Z</dcterms:modified>
  <cp:revision>68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