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b/>
          <w:bCs/>
          <w:i/>
          <w:i/>
          <w:iCs/>
          <w:sz w:val="28"/>
          <w:szCs w:val="28"/>
        </w:rPr>
      </w:pPr>
      <w:r>
        <w:rPr>
          <w:rFonts w:eastAsia="Calibri"/>
          <w:b/>
          <w:bCs/>
          <w:i/>
          <w:iCs/>
          <w:sz w:val="28"/>
          <w:szCs w:val="28"/>
          <w:shd w:fill="auto" w:val="clear"/>
        </w:rPr>
        <w:t xml:space="preserve">ОКПД2 </w:t>
      </w:r>
      <w:r>
        <w:rPr>
          <w:rFonts w:eastAsia="Calibri"/>
          <w:b/>
          <w:bCs/>
          <w:i/>
          <w:iCs/>
          <w:sz w:val="28"/>
          <w:szCs w:val="28"/>
          <w:shd w:fill="auto" w:val="clear"/>
        </w:rPr>
        <w:t>71.12.40 «</w:t>
      </w:r>
      <w:r>
        <w:rPr>
          <w:rFonts w:eastAsia="Calibri" w:cs="Times New Roman"/>
          <w:b/>
          <w:bCs/>
          <w:i/>
          <w:iCs/>
          <w:caps w:val="false"/>
          <w:smallCaps w:val="false"/>
          <w:color w:val="000000"/>
          <w:spacing w:val="0"/>
          <w:sz w:val="28"/>
          <w:szCs w:val="28"/>
          <w:shd w:fill="auto" w:val="clear"/>
        </w:rPr>
        <w:t>Поверка автоматизированной системы опроса контрольно-измерительной аппаратуры гидротехнических сооружений для нужд филиала ПАО «РусГидро» - «Камская ГЭС»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rFonts w:eastAsia="Calibri"/>
          <w:b/>
          <w:i/>
          <w:i/>
          <w:shd w:fill="auto" w:val="clear"/>
        </w:rPr>
      </w:pPr>
      <w:r>
        <w:rPr>
          <w:rFonts w:eastAsia="Calibri"/>
          <w:b/>
          <w:i/>
          <w:shd w:fill="auto" w:val="clear"/>
        </w:rPr>
      </w:r>
    </w:p>
    <w:p>
      <w:pPr>
        <w:pStyle w:val="Normal"/>
        <w:keepNext w:val="true"/>
        <w:keepLines/>
        <w:jc w:val="center"/>
        <w:rPr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Лот № </w:t>
      </w:r>
      <w:r>
        <w:rPr>
          <w:rFonts w:eastAsia="Calibri"/>
          <w:b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</w:rPr>
        <w:t>22-ЭКСП-БПД-2026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114449_2337621167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14451_2337621167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14453_2337621167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14455_2337621167">
            <w:r>
              <w:rPr>
                <w:webHidden/>
                <w:rStyle w:val="Style14"/>
                <w:vanish w:val="false"/>
              </w:rPr>
              <w:t>1.3. Цель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14457_2337621167">
            <w:r>
              <w:rPr>
                <w:webHidden/>
                <w:rStyle w:val="Style14"/>
                <w:vanish w:val="false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14459_2337621167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14461_2337621167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14463_2337621167">
            <w:r>
              <w:rPr>
                <w:webHidden/>
                <w:rStyle w:val="Style14"/>
                <w:vanish w:val="false"/>
              </w:rPr>
              <w:t>2.1. Требования к объемам и срокам оказания услуг</w:t>
              <w:tab/>
              <w:t>4</w:t>
            </w:r>
          </w:hyperlink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hyperlink w:anchor="__RefHeading___Toc114465_2337621167">
            <w:r>
              <w:rPr>
                <w:webHidden/>
                <w:rStyle w:val="Style14"/>
                <w:vanish w:val="false"/>
              </w:rPr>
              <w:t>2.1.1. Требования к перечню и объему услуг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14467_2337621167"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</w:hyperlink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hyperlink w:anchor="__RefHeading___Toc114469_2337621167">
            <w:r>
              <w:rPr>
                <w:webHidden/>
                <w:rStyle w:val="Style14"/>
                <w:vanish w:val="false"/>
              </w:rPr>
              <w:t>2.1.2. Требования к срокам оказания услуг</w:t>
              <w:tab/>
              <w:t>5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14471_2337621167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14473_2337621167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14475_2337621167">
            <w:r>
              <w:rPr>
                <w:webHidden/>
                <w:rStyle w:val="Style14"/>
                <w:vanish w:val="false"/>
              </w:rPr>
              <w:t>Таблица 4.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14477_2337621167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9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114449_2337621167"/>
      <w:bookmarkStart w:id="1" w:name="_Toc54643694"/>
      <w:bookmarkEnd w:id="0"/>
      <w:r>
        <w:rPr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_RefHeading___Toc114451_2337621167"/>
      <w:bookmarkStart w:id="3" w:name="_Toc46743505"/>
      <w:bookmarkStart w:id="4" w:name="_Toc54643695"/>
      <w:bookmarkEnd w:id="2"/>
      <w:r>
        <w:rPr/>
        <w:t>Обозначения и сокращения</w:t>
      </w:r>
      <w:bookmarkEnd w:id="3"/>
      <w:bookmarkEnd w:id="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  <w:b w:val="false"/>
                <w:bCs/>
                <w:i w:val="false"/>
                <w:i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bCs/>
                <w:i w:val="false"/>
                <w:sz w:val="24"/>
                <w:szCs w:val="24"/>
                <w:shd w:fill="auto" w:val="clear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ind w:left="113" w:right="113" w:hanging="0"/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  <w:b w:val="false"/>
                <w:bCs/>
                <w:i w:val="false"/>
                <w:i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bCs/>
                <w:i w:val="false"/>
                <w:sz w:val="24"/>
                <w:szCs w:val="24"/>
                <w:shd w:fill="auto" w:val="clear"/>
              </w:rPr>
              <w:t>ПАО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ind w:left="113" w:right="113" w:hanging="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auto" w:val="clear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  <w:b w:val="false"/>
                <w:bCs/>
                <w:i w:val="false"/>
                <w:i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bCs/>
                <w:i w:val="false"/>
                <w:sz w:val="24"/>
                <w:szCs w:val="24"/>
                <w:shd w:fill="auto" w:val="clear"/>
              </w:rPr>
              <w:t>ФЗ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  <w:b w:val="false"/>
                <w:bCs/>
                <w:i w:val="false"/>
                <w:i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bCs/>
                <w:i w:val="false"/>
                <w:sz w:val="24"/>
                <w:szCs w:val="24"/>
                <w:shd w:fill="auto" w:val="clear"/>
              </w:rPr>
              <w:t>Федеральный закон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5" w:name="__RefHeading___Toc114453_2337621167"/>
      <w:bookmarkStart w:id="6" w:name="_Toc46743506"/>
      <w:bookmarkStart w:id="7" w:name="_Toc54643696"/>
      <w:bookmarkEnd w:id="5"/>
      <w:r>
        <w:rPr/>
        <w:t>Наименование закупаемой продукции</w:t>
      </w:r>
      <w:bookmarkEnd w:id="6"/>
      <w:bookmarkEnd w:id="7"/>
    </w:p>
    <w:p>
      <w:pPr>
        <w:pStyle w:val="29"/>
        <w:numPr>
          <w:ilvl w:val="0"/>
        </w:numPr>
        <w:rPr>
          <w:b w:val="false"/>
        </w:rPr>
      </w:pPr>
      <w:r>
        <w:rPr>
          <w:rFonts w:eastAsia="Calibri"/>
          <w:b w:val="false"/>
          <w:i w:val="false"/>
          <w:iCs w:val="false"/>
          <w:sz w:val="24"/>
          <w:szCs w:val="24"/>
          <w:lang w:eastAsia="x-none"/>
        </w:rPr>
        <w:t xml:space="preserve">Оказание услуг по поверке </w:t>
      </w:r>
      <w:r>
        <w:rPr>
          <w:rFonts w:eastAsia="Calibri" w:cs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x-none"/>
        </w:rPr>
        <w:t>автоматизированной системы опроса контрольно-измерительной аппаратуры гидротехнических сооружений Камской ГЭС</w:t>
      </w:r>
      <w:r>
        <w:rPr>
          <w:rFonts w:eastAsia="Calibri"/>
          <w:b w:val="false"/>
          <w:i w:val="false"/>
          <w:iCs w:val="false"/>
          <w:sz w:val="24"/>
          <w:szCs w:val="24"/>
          <w:lang w:eastAsia="x-none"/>
        </w:rPr>
        <w:t xml:space="preserve">. 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8" w:name="__RefHeading___Toc114455_2337621167"/>
      <w:bookmarkStart w:id="9" w:name="_Toc54643697"/>
      <w:bookmarkStart w:id="10" w:name="_Toc46743507"/>
      <w:bookmarkEnd w:id="8"/>
      <w:r>
        <w:rPr/>
        <w:t xml:space="preserve">Цель </w:t>
      </w:r>
      <w:bookmarkEnd w:id="10"/>
      <w:r>
        <w:rPr>
          <w:lang w:val="ru-RU"/>
        </w:rPr>
        <w:t>оказания услуг</w:t>
      </w:r>
      <w:bookmarkEnd w:id="9"/>
    </w:p>
    <w:p>
      <w:pPr>
        <w:pStyle w:val="29"/>
        <w:ind w:left="0" w:right="0" w:firstLine="709"/>
        <w:jc w:val="both"/>
        <w:rPr/>
      </w:pPr>
      <w:r>
        <w:rPr>
          <w:b w:val="false"/>
          <w:bCs w:val="false"/>
          <w:color w:val="000000"/>
          <w:sz w:val="24"/>
          <w:szCs w:val="24"/>
        </w:rPr>
        <w:t xml:space="preserve">- соблюдение требований </w:t>
      </w:r>
      <w:r>
        <w:rPr>
          <w:rStyle w:val="Blk1"/>
          <w:b w:val="false"/>
          <w:bCs w:val="false"/>
          <w:sz w:val="24"/>
          <w:szCs w:val="24"/>
        </w:rPr>
        <w:t>Федерального закона от 26.06.2008 N 102-ФЗ (ред. от 13.07.2015) "Об обеспечении единства измерений";</w:t>
      </w:r>
    </w:p>
    <w:p>
      <w:pPr>
        <w:pStyle w:val="29"/>
        <w:ind w:left="0" w:right="0" w:firstLine="709"/>
        <w:jc w:val="both"/>
        <w:rPr/>
      </w:pPr>
      <w:r>
        <w:rPr>
          <w:rStyle w:val="Blk1"/>
          <w:b/>
          <w:bCs w:val="false"/>
          <w:i w:val="false"/>
          <w:iCs w:val="false"/>
          <w:sz w:val="24"/>
          <w:szCs w:val="24"/>
          <w:shd w:fill="auto" w:val="clear"/>
        </w:rPr>
        <w:t xml:space="preserve">- </w:t>
      </w: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>обслуживание, регулировка, настройка и организация поверки и калибровки средств измерения в региональном центре стандартизации и метрологии с целью обеспечения единства и требуемой точности измерений на энергообъекте.</w:t>
      </w:r>
    </w:p>
    <w:p>
      <w:pPr>
        <w:pStyle w:val="Heading4"/>
        <w:numPr>
          <w:ilvl w:val="1"/>
          <w:numId w:val="3"/>
        </w:numPr>
        <w:rPr/>
      </w:pPr>
      <w:bookmarkStart w:id="11" w:name="__RefHeading___Toc114457_2337621167"/>
      <w:bookmarkStart w:id="12" w:name="_Toc54643698"/>
      <w:bookmarkStart w:id="13" w:name="_Toc46743508"/>
      <w:bookmarkEnd w:id="11"/>
      <w:r>
        <w:rPr/>
        <w:t>Существующее положение</w:t>
      </w:r>
      <w:bookmarkEnd w:id="13"/>
      <w:r>
        <w:rPr>
          <w:lang w:val="ru-RU"/>
        </w:rPr>
        <w:t xml:space="preserve"> </w:t>
      </w:r>
      <w:bookmarkEnd w:id="12"/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</w:rPr>
        <w:t>Автоматизированная система опроса контрольно-измерительной аппаратуры —  к</w:t>
      </w:r>
      <w:r>
        <w:rPr>
          <w:kern w:val="2"/>
          <w:sz w:val="24"/>
          <w:szCs w:val="24"/>
        </w:rPr>
        <w:t xml:space="preserve">омплекс </w:t>
      </w:r>
      <w:r>
        <w:rPr>
          <w:sz w:val="24"/>
          <w:szCs w:val="24"/>
        </w:rPr>
        <w:t>программно-технических средств мониторинга гидротехнических сооружений  Камской ГЭС предназначен для измерений аналоговых сигналов, поступающих от первичных измерительных преобразователей в виде электрического сопротивления постоянному электрическому току и частоты переменного тока.</w:t>
      </w:r>
    </w:p>
    <w:p>
      <w:pPr>
        <w:pStyle w:val="Normal"/>
        <w:ind w:left="0" w:right="0" w:firstLine="709"/>
        <w:jc w:val="both"/>
        <w:rPr/>
      </w:pPr>
      <w:r>
        <w:rPr>
          <w:rStyle w:val="Style8"/>
          <w:rFonts w:cs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u w:val="none"/>
          <w:shd w:fill="auto" w:val="clear"/>
          <w:em w:val="none"/>
        </w:rPr>
        <w:t>Принцип действия комплекса программно-технических средств мониторинга гидротехнических сооружений Камской ГЭС основан на аналого-цифровом преобразовании аналоговых электрических сигналов, поступающих от первичных измерительных преобразователей, в цифровой импульсный сигнал для последующей обработки, отображения и хранения измеренной информации.</w:t>
      </w:r>
    </w:p>
    <w:p>
      <w:pPr>
        <w:pStyle w:val="Normal"/>
        <w:ind w:left="0" w:right="0" w:firstLine="709"/>
        <w:jc w:val="both"/>
        <w:rPr/>
      </w:pPr>
      <w:r>
        <w:rPr>
          <w:rStyle w:val="Style8"/>
          <w:rFonts w:cs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u w:val="none"/>
          <w:shd w:fill="auto" w:val="clear"/>
          <w:em w:val="none"/>
        </w:rPr>
        <w:t>Описание типа средств измерений регистрационный номер №88945-23.</w:t>
      </w:r>
    </w:p>
    <w:p>
      <w:pPr>
        <w:pStyle w:val="29"/>
        <w:widowControl w:val="false"/>
        <w:numPr>
          <w:ilvl w:val="1"/>
        </w:numPr>
        <w:tabs>
          <w:tab w:val="clear" w:pos="720"/>
          <w:tab w:val="left" w:pos="426" w:leader="none"/>
        </w:tabs>
        <w:suppressAutoHyphens w:val="true"/>
        <w:jc w:val="both"/>
        <w:rPr>
          <w:b w:val="false"/>
          <w:sz w:val="24"/>
          <w:szCs w:val="24"/>
        </w:rPr>
      </w:pPr>
      <w:r>
        <w:rPr>
          <w:rStyle w:val="Style8"/>
          <w:rFonts w:cs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u w:val="none"/>
          <w:shd w:fill="auto" w:val="clear"/>
          <w:em w:val="none"/>
        </w:rPr>
        <w:t>https://ntd.metrologu.ru/grsi/8xxxx/88945-23.pdf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4" w:name="__RefHeading___Toc114459_2337621167"/>
      <w:bookmarkStart w:id="15" w:name="_Toc54643699"/>
      <w:bookmarkEnd w:id="14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5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59"/>
        <w:gridCol w:w="2129"/>
        <w:gridCol w:w="2535"/>
        <w:gridCol w:w="1578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bidi w:val="0"/>
              <w:spacing w:before="0" w:after="0"/>
              <w:ind w:left="57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Камская гидроэлектростанция (филиал ПАО ”РусГидро”-”Камская ГЭС”)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ind w:left="113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Российская Федерация, Пермский край, г.Пермь, ул.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ru-RU" w:bidi="ar-SA"/>
              </w:rPr>
              <w:t>Соликамская,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ind w:left="113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ru-RU" w:bidi="ar-SA"/>
              </w:rPr>
              <w:t>д. 329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И</w:t>
            </w:r>
            <w:r>
              <w:rPr>
                <w:b w:val="false"/>
                <w:i/>
                <w:iCs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нформационно- измерительная система контроля состояния ГТС (КПТС АСО КИА грунтовых сооружений КамГЭС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 xml:space="preserve">Инв. № </w:t>
            </w:r>
            <w:r>
              <w:rPr>
                <w:rFonts w:eastAsia="Times New Roman" w:cs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kern w:val="0"/>
                <w:sz w:val="18"/>
                <w:szCs w:val="18"/>
                <w:u w:val="none"/>
                <w:em w:val="none"/>
                <w:lang w:val="ru-RU" w:eastAsia="ru-RU" w:bidi="ar-SA"/>
              </w:rPr>
              <w:t>118010400000</w:t>
            </w:r>
            <w:r>
              <w:rPr>
                <w:b w:val="false"/>
                <w:i/>
                <w:iCs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17960000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0"/>
          <w:numId w:val="0"/>
        </w:numPr>
        <w:ind w:left="432" w:hanging="0"/>
        <w:rPr>
          <w:rStyle w:val="Style8"/>
          <w:b w:val="false"/>
          <w:bCs/>
          <w:sz w:val="24"/>
          <w:szCs w:val="24"/>
          <w:lang w:val="ru-RU"/>
        </w:rPr>
      </w:pPr>
      <w:r>
        <w:rPr>
          <w:b w:val="false"/>
          <w:bCs/>
          <w:sz w:val="24"/>
          <w:szCs w:val="24"/>
          <w:lang w:val="ru-RU"/>
        </w:rPr>
      </w:r>
      <w:bookmarkStart w:id="16" w:name="_Toc50125126"/>
      <w:bookmarkStart w:id="17" w:name="_Toc50125126"/>
      <w:bookmarkEnd w:id="17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8" w:name="__RefHeading___Toc114461_2337621167"/>
      <w:bookmarkStart w:id="19" w:name="_Toc54643702"/>
      <w:bookmarkStart w:id="20" w:name="_Toc51339693"/>
      <w:bookmarkEnd w:id="1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9"/>
      <w:bookmarkEnd w:id="20"/>
    </w:p>
    <w:p>
      <w:pPr>
        <w:pStyle w:val="Heading4"/>
        <w:numPr>
          <w:ilvl w:val="1"/>
          <w:numId w:val="3"/>
        </w:numPr>
        <w:rPr/>
      </w:pPr>
      <w:bookmarkStart w:id="21" w:name="__RefHeading___Toc114463_2337621167"/>
      <w:bookmarkStart w:id="22" w:name="_Toc54643703"/>
      <w:bookmarkEnd w:id="21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2"/>
    </w:p>
    <w:p>
      <w:pPr>
        <w:pStyle w:val="Heading3"/>
        <w:numPr>
          <w:ilvl w:val="2"/>
          <w:numId w:val="3"/>
        </w:numPr>
        <w:rPr/>
      </w:pPr>
      <w:bookmarkStart w:id="23" w:name="__RefHeading___Toc114465_2337621167"/>
      <w:bookmarkStart w:id="24" w:name="_Toc54643704"/>
      <w:bookmarkEnd w:id="23"/>
      <w:r>
        <w:rPr>
          <w:lang w:val="ru-RU"/>
        </w:rPr>
        <w:t>Требования к перечню и объему услуг</w:t>
      </w:r>
      <w:bookmarkEnd w:id="2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5" w:name="__RefHeading___Toc114467_2337621167"/>
      <w:bookmarkStart w:id="26" w:name="_Toc54643705"/>
      <w:bookmarkStart w:id="27" w:name="_Toc51339695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7"/>
      <w:r>
        <w:rPr>
          <w:sz w:val="24"/>
          <w:szCs w:val="24"/>
          <w:lang w:val="ru-RU"/>
        </w:rPr>
        <w:t>и объем оказываемых услуг</w:t>
      </w:r>
      <w:bookmarkEnd w:id="26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4"/>
        <w:gridCol w:w="1976"/>
        <w:gridCol w:w="8"/>
        <w:gridCol w:w="2113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6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</w:numPr>
              <w:suppressAutoHyphens w:val="true"/>
              <w:bidi w:val="0"/>
              <w:spacing w:before="0" w:after="0"/>
              <w:ind w:left="0" w:right="0" w:hanging="0"/>
              <w:jc w:val="both"/>
              <w:rPr>
                <w:bCs/>
              </w:rPr>
            </w:pPr>
            <w:r>
              <w:rPr>
                <w:rStyle w:val="Style8"/>
                <w:b w:val="false"/>
                <w:bCs/>
                <w:i w:val="false"/>
                <w:iCs w:val="false"/>
                <w:kern w:val="2"/>
                <w:sz w:val="24"/>
                <w:szCs w:val="24"/>
                <w:shd w:fill="auto" w:val="clear"/>
                <w:lang w:val="en-US"/>
              </w:rPr>
              <w:t xml:space="preserve">Определение диапазона и погрешности измерений электрического сопротивления для измерительных каналов температуры комплекса программно-технических средств мониторинга гидротехнических сооружений Камской ГЭС </w:t>
            </w:r>
            <w:r>
              <w:rPr>
                <w:rStyle w:val="Style8"/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shd w:fill="auto" w:val="clear"/>
                <w:em w:val="none"/>
                <w:lang w:val="en-US"/>
              </w:rPr>
              <w:t>с п</w:t>
            </w:r>
            <w:r>
              <w:rPr>
                <w:rStyle w:val="Style8"/>
                <w:rFonts w:cs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shd w:fill="auto" w:val="clear"/>
                <w:em w:val="none"/>
                <w:lang w:val="en-US"/>
              </w:rPr>
              <w:t>редоставлением свидетельств о поверке или заключений о непригодности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155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6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</w:numPr>
              <w:suppressAutoHyphens w:val="true"/>
              <w:bidi w:val="0"/>
              <w:spacing w:before="0" w:after="0"/>
              <w:ind w:left="0" w:right="0" w:hanging="0"/>
              <w:jc w:val="both"/>
              <w:rPr>
                <w:bCs/>
              </w:rPr>
            </w:pPr>
            <w:r>
              <w:rPr>
                <w:rStyle w:val="Style8"/>
                <w:rFonts w:cs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shd w:fill="auto" w:val="clear"/>
                <w:em w:val="none"/>
                <w:lang w:val="en-US"/>
              </w:rPr>
              <w:t xml:space="preserve">Определение диапазона и погрешности измерений электрического сопротивления для измерительных каналов давления комплекса программно-технических средств мониторинга гидротехнических сооружений Камской ГЭС </w:t>
            </w:r>
            <w:r>
              <w:rPr>
                <w:rStyle w:val="Style8"/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shd w:fill="auto" w:val="clear"/>
                <w:em w:val="none"/>
                <w:lang w:val="en-US"/>
              </w:rPr>
              <w:t>с п</w:t>
            </w:r>
            <w:r>
              <w:rPr>
                <w:rStyle w:val="Style8"/>
                <w:rFonts w:cs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shd w:fill="auto" w:val="clear"/>
                <w:em w:val="none"/>
                <w:lang w:val="en-US"/>
              </w:rPr>
              <w:t>редоставлением свидетельств о поверке или заключений о непригодности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0" w:after="0"/>
              <w:ind w:left="0" w:right="0" w:hanging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spacing w:before="0" w:after="0"/>
              <w:ind w:left="0" w:right="0" w:hanging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155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8" w:name="__RefHeading___Toc114469_2337621167"/>
      <w:bookmarkStart w:id="29" w:name="_Toc54643706"/>
      <w:bookmarkStart w:id="30" w:name="_Toc51339696"/>
      <w:bookmarkEnd w:id="28"/>
      <w:r>
        <w:rPr>
          <w:lang w:val="ru-RU"/>
        </w:rPr>
        <w:t xml:space="preserve">Требования </w:t>
      </w:r>
      <w:bookmarkEnd w:id="30"/>
      <w:r>
        <w:rPr>
          <w:lang w:val="ru-RU"/>
        </w:rPr>
        <w:t>к срокам оказания услуг</w:t>
      </w:r>
      <w:bookmarkEnd w:id="2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31" w:name="__RefHeading___Toc114471_2337621167"/>
      <w:bookmarkStart w:id="32" w:name="_Toc54643707"/>
      <w:bookmarkStart w:id="33" w:name="_Toc51339697"/>
      <w:bookmarkStart w:id="34" w:name="_Toc50125127"/>
      <w:bookmarkStart w:id="35" w:name="_Toc50125126_Копия_1"/>
      <w:bookmarkEnd w:id="31"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6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3"/>
      <w:bookmarkEnd w:id="34"/>
      <w:bookmarkEnd w:id="36"/>
      <w:r>
        <w:rPr>
          <w:sz w:val="24"/>
          <w:szCs w:val="24"/>
          <w:lang w:val="ru-RU"/>
        </w:rPr>
        <w:t>оказания услуг</w:t>
      </w:r>
      <w:bookmarkEnd w:id="32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4765"/>
        <w:gridCol w:w="2204"/>
        <w:gridCol w:w="2021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4"/>
              <w:widowControl w:val="false"/>
              <w:spacing w:before="0" w:after="0"/>
              <w:ind w:left="0" w:right="0" w:hanging="0"/>
              <w:jc w:val="both"/>
              <w:rPr/>
            </w:pPr>
            <w:r>
              <w:rPr>
                <w:rStyle w:val="Style8"/>
                <w:b w:val="false"/>
                <w:bCs w:val="false"/>
                <w:i w:val="false"/>
                <w:iCs w:val="false"/>
                <w:kern w:val="2"/>
                <w:sz w:val="24"/>
                <w:szCs w:val="24"/>
                <w:shd w:fill="auto" w:val="clear"/>
                <w:lang w:val="en-US"/>
              </w:rPr>
              <w:t>Поверка комплекса программно-технических средств мониторинга гидротехнических сооружений Камской ГЭС (310 измерительных каналов).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                 следующей за датой заключения договора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30.11.2026г.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1134" w:footer="0" w:bottom="57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7" w:name="__RefHeading___Toc114473_2337621167"/>
      <w:bookmarkStart w:id="38" w:name="_Toc54643709"/>
      <w:bookmarkStart w:id="39" w:name="_Toc51339698"/>
      <w:bookmarkStart w:id="40" w:name="_Toc54643708"/>
      <w:bookmarkStart w:id="41" w:name="_Toc46743511"/>
      <w:bookmarkEnd w:id="37"/>
      <w:r>
        <w:rPr/>
        <w:t xml:space="preserve">Требования к </w:t>
      </w:r>
      <w:bookmarkEnd w:id="41"/>
      <w:r>
        <w:rPr>
          <w:lang w:val="ru-RU"/>
        </w:rPr>
        <w:t xml:space="preserve">качеству </w:t>
      </w:r>
      <w:bookmarkEnd w:id="40"/>
      <w:r>
        <w:rPr>
          <w:lang w:val="ru-RU"/>
        </w:rPr>
        <w:t>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42" w:name="__RefHeading___Toc114475_2337621167"/>
      <w:bookmarkEnd w:id="4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9"/>
      <w:r>
        <w:rPr>
          <w:sz w:val="24"/>
          <w:szCs w:val="24"/>
          <w:lang w:val="ru-RU"/>
        </w:rPr>
        <w:t xml:space="preserve">качеству </w:t>
      </w:r>
      <w:bookmarkEnd w:id="38"/>
      <w:r>
        <w:rPr>
          <w:sz w:val="24"/>
          <w:szCs w:val="24"/>
          <w:lang w:val="ru-RU"/>
        </w:rPr>
        <w:t>продукции</w:t>
      </w:r>
    </w:p>
    <w:p>
      <w:pPr>
        <w:pStyle w:val="Normal"/>
        <w:rPr>
          <w:rStyle w:val="Style8"/>
          <w:b w:val="false"/>
        </w:rPr>
      </w:pPr>
      <w:r>
        <w:rPr>
          <w:rStyle w:val="Style8"/>
          <w:b w:val="false"/>
        </w:rPr>
        <w:t xml:space="preserve"> 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услуг: </w:t>
      </w:r>
    </w:p>
    <w:tbl>
      <w:tblPr>
        <w:tblStyle w:val="af"/>
        <w:tblW w:w="148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6"/>
        <w:gridCol w:w="2499"/>
        <w:gridCol w:w="6298"/>
        <w:gridCol w:w="3123"/>
        <w:gridCol w:w="2029"/>
      </w:tblGrid>
      <w:tr>
        <w:trPr/>
        <w:tc>
          <w:tcPr>
            <w:tcW w:w="93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49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29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1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3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9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29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1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0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4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3"/>
          </w:p>
        </w:tc>
        <w:tc>
          <w:tcPr>
            <w:tcW w:w="24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2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31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31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ind w:left="113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норм и правил нормативно-технических документов при оказании услуг</w:t>
            </w:r>
          </w:p>
        </w:tc>
        <w:tc>
          <w:tcPr>
            <w:tcW w:w="6298" w:type="dxa"/>
            <w:tcBorders/>
            <w:shd w:color="auto" w:fill="auto" w:val="clear"/>
          </w:tcPr>
          <w:p>
            <w:pPr>
              <w:pStyle w:val="29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26" w:leader="none"/>
              </w:tabs>
              <w:suppressAutoHyphens w:val="true"/>
              <w:ind w:left="0" w:right="0" w:hanging="0"/>
              <w:jc w:val="both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1.Обязательно иметь государственную аккредитацию на право поверки и калибровки средств измерений.</w:t>
            </w:r>
          </w:p>
          <w:p>
            <w:pPr>
              <w:pStyle w:val="29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26" w:leader="none"/>
              </w:tabs>
              <w:suppressAutoHyphens w:val="true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sz w:val="24"/>
                <w:szCs w:val="24"/>
                <w:shd w:fill="auto" w:val="clear"/>
              </w:rPr>
              <w:t>2. Поверка к</w:t>
            </w:r>
            <w:r>
              <w:rPr>
                <w:b w:val="false"/>
                <w:kern w:val="2"/>
                <w:sz w:val="24"/>
                <w:szCs w:val="24"/>
                <w:shd w:fill="auto" w:val="clear"/>
              </w:rPr>
              <w:t xml:space="preserve">омплекса </w:t>
            </w:r>
            <w:r>
              <w:rPr>
                <w:b w:val="false"/>
                <w:sz w:val="24"/>
                <w:szCs w:val="24"/>
                <w:shd w:fill="auto" w:val="clear"/>
              </w:rPr>
              <w:t>программно-технических средств мониторинга гидротехнических сооружений  Камской ГЭС выполняется в соответствии с утвержденной методикой:</w:t>
            </w:r>
          </w:p>
          <w:p>
            <w:pPr>
              <w:pStyle w:val="29"/>
              <w:widowControl w:val="false"/>
              <w:numPr>
                <w:ilvl w:val="1"/>
              </w:numPr>
              <w:tabs>
                <w:tab w:val="clear" w:pos="720"/>
                <w:tab w:val="left" w:pos="426" w:leader="none"/>
              </w:tabs>
              <w:suppressAutoHyphens w:val="true"/>
              <w:jc w:val="both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- МП АПМ 81-22 «ГСИ Комплекс программно-технических средств мониторинга гидротехнических сооружений Камской ГЭС. Методика поверки»</w:t>
            </w:r>
          </w:p>
          <w:p>
            <w:pPr>
              <w:pStyle w:val="29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jc w:val="both"/>
              <w:rPr>
                <w:b w:val="false"/>
                <w:sz w:val="24"/>
                <w:szCs w:val="24"/>
              </w:rPr>
            </w:pPr>
            <w:r>
              <w:rPr>
                <w:b w:val="false"/>
                <w:color w:val="000000"/>
                <w:sz w:val="24"/>
                <w:szCs w:val="24"/>
                <w:u w:val="none"/>
              </w:rPr>
              <w:t>https://www.ktopoverit.ru/prof/metodiki/88945-23.pdf</w:t>
            </w:r>
          </w:p>
        </w:tc>
        <w:tc>
          <w:tcPr>
            <w:tcW w:w="312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29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Предоставить в составе предложения на закупку копию аккредитации  на право поверки и калибровки средств измерений.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79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3123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оказания услуг</w:t>
            </w:r>
          </w:p>
        </w:tc>
        <w:tc>
          <w:tcPr>
            <w:tcW w:w="6298" w:type="dxa"/>
            <w:tcBorders/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Поверка проводится на территории Покупателя.</w:t>
            </w:r>
          </w:p>
        </w:tc>
        <w:tc>
          <w:tcPr>
            <w:tcW w:w="312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1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31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ind w:left="113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629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120" w:after="0"/>
              <w:ind w:left="0" w:hanging="0"/>
              <w:contextualSpacing/>
              <w:jc w:val="both"/>
              <w:rPr/>
            </w:pPr>
            <w:r>
              <w:rPr>
                <w:bCs/>
                <w:kern w:val="2"/>
              </w:rPr>
              <w:t>1. Результаты поверки оформляются протоколом, составленным в виде сводной таблицы результатов поверки каждого измерительного канала.</w:t>
            </w:r>
          </w:p>
          <w:p>
            <w:pPr>
              <w:pStyle w:val="ListParagraph"/>
              <w:widowControl w:val="false"/>
              <w:suppressAutoHyphens w:val="true"/>
              <w:spacing w:before="120" w:after="0"/>
              <w:ind w:left="0" w:hanging="0"/>
              <w:contextualSpacing/>
              <w:jc w:val="both"/>
              <w:rPr/>
            </w:pPr>
            <w:r>
              <w:rPr>
                <w:bCs/>
                <w:kern w:val="2"/>
              </w:rPr>
              <w:t>2. При положительных результатах поверки, Исполнитель выдает свидетельство о поверке установленной формы. При отрицательных результатах, выдаётся извещение о непригодности в установленной форме с указанием основных причин.</w:t>
            </w:r>
          </w:p>
        </w:tc>
        <w:tc>
          <w:tcPr>
            <w:tcW w:w="3123" w:type="dxa"/>
            <w:tcBorders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29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1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  <w:tab w:val="left" w:pos="426" w:leader="none"/>
              </w:tabs>
              <w:suppressAutoHyphens w:val="true"/>
              <w:spacing w:lineRule="auto" w:line="276"/>
              <w:ind w:left="11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передачи результатов услуг</w:t>
            </w:r>
          </w:p>
        </w:tc>
        <w:tc>
          <w:tcPr>
            <w:tcW w:w="6298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326" w:leader="none"/>
              </w:tabs>
              <w:suppressAutoHyphens w:val="true"/>
              <w:spacing w:lineRule="auto" w:line="276"/>
              <w:ind w:left="3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результаты выполненных услуг на бумажном носителе в 1 экз. не позднее  окончания срока действия договора.</w:t>
            </w:r>
          </w:p>
        </w:tc>
        <w:tc>
          <w:tcPr>
            <w:tcW w:w="3123" w:type="dxa"/>
            <w:tcBorders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2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1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 w:val="false"/>
              <w:suppressAutoHyphens w:val="true"/>
              <w:ind w:left="5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62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ind w:left="0" w:hanging="0"/>
              <w:jc w:val="both"/>
              <w:rPr/>
            </w:pPr>
            <w:r>
              <w:rPr>
                <w:sz w:val="24"/>
                <w:szCs w:val="24"/>
              </w:rPr>
              <w:t>Исполнитель передает заказчику:</w:t>
            </w:r>
          </w:p>
          <w:p>
            <w:pPr>
              <w:pStyle w:val="Normal"/>
              <w:widowControl w:val="false"/>
              <w:suppressAutoHyphens w:val="true"/>
              <w:ind w:left="0" w:hanging="0"/>
              <w:jc w:val="both"/>
              <w:rPr/>
            </w:pPr>
            <w:r>
              <w:rPr>
                <w:sz w:val="24"/>
                <w:szCs w:val="24"/>
              </w:rPr>
              <w:t>1. протокол результатов поверки каждого измерительного канала в 1 экз.</w:t>
            </w:r>
          </w:p>
          <w:p>
            <w:pPr>
              <w:pStyle w:val="Normal"/>
              <w:widowControl w:val="false"/>
              <w:suppressAutoHyphens w:val="true"/>
              <w:ind w:left="0" w:hanging="0"/>
              <w:jc w:val="both"/>
              <w:rPr/>
            </w:pPr>
            <w:r>
              <w:rPr>
                <w:sz w:val="24"/>
                <w:szCs w:val="24"/>
              </w:rPr>
              <w:t>2. с</w:t>
            </w:r>
            <w:r>
              <w:rPr>
                <w:bCs/>
                <w:sz w:val="24"/>
                <w:szCs w:val="24"/>
              </w:rPr>
              <w:t>видетельство о поверке или извещение о непригодности в  1экз.</w:t>
            </w:r>
          </w:p>
        </w:tc>
        <w:tc>
          <w:tcPr>
            <w:tcW w:w="3123" w:type="dxa"/>
            <w:tcBorders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29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4" w:name="__RefHeading___Toc114477_2337621167"/>
      <w:bookmarkStart w:id="45" w:name="_Toc54643710"/>
      <w:bookmarkStart w:id="46" w:name="_Toc53395937"/>
      <w:bookmarkStart w:id="47" w:name="_Toc53393312"/>
      <w:bookmarkStart w:id="48" w:name="_Toc46743519"/>
      <w:bookmarkStart w:id="49" w:name="_Toc51339699"/>
      <w:bookmarkEnd w:id="44"/>
      <w:bookmarkEnd w:id="48"/>
      <w:bookmarkEnd w:id="49"/>
      <w:r>
        <w:rPr>
          <w:lang w:val="ru-RU"/>
        </w:rPr>
        <w:t>Требования к документации по ценообразованию</w:t>
      </w:r>
      <w:bookmarkEnd w:id="46"/>
      <w:bookmarkEnd w:id="47"/>
      <w:r>
        <w:rPr>
          <w:lang w:val="ru-RU"/>
        </w:rPr>
        <w:t xml:space="preserve"> на этапе закупки</w:t>
      </w:r>
      <w:bookmarkEnd w:id="45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bidi w:val="0"/>
        <w:spacing w:before="60" w:after="0"/>
        <w:ind w:left="0" w:right="0" w:firstLine="85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3.1. В обоснование стоимости своей заявки участник предоставляет коммерческое предложение </w:t>
      </w:r>
    </w:p>
    <w:p>
      <w:pPr>
        <w:pStyle w:val="Normal"/>
        <w:rPr>
          <w:iCs/>
          <w:caps/>
        </w:rPr>
      </w:pPr>
      <w:r>
        <w:rPr>
          <w:iCs/>
          <w:caps/>
        </w:rPr>
      </w:r>
    </w:p>
    <w:p>
      <w:pPr>
        <w:pStyle w:val="Normal"/>
        <w:rPr>
          <w:iCs/>
          <w:caps/>
        </w:rPr>
      </w:pPr>
      <w:r>
        <w:rPr>
          <w:iCs/>
          <w:caps/>
        </w:rPr>
      </w:r>
    </w:p>
    <w:p>
      <w:pPr>
        <w:pStyle w:val="Normal"/>
        <w:rPr>
          <w:iCs/>
          <w:caps/>
        </w:rPr>
      </w:pPr>
      <w:r>
        <w:rPr>
          <w:iCs/>
          <w:caps/>
        </w:rPr>
      </w:r>
    </w:p>
    <w:p>
      <w:pPr>
        <w:pStyle w:val="Normal"/>
        <w:rPr>
          <w:iCs/>
          <w:caps/>
        </w:rPr>
      </w:pPr>
      <w:r>
        <w:rPr>
          <w:iCs/>
          <w:caps/>
        </w:rPr>
      </w:r>
    </w:p>
    <w:p>
      <w:pPr>
        <w:pStyle w:val="Normal"/>
        <w:rPr>
          <w:iCs/>
          <w:caps/>
        </w:rPr>
      </w:pPr>
      <w:r>
        <w:rPr>
          <w:iCs/>
          <w:caps/>
        </w:rPr>
      </w:r>
    </w:p>
    <w:p>
      <w:pPr>
        <w:pStyle w:val="Normal"/>
        <w:rPr>
          <w:iCs/>
          <w:caps/>
        </w:rPr>
      </w:pPr>
      <w:r>
        <w:rPr/>
      </w:r>
      <w:bookmarkStart w:id="50" w:name="_Toc51339699_Копия_1"/>
      <w:bookmarkStart w:id="51" w:name="_Toc51339699_Копия_1"/>
      <w:bookmarkEnd w:id="51"/>
    </w:p>
    <w:sectPr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10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character" w:styleId="Blk1">
    <w:name w:val="blk1"/>
    <w:qFormat/>
    <w:rPr>
      <w:vanish w:val="false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20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20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29">
    <w:name w:val="Основной текст 2"/>
    <w:basedOn w:val="Normal"/>
    <w:qFormat/>
    <w:pPr/>
    <w:rPr>
      <w:b/>
      <w:bCs/>
      <w:kern w:val="2"/>
    </w:rPr>
  </w:style>
  <w:style w:type="paragraph" w:styleId="Style34">
    <w:name w:val="Продолжение списка"/>
    <w:basedOn w:val="Normal"/>
    <w:qFormat/>
    <w:pPr>
      <w:widowControl w:val="false"/>
      <w:spacing w:before="0" w:after="120"/>
      <w:ind w:left="283" w:right="0" w:hanging="0"/>
    </w:pPr>
    <w:rPr>
      <w:color w:val="000000"/>
    </w:rPr>
  </w:style>
  <w:style w:type="paragraph" w:styleId="Style35">
    <w:name w:val="Красная строка"/>
    <w:basedOn w:val="BodyText"/>
    <w:qFormat/>
    <w:pPr>
      <w:spacing w:before="0" w:after="120"/>
      <w:ind w:left="0" w:right="0" w:firstLine="210"/>
      <w:jc w:val="left"/>
    </w:pPr>
    <w:rPr>
      <w:kern w:val="0"/>
      <w:sz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WW8Num7">
    <w:name w:val="WW8Num7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D964E-2ACE-4132-B9BC-50F0488B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Application>AlterOffice/3.4.0.9$Linux_X86_64 LibreOffice_project/b8daf9e823b1a5463a2f48435ddc2e8696e7d4fc</Application>
  <AppVersion>15.0000</AppVersion>
  <Pages>7</Pages>
  <Words>819</Words>
  <Characters>5802</Characters>
  <CharactersWithSpaces>6475</CharactersWithSpaces>
  <Paragraphs>168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shvalyukee@corp.gidroogk.com</cp:lastModifiedBy>
  <cp:lastPrinted>2006-07-26T14:04:00Z</cp:lastPrinted>
  <dcterms:modified xsi:type="dcterms:W3CDTF">2026-08-12T11:23:18Z</dcterms:modified>
  <cp:revision>41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