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header5.xml" ContentType="application/vnd.openxmlformats-officedocument.wordprocessingml.header+xml"/>
  <Override PartName="/word/header1.xml" ContentType="application/vnd.openxmlformats-officedocument.wordprocessingml.header+xml"/>
  <Override PartName="/word/_rels/document.xml.rels" ContentType="application/vnd.openxmlformats-package.relationships+xml"/>
  <Override PartName="/word/header2.xml" ContentType="application/vnd.openxmlformats-officedocument.wordprocessingml.header+xml"/>
  <Override PartName="/word/header3.xml" ContentType="application/vnd.openxmlformats-officedocument.wordprocessingml.header+xml"/>
  <Override PartName="/word/footnotes.xml" ContentType="application/vnd.openxmlformats-officedocument.wordprocessingml.footnotes+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spacing w:lineRule="auto" w:line="204"/>
        <w:jc w:val="center"/>
        <w:rPr>
          <w:b/>
          <w:sz w:val="24"/>
          <w:szCs w:val="24"/>
          <w:lang w:val="en-US"/>
        </w:rPr>
      </w:pPr>
      <w:r>
        <w:rPr>
          <w:b/>
          <w:sz w:val="24"/>
          <w:szCs w:val="24"/>
        </w:rPr>
        <w:t>ДОГОВОР ПОСТАВКИ</w:t>
      </w:r>
      <w:r>
        <w:rPr>
          <w:b/>
          <w:sz w:val="24"/>
          <w:szCs w:val="24"/>
          <w:lang w:val="en-US"/>
        </w:rPr>
        <w:t>-</w:t>
      </w:r>
      <w:r>
        <w:rPr>
          <w:b/>
          <w:bCs/>
          <w:sz w:val="24"/>
          <w:szCs w:val="24"/>
          <w:shd w:fill="auto" w:val="clear"/>
          <w:lang w:val="en-US"/>
        </w:rPr>
        <w:t xml:space="preserve">№ </w:t>
      </w:r>
    </w:p>
    <w:p>
      <w:pPr>
        <w:pStyle w:val="BodyText"/>
        <w:spacing w:lineRule="auto" w:line="204"/>
        <w:jc w:val="center"/>
        <w:rPr>
          <w:b/>
          <w:sz w:val="24"/>
          <w:szCs w:val="24"/>
          <w:lang w:val="en-US"/>
        </w:rPr>
      </w:pPr>
      <w:r>
        <w:rPr>
          <w:b/>
          <w:sz w:val="24"/>
          <w:szCs w:val="24"/>
          <w:lang w:val="en-US"/>
        </w:rPr>
      </w:r>
    </w:p>
    <w:p>
      <w:pPr>
        <w:pStyle w:val="Normal"/>
        <w:spacing w:lineRule="auto" w:line="240" w:before="0" w:after="120"/>
        <w:ind w:left="0" w:right="0" w:hanging="0"/>
        <w:jc w:val="right"/>
        <w:rPr>
          <w:sz w:val="26"/>
          <w:szCs w:val="26"/>
        </w:rPr>
      </w:pPr>
      <w:r>
        <w:rPr>
          <w:sz w:val="26"/>
          <w:szCs w:val="26"/>
        </w:rPr>
        <w:t xml:space="preserve">г. Зея                                                                        </w:t>
        <w:tab/>
        <w:t>«_____» _________ 2026 года</w:t>
      </w:r>
    </w:p>
    <w:p>
      <w:pPr>
        <w:pStyle w:val="Normal"/>
        <w:spacing w:lineRule="auto" w:line="240"/>
        <w:ind w:left="0" w:right="0" w:hanging="0"/>
        <w:rPr>
          <w:b/>
          <w:bCs/>
          <w:sz w:val="26"/>
          <w:szCs w:val="26"/>
        </w:rPr>
      </w:pPr>
      <w:r>
        <w:rPr>
          <w:sz w:val="26"/>
          <w:szCs w:val="26"/>
        </w:rPr>
        <w:t xml:space="preserve">          </w:t>
      </w:r>
      <w:r>
        <w:rPr>
          <w:sz w:val="26"/>
          <w:szCs w:val="26"/>
        </w:rPr>
        <w:t xml:space="preserve">Публичное акционерное общество «Федеральная гидрогенерирующая компания – РусГидро» (ПАО «РусГидро»), (далее – «Покупатель»), в лице Директора филиала ПАО «РусГидро» – «Зейская ГЭС» Сухомесова Михаила Андреевича, действующего на основании доверенности </w:t>
      </w:r>
      <w:r>
        <w:rPr>
          <w:color w:val="000000"/>
          <w:sz w:val="26"/>
          <w:szCs w:val="26"/>
        </w:rPr>
        <w:t xml:space="preserve">№ </w:t>
      </w:r>
      <w:r>
        <w:rPr>
          <w:sz w:val="26"/>
          <w:szCs w:val="26"/>
        </w:rPr>
        <w:t>fa6c5272-a93b-4de7-a668-0be35958fe24</w:t>
      </w:r>
      <w:r>
        <w:rPr>
          <w:color w:val="000000"/>
          <w:sz w:val="26"/>
          <w:szCs w:val="26"/>
        </w:rPr>
        <w:t xml:space="preserve"> от </w:t>
      </w:r>
      <w:r>
        <w:rPr>
          <w:sz w:val="26"/>
          <w:szCs w:val="26"/>
        </w:rPr>
        <w:t>23.01.2025,</w:t>
      </w:r>
      <w:r>
        <w:rPr>
          <w:sz w:val="26"/>
          <w:szCs w:val="26"/>
          <w:shd w:fill="auto" w:val="clear"/>
        </w:rPr>
        <w:t xml:space="preserve"> </w:t>
      </w:r>
      <w:r>
        <w:rPr>
          <w:color w:val="000000"/>
          <w:sz w:val="26"/>
          <w:szCs w:val="26"/>
          <w:shd w:fill="auto" w:val="clear"/>
        </w:rPr>
        <w:t xml:space="preserve"> с одной стороны, </w:t>
      </w:r>
      <w:r>
        <w:rPr>
          <w:color w:val="000000"/>
          <w:spacing w:val="4"/>
          <w:sz w:val="24"/>
          <w:szCs w:val="24"/>
          <w:shd w:fill="auto" w:val="clear"/>
        </w:rPr>
        <w:t>и</w:t>
      </w:r>
      <w:r>
        <w:rPr>
          <w:color w:val="000000"/>
          <w:spacing w:val="10"/>
          <w:sz w:val="24"/>
          <w:szCs w:val="24"/>
          <w:shd w:fill="auto" w:val="clear"/>
        </w:rPr>
        <w:t xml:space="preserve"> </w:t>
      </w:r>
      <w:r>
        <w:rPr>
          <w:b w:val="false"/>
          <w:bCs w:val="false"/>
          <w:color w:val="000000"/>
          <w:spacing w:val="10"/>
          <w:sz w:val="24"/>
          <w:szCs w:val="24"/>
          <w:shd w:fill="auto" w:val="clear"/>
        </w:rPr>
        <w:t>_____________________________</w:t>
      </w:r>
      <w:r>
        <w:rPr>
          <w:bCs/>
          <w:color w:val="000000"/>
          <w:sz w:val="24"/>
          <w:szCs w:val="24"/>
          <w:shd w:fill="auto" w:val="clear"/>
        </w:rPr>
        <w:t xml:space="preserve"> </w:t>
      </w:r>
      <w:r>
        <w:rPr>
          <w:color w:val="000000"/>
          <w:sz w:val="24"/>
          <w:szCs w:val="24"/>
          <w:shd w:fill="auto" w:val="clear"/>
        </w:rPr>
        <w:t>(далее – «Поставщик»), в лице  г</w:t>
      </w:r>
      <w:r>
        <w:rPr>
          <w:color w:val="000000"/>
          <w:sz w:val="24"/>
          <w:szCs w:val="24"/>
          <w:shd w:fill="auto" w:val="clear"/>
        </w:rPr>
        <w:t>_______________________________</w:t>
      </w:r>
      <w:r>
        <w:rPr>
          <w:color w:val="000000"/>
          <w:sz w:val="24"/>
          <w:szCs w:val="24"/>
          <w:shd w:fill="auto" w:val="clear"/>
        </w:rPr>
        <w:t xml:space="preserve">, действующего на основании Устава, с другой стороны, совместно в дальнейшем именуемые «Стороны», а по отдельности – «Сторона», </w:t>
      </w:r>
      <w:r>
        <w:rPr>
          <w:color w:val="000000"/>
          <w:sz w:val="24"/>
          <w:szCs w:val="24"/>
          <w:shd w:fill="auto" w:val="clear"/>
          <w:lang w:eastAsia="en-US"/>
        </w:rPr>
        <w:t xml:space="preserve">на основании протокола от </w:t>
      </w:r>
      <w:r>
        <w:rPr>
          <w:color w:val="000000"/>
          <w:sz w:val="24"/>
          <w:szCs w:val="24"/>
          <w:shd w:fill="auto" w:val="clear"/>
          <w:lang w:eastAsia="en-US"/>
        </w:rPr>
        <w:t>_______________</w:t>
      </w:r>
      <w:r>
        <w:rPr>
          <w:b w:val="false"/>
          <w:i w:val="false"/>
          <w:caps w:val="false"/>
          <w:smallCaps w:val="false"/>
          <w:color w:val="000000"/>
          <w:spacing w:val="0"/>
          <w:sz w:val="24"/>
          <w:szCs w:val="24"/>
          <w:shd w:fill="auto" w:val="clear"/>
          <w:lang w:eastAsia="en-US"/>
        </w:rPr>
        <w:t xml:space="preserve">, </w:t>
      </w:r>
      <w:r>
        <w:rPr>
          <w:color w:val="000000"/>
          <w:sz w:val="24"/>
          <w:szCs w:val="24"/>
          <w:shd w:fill="auto" w:val="clear"/>
        </w:rPr>
        <w:t>заключили настоящий договор поставки (далее – «Договор») о нижеследующем:</w:t>
      </w:r>
    </w:p>
    <w:p>
      <w:pPr>
        <w:pStyle w:val="Normal"/>
        <w:widowControl w:val="false"/>
        <w:shd w:val="clear" w:fill="FFFFFF"/>
        <w:spacing w:lineRule="auto" w:line="240"/>
        <w:ind w:left="0" w:right="0" w:hanging="0"/>
        <w:jc w:val="center"/>
        <w:rPr>
          <w:b/>
          <w:bCs/>
          <w:sz w:val="26"/>
          <w:szCs w:val="26"/>
        </w:rPr>
      </w:pPr>
      <w:r>
        <w:rPr>
          <w:b/>
          <w:bCs/>
          <w:sz w:val="26"/>
          <w:szCs w:val="26"/>
        </w:rPr>
        <w:t>ТЕРМИНЫ ОПРЕДЕЛЕНИЯ</w:t>
      </w:r>
    </w:p>
    <w:p>
      <w:pPr>
        <w:pStyle w:val="Normal"/>
        <w:widowControl w:val="false"/>
        <w:shd w:val="clear" w:fill="FFFFFF"/>
        <w:spacing w:lineRule="auto" w:line="240"/>
        <w:ind w:left="0" w:right="0" w:hanging="0"/>
        <w:jc w:val="center"/>
        <w:rPr>
          <w:b/>
          <w:bCs/>
          <w:sz w:val="26"/>
          <w:szCs w:val="26"/>
        </w:rPr>
      </w:pPr>
      <w:r>
        <w:rPr>
          <w:b/>
          <w:bCs/>
          <w:sz w:val="26"/>
          <w:szCs w:val="26"/>
        </w:rPr>
      </w:r>
    </w:p>
    <w:p>
      <w:pPr>
        <w:pStyle w:val="Normal"/>
        <w:widowControl w:val="false"/>
        <w:shd w:val="clear" w:fill="FFFFFF"/>
        <w:spacing w:lineRule="auto" w:line="240"/>
        <w:ind w:left="0" w:right="0" w:firstLine="709"/>
        <w:rPr>
          <w:b/>
          <w:sz w:val="26"/>
          <w:szCs w:val="26"/>
          <w:lang w:eastAsia="en-US"/>
        </w:rPr>
      </w:pPr>
      <w:r>
        <w:rPr>
          <w:bCs/>
          <w:sz w:val="26"/>
          <w:szCs w:val="26"/>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«Акт рекламации»</w:t>
      </w:r>
      <w:r>
        <w:rPr>
          <w:sz w:val="26"/>
          <w:szCs w:val="26"/>
          <w:lang w:eastAsia="en-US"/>
        </w:rPr>
        <w:t xml:space="preserve"> – документ, оформляемый по унифицированным формам № ТОРГ-2 «Акт об установленном расхождении по количеству и качеству при приемке товарно-материальных ценностей» и № ТОРГ-3 «Акт об установленном расхождении 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Normal"/>
        <w:widowControl w:val="false"/>
        <w:shd w:val="clear" w:fill="FFFFFF"/>
        <w:tabs>
          <w:tab w:val="clear" w:pos="708"/>
          <w:tab w:val="left" w:pos="567" w:leader="none"/>
          <w:tab w:val="left" w:pos="1134" w:leader="none"/>
        </w:tabs>
        <w:overflowPunct w:val="true"/>
        <w:spacing w:lineRule="auto" w:line="240"/>
        <w:ind w:left="0" w:right="0" w:firstLine="709"/>
        <w:textAlignment w:val="baseline"/>
        <w:rPr>
          <w:b/>
          <w:sz w:val="26"/>
          <w:szCs w:val="26"/>
          <w:lang w:eastAsia="en-US"/>
        </w:rPr>
      </w:pPr>
      <w:r>
        <w:rPr>
          <w:b/>
          <w:sz w:val="26"/>
          <w:szCs w:val="26"/>
          <w:lang w:eastAsia="en-US"/>
        </w:rPr>
        <w:t xml:space="preserve"> </w:t>
      </w:r>
      <w:r>
        <w:rPr>
          <w:b/>
          <w:sz w:val="26"/>
          <w:szCs w:val="26"/>
          <w:lang w:eastAsia="en-US"/>
        </w:rPr>
        <w:t>«Гарантийный срок»</w:t>
      </w:r>
      <w:r>
        <w:rPr>
          <w:sz w:val="26"/>
          <w:szCs w:val="26"/>
        </w:rPr>
        <w:t xml:space="preserve"> </w:t>
      </w:r>
      <w:r>
        <w:rPr>
          <w:sz w:val="26"/>
          <w:szCs w:val="26"/>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«Договор»</w:t>
      </w:r>
      <w:r>
        <w:rPr>
          <w:sz w:val="26"/>
          <w:szCs w:val="26"/>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«Коммерческая тайна»</w:t>
      </w:r>
      <w:r>
        <w:rPr>
          <w:sz w:val="26"/>
          <w:szCs w:val="26"/>
          <w:lang w:eastAsia="en-US"/>
        </w:rPr>
        <w:t xml:space="preserve"> – режим конфиденциальности информации, позволяющий 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или получить иную коммерческую выгоду. </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 xml:space="preserve">«Накладная ТОРГ-12» </w:t>
      </w:r>
      <w:r>
        <w:rPr>
          <w:sz w:val="26"/>
          <w:szCs w:val="26"/>
          <w:lang w:eastAsia="en-US"/>
        </w:rPr>
        <w:t>–</w:t>
      </w:r>
      <w:r>
        <w:rPr>
          <w:b/>
          <w:sz w:val="26"/>
          <w:szCs w:val="26"/>
          <w:lang w:eastAsia="en-US"/>
        </w:rPr>
        <w:t xml:space="preserve"> </w:t>
      </w:r>
      <w:r>
        <w:rPr>
          <w:sz w:val="26"/>
          <w:szCs w:val="26"/>
          <w:lang w:eastAsia="en-US"/>
        </w:rPr>
        <w:t>документ, оформляемый по унифицированной форме № ТОРГ-12 «Товарная накладная», утвержденной постановлением Госкомстата РФ от 25.12.1998 № 132, подписываемый Сторонами после завершения приемки Товара по количеству, качеству и комплектности.</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sz w:val="26"/>
          <w:szCs w:val="26"/>
          <w:lang w:eastAsia="en-US"/>
        </w:rPr>
      </w:pPr>
      <w:r>
        <w:rPr>
          <w:b/>
          <w:sz w:val="26"/>
          <w:szCs w:val="26"/>
          <w:lang w:eastAsia="en-US"/>
        </w:rPr>
        <w:t xml:space="preserve">«Отказ от Договора» </w:t>
      </w:r>
      <w:r>
        <w:rPr>
          <w:sz w:val="26"/>
          <w:szCs w:val="26"/>
          <w:lang w:eastAsia="en-US"/>
        </w:rPr>
        <w:t xml:space="preserve">– односторонний внесудебный отказ от исполнения Договора, совершенный Стороной в соответствии со статьей 450.1 ГК РФ в случаях, установленных Договором. </w:t>
      </w:r>
    </w:p>
    <w:p>
      <w:pPr>
        <w:pStyle w:val="Normal"/>
        <w:widowControl w:val="false"/>
        <w:shd w:val="clear" w:fill="FFFFFF"/>
        <w:tabs>
          <w:tab w:val="clear" w:pos="708"/>
          <w:tab w:val="left" w:pos="0" w:leader="none"/>
        </w:tabs>
        <w:overflowPunct w:val="true"/>
        <w:spacing w:lineRule="auto" w:line="240"/>
        <w:ind w:left="0" w:right="0" w:firstLine="709"/>
        <w:textAlignment w:val="baseline"/>
        <w:rPr>
          <w:b/>
          <w:bCs/>
          <w:sz w:val="26"/>
          <w:szCs w:val="26"/>
          <w:lang w:eastAsia="en-US"/>
        </w:rPr>
      </w:pPr>
      <w:r>
        <w:rPr>
          <w:b/>
          <w:sz w:val="26"/>
          <w:szCs w:val="26"/>
          <w:lang w:eastAsia="en-US"/>
        </w:rPr>
        <w:t>«Партия Товара»</w:t>
      </w:r>
      <w:r>
        <w:rPr>
          <w:sz w:val="26"/>
          <w:szCs w:val="26"/>
          <w:lang w:eastAsia="en-US"/>
        </w:rPr>
        <w:t xml:space="preserve"> – часть Товара, единовременно поставляемая Покупателю Поставщиком, объем, состав и стоимость которой определяется Спецификацией, являющейся приложением к Договору.</w:t>
      </w:r>
    </w:p>
    <w:p>
      <w:pPr>
        <w:pStyle w:val="Normal"/>
        <w:keepLines/>
        <w:widowControl w:val="false"/>
        <w:numPr>
          <w:ilvl w:val="0"/>
          <w:numId w:val="0"/>
        </w:numPr>
        <w:tabs>
          <w:tab w:val="clear" w:pos="708"/>
          <w:tab w:val="left" w:pos="0" w:leader="none"/>
        </w:tabs>
        <w:overflowPunct w:val="true"/>
        <w:spacing w:lineRule="auto" w:line="240"/>
        <w:ind w:left="0" w:right="0" w:firstLine="709"/>
        <w:textAlignment w:val="baseline"/>
        <w:outlineLvl w:val="2"/>
        <w:rPr>
          <w:b/>
          <w:sz w:val="26"/>
          <w:szCs w:val="26"/>
          <w:lang w:eastAsia="en-US"/>
        </w:rPr>
      </w:pPr>
      <w:r>
        <w:rPr>
          <w:b/>
          <w:bCs/>
          <w:sz w:val="26"/>
          <w:szCs w:val="26"/>
          <w:lang w:eastAsia="en-US"/>
        </w:rPr>
        <w:t xml:space="preserve"> </w:t>
      </w:r>
      <w:r>
        <w:rPr>
          <w:b/>
          <w:bCs/>
          <w:sz w:val="26"/>
          <w:szCs w:val="26"/>
          <w:lang w:eastAsia="en-US"/>
        </w:rPr>
        <w:t>«Применимое право»</w:t>
      </w:r>
      <w:r>
        <w:rPr>
          <w:bCs/>
          <w:sz w:val="26"/>
          <w:szCs w:val="26"/>
          <w:lang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widowControl w:val="false"/>
        <w:spacing w:lineRule="auto" w:line="240"/>
        <w:ind w:left="0" w:right="0" w:firstLine="709"/>
        <w:rPr>
          <w:b/>
          <w:bCs/>
          <w:sz w:val="26"/>
          <w:szCs w:val="26"/>
          <w:lang w:eastAsia="en-US"/>
        </w:rPr>
      </w:pPr>
      <w:r>
        <w:rPr>
          <w:b/>
          <w:sz w:val="26"/>
          <w:szCs w:val="26"/>
          <w:lang w:eastAsia="en-US"/>
        </w:rPr>
        <w:t xml:space="preserve"> </w:t>
      </w:r>
      <w:r>
        <w:rPr>
          <w:b/>
          <w:sz w:val="26"/>
          <w:szCs w:val="26"/>
          <w:lang w:eastAsia="en-US"/>
        </w:rPr>
        <w:t>«Рабочий день»</w:t>
      </w:r>
      <w:r>
        <w:rPr>
          <w:sz w:val="26"/>
          <w:szCs w:val="26"/>
          <w:lang w:eastAsia="en-US"/>
        </w:rPr>
        <w:t xml:space="preserve"> – день, который в соответствии с Применимым правом, является рабочим днем в Российской Федерации.</w:t>
      </w:r>
    </w:p>
    <w:p>
      <w:pPr>
        <w:pStyle w:val="Normal"/>
        <w:keepLines/>
        <w:widowControl w:val="false"/>
        <w:numPr>
          <w:ilvl w:val="0"/>
          <w:numId w:val="0"/>
        </w:numPr>
        <w:tabs>
          <w:tab w:val="clear" w:pos="708"/>
          <w:tab w:val="left" w:pos="0" w:leader="none"/>
        </w:tabs>
        <w:overflowPunct w:val="true"/>
        <w:spacing w:lineRule="auto" w:line="240"/>
        <w:ind w:left="0" w:right="0" w:firstLine="709"/>
        <w:textAlignment w:val="baseline"/>
        <w:outlineLvl w:val="2"/>
        <w:rPr>
          <w:b/>
          <w:sz w:val="26"/>
          <w:szCs w:val="26"/>
        </w:rPr>
      </w:pPr>
      <w:r>
        <w:rPr>
          <w:b/>
          <w:bCs/>
          <w:sz w:val="26"/>
          <w:szCs w:val="26"/>
          <w:lang w:eastAsia="en-US"/>
        </w:rPr>
        <w:t>«Цена Договора»</w:t>
      </w:r>
      <w:r>
        <w:rPr>
          <w:bCs/>
          <w:sz w:val="26"/>
          <w:szCs w:val="26"/>
          <w:lang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pPr>
        <w:pStyle w:val="Normal"/>
        <w:numPr>
          <w:ilvl w:val="0"/>
          <w:numId w:val="8"/>
        </w:numPr>
        <w:snapToGrid w:val="false"/>
        <w:spacing w:lineRule="auto" w:line="240"/>
        <w:ind w:left="927" w:right="0" w:hanging="360"/>
        <w:jc w:val="center"/>
        <w:rPr>
          <w:b/>
          <w:sz w:val="26"/>
          <w:szCs w:val="26"/>
        </w:rPr>
      </w:pPr>
      <w:r>
        <w:rPr>
          <w:b/>
          <w:sz w:val="26"/>
          <w:szCs w:val="26"/>
        </w:rPr>
        <w:t>ПРЕДМЕТ ДОГОВОРА</w:t>
      </w:r>
    </w:p>
    <w:p>
      <w:pPr>
        <w:pStyle w:val="Normal"/>
        <w:numPr>
          <w:ilvl w:val="0"/>
          <w:numId w:val="0"/>
        </w:numPr>
        <w:snapToGrid w:val="false"/>
        <w:spacing w:lineRule="auto" w:line="240"/>
        <w:ind w:left="927" w:right="0" w:hanging="0"/>
        <w:jc w:val="center"/>
        <w:rPr>
          <w:b/>
          <w:sz w:val="26"/>
          <w:szCs w:val="26"/>
        </w:rPr>
      </w:pPr>
      <w:r>
        <w:rPr>
          <w:b/>
          <w:sz w:val="26"/>
          <w:szCs w:val="26"/>
        </w:rPr>
      </w:r>
    </w:p>
    <w:p>
      <w:pPr>
        <w:pStyle w:val="BodyText"/>
        <w:spacing w:before="0" w:after="0"/>
        <w:ind w:left="0" w:right="0" w:firstLine="851"/>
        <w:jc w:val="both"/>
        <w:rPr>
          <w:b/>
          <w:sz w:val="26"/>
          <w:szCs w:val="26"/>
        </w:rPr>
      </w:pPr>
      <w:r>
        <w:rPr>
          <w:sz w:val="26"/>
          <w:szCs w:val="26"/>
        </w:rPr>
        <w:t xml:space="preserve">1.1. Поставщик  обязуется передать Покупателю  </w:t>
      </w:r>
      <w:r>
        <w:rPr>
          <w:b/>
          <w:bCs/>
          <w:sz w:val="26"/>
          <w:szCs w:val="26"/>
          <w:shd w:fill="auto" w:val="clear"/>
        </w:rPr>
        <w:t>мебель офисную и принадлежности к ней</w:t>
      </w:r>
      <w:r>
        <w:rPr>
          <w:sz w:val="26"/>
          <w:szCs w:val="26"/>
        </w:rPr>
        <w:t xml:space="preserve"> (далее – «Продукция»), на условиях Поставки, согласованных Сторонами в Договоре, согласно Спецификации (Приложение № 2 к настоящему Договору), а Покупатель обязуется принять и оплатить Продукцию в установленных Договором порядке, формах, размерах и сроках. </w:t>
      </w:r>
    </w:p>
    <w:p>
      <w:pPr>
        <w:pStyle w:val="BodyText"/>
        <w:spacing w:before="0" w:after="0"/>
        <w:ind w:left="0" w:right="0" w:firstLine="851"/>
        <w:jc w:val="both"/>
        <w:rPr>
          <w:b/>
          <w:sz w:val="26"/>
          <w:szCs w:val="26"/>
        </w:rPr>
      </w:pPr>
      <w:r>
        <w:rPr>
          <w:sz w:val="26"/>
          <w:szCs w:val="26"/>
        </w:rPr>
        <w:t>1.2. Поставка Товара по Договору осуществляется для нужд филиала ПАО «РусГидро» - «Зейская ГЭС».</w:t>
      </w:r>
    </w:p>
    <w:p>
      <w:pPr>
        <w:pStyle w:val="BodyText"/>
        <w:spacing w:before="0" w:after="0"/>
        <w:ind w:left="0" w:right="0" w:firstLine="851"/>
        <w:jc w:val="both"/>
        <w:rPr>
          <w:b/>
          <w:sz w:val="26"/>
          <w:szCs w:val="26"/>
        </w:rPr>
      </w:pPr>
      <w:r>
        <w:rPr>
          <w:sz w:val="26"/>
          <w:szCs w:val="26"/>
        </w:rPr>
        <w:t>1.</w:t>
      </w:r>
      <w:r>
        <w:rPr>
          <w:sz w:val="26"/>
          <w:szCs w:val="26"/>
          <w:lang w:val="en-US"/>
        </w:rPr>
        <w:t>3</w:t>
      </w:r>
      <w:r>
        <w:rPr>
          <w:sz w:val="26"/>
          <w:szCs w:val="26"/>
        </w:rPr>
        <w:t>.  Место поставки Продукции: 676244, Амурская область, г. Зея,                 ул. Магистральная, соор. 1, склад № 2 Филиала ПАО «РусГидро» - «Зейская ГЭС» (далее – Место поставки).</w:t>
      </w:r>
    </w:p>
    <w:p>
      <w:pPr>
        <w:pStyle w:val="Normal"/>
        <w:widowControl w:val="false"/>
        <w:shd w:val="clear" w:fill="FFFFFF"/>
        <w:tabs>
          <w:tab w:val="clear" w:pos="708"/>
          <w:tab w:val="left" w:pos="540" w:leader="none"/>
          <w:tab w:val="left" w:pos="720" w:leader="none"/>
          <w:tab w:val="left" w:pos="1000" w:leader="none"/>
          <w:tab w:val="left" w:pos="1134" w:leader="none"/>
        </w:tabs>
        <w:spacing w:lineRule="auto" w:line="240"/>
        <w:ind w:left="709" w:right="0" w:hanging="0"/>
        <w:rPr>
          <w:b/>
          <w:sz w:val="26"/>
          <w:szCs w:val="26"/>
        </w:rPr>
      </w:pPr>
      <w:r>
        <w:rPr>
          <w:bCs/>
          <w:sz w:val="26"/>
          <w:szCs w:val="26"/>
        </w:rPr>
        <w:t xml:space="preserve">1.4.  Срок поставки Товара: </w:t>
      </w:r>
      <w:r>
        <w:rPr>
          <w:bCs/>
          <w:sz w:val="26"/>
          <w:szCs w:val="26"/>
        </w:rPr>
        <w:t xml:space="preserve">с даты заключения Договора </w:t>
      </w:r>
      <w:r>
        <w:rPr>
          <w:bCs/>
          <w:sz w:val="26"/>
          <w:szCs w:val="26"/>
          <w:shd w:fill="auto" w:val="clear"/>
        </w:rPr>
        <w:t xml:space="preserve">до 30 </w:t>
      </w:r>
      <w:r>
        <w:rPr>
          <w:bCs/>
          <w:sz w:val="26"/>
          <w:szCs w:val="26"/>
          <w:shd w:fill="auto" w:val="clear"/>
        </w:rPr>
        <w:t>ноября</w:t>
      </w:r>
      <w:r>
        <w:rPr>
          <w:bCs/>
          <w:sz w:val="26"/>
          <w:szCs w:val="26"/>
          <w:shd w:fill="auto" w:val="clear"/>
        </w:rPr>
        <w:t xml:space="preserve"> 2026г.</w:t>
      </w:r>
    </w:p>
    <w:p>
      <w:pPr>
        <w:pStyle w:val="Normal"/>
        <w:widowControl w:val="false"/>
        <w:shd w:val="clear" w:fill="FFFFFF"/>
        <w:tabs>
          <w:tab w:val="clear" w:pos="708"/>
          <w:tab w:val="left" w:pos="540" w:leader="none"/>
          <w:tab w:val="left" w:pos="720" w:leader="none"/>
          <w:tab w:val="left" w:pos="1000" w:leader="none"/>
          <w:tab w:val="left" w:pos="1134" w:leader="none"/>
        </w:tabs>
        <w:spacing w:lineRule="auto" w:line="240"/>
        <w:ind w:left="709" w:right="0" w:hanging="0"/>
        <w:rPr>
          <w:b/>
          <w:sz w:val="26"/>
          <w:szCs w:val="26"/>
        </w:rPr>
      </w:pPr>
      <w:r>
        <w:rPr>
          <w:b/>
          <w:sz w:val="26"/>
          <w:szCs w:val="26"/>
        </w:rPr>
      </w:r>
    </w:p>
    <w:p>
      <w:pPr>
        <w:pStyle w:val="BodyText"/>
        <w:spacing w:before="0" w:after="0"/>
        <w:ind w:left="0" w:right="0" w:firstLine="851"/>
        <w:jc w:val="center"/>
        <w:rPr>
          <w:b/>
          <w:sz w:val="26"/>
          <w:szCs w:val="26"/>
        </w:rPr>
      </w:pPr>
      <w:r>
        <w:rPr>
          <w:b/>
          <w:sz w:val="26"/>
          <w:szCs w:val="26"/>
        </w:rPr>
        <w:t>2. ЦЕНА ДОГОВОРА И ПОРЯДОК РАСЧЕТОВ</w:t>
      </w:r>
    </w:p>
    <w:p>
      <w:pPr>
        <w:pStyle w:val="BodyText"/>
        <w:spacing w:before="0" w:after="0"/>
        <w:ind w:left="0" w:right="0" w:firstLine="851"/>
        <w:jc w:val="center"/>
        <w:rPr>
          <w:b/>
          <w:sz w:val="26"/>
          <w:szCs w:val="26"/>
        </w:rPr>
      </w:pPr>
      <w:r>
        <w:rPr>
          <w:b/>
          <w:sz w:val="26"/>
          <w:szCs w:val="26"/>
        </w:rPr>
      </w:r>
    </w:p>
    <w:p>
      <w:pPr>
        <w:pStyle w:val="Normal"/>
        <w:widowControl w:val="false"/>
        <w:tabs>
          <w:tab w:val="clear" w:pos="708"/>
          <w:tab w:val="left" w:pos="720" w:leader="none"/>
          <w:tab w:val="left" w:pos="1134" w:leader="none"/>
        </w:tabs>
        <w:spacing w:lineRule="auto" w:line="240"/>
        <w:ind w:left="0" w:right="0" w:firstLine="709"/>
        <w:rPr>
          <w:b/>
          <w:sz w:val="26"/>
          <w:szCs w:val="26"/>
        </w:rPr>
      </w:pPr>
      <w:r>
        <w:rPr>
          <w:sz w:val="26"/>
          <w:szCs w:val="26"/>
        </w:rPr>
        <w:t xml:space="preserve">2.1. Цена Договора в соответствии со Спецификацией (Приложение № 2 к Договору) </w:t>
      </w:r>
      <w:r>
        <w:rPr>
          <w:bCs/>
          <w:sz w:val="26"/>
          <w:szCs w:val="26"/>
        </w:rPr>
        <w:t xml:space="preserve">является твердой и </w:t>
      </w:r>
      <w:r>
        <w:rPr>
          <w:bCs/>
          <w:color w:val="000000"/>
          <w:sz w:val="26"/>
          <w:szCs w:val="26"/>
        </w:rPr>
        <w:t xml:space="preserve">составляет </w:t>
      </w:r>
      <w:r>
        <w:rPr>
          <w:bCs/>
          <w:color w:val="000000"/>
          <w:sz w:val="26"/>
          <w:szCs w:val="26"/>
        </w:rPr>
        <w:t>___________</w:t>
      </w:r>
      <w:r>
        <w:rPr>
          <w:b/>
          <w:bCs/>
          <w:color w:val="000000"/>
          <w:sz w:val="24"/>
          <w:szCs w:val="24"/>
          <w:shd w:fill="auto" w:val="clear"/>
        </w:rPr>
        <w:t xml:space="preserve"> </w:t>
      </w:r>
      <w:r>
        <w:rPr>
          <w:bCs/>
          <w:color w:val="000000"/>
          <w:sz w:val="24"/>
          <w:szCs w:val="24"/>
          <w:shd w:fill="auto" w:val="clear"/>
        </w:rPr>
        <w:t xml:space="preserve"> </w:t>
      </w:r>
      <w:r>
        <w:rPr>
          <w:b/>
          <w:bCs/>
          <w:color w:val="000000"/>
          <w:sz w:val="24"/>
          <w:szCs w:val="24"/>
          <w:shd w:fill="auto" w:val="clear"/>
        </w:rPr>
        <w:t>(</w:t>
      </w:r>
      <w:r>
        <w:rPr>
          <w:b/>
          <w:bCs/>
          <w:color w:val="000000"/>
          <w:sz w:val="24"/>
          <w:szCs w:val="24"/>
          <w:shd w:fill="auto" w:val="clear"/>
        </w:rPr>
        <w:t>________________</w:t>
      </w:r>
      <w:r>
        <w:rPr>
          <w:b/>
          <w:bCs/>
          <w:color w:val="000000"/>
          <w:sz w:val="24"/>
          <w:szCs w:val="24"/>
          <w:shd w:fill="auto" w:val="clear"/>
        </w:rPr>
        <w:t xml:space="preserve">) рублей </w:t>
      </w:r>
      <w:r>
        <w:rPr>
          <w:b/>
          <w:bCs/>
          <w:color w:val="000000"/>
          <w:sz w:val="24"/>
          <w:szCs w:val="24"/>
          <w:shd w:fill="auto" w:val="clear"/>
        </w:rPr>
        <w:t>_____</w:t>
      </w:r>
      <w:r>
        <w:rPr>
          <w:b/>
          <w:bCs/>
          <w:color w:val="000000"/>
          <w:sz w:val="24"/>
          <w:szCs w:val="24"/>
          <w:shd w:fill="auto" w:val="clear"/>
        </w:rPr>
        <w:t>копеек</w:t>
      </w:r>
      <w:r>
        <w:rPr>
          <w:bCs/>
          <w:color w:val="000000"/>
          <w:sz w:val="24"/>
          <w:szCs w:val="24"/>
          <w:shd w:fill="auto" w:val="clear"/>
        </w:rPr>
        <w:t xml:space="preserve"> без учета НДС, при этом НДС исчисляется дополнительно по ставке, установленной ст. 164 Налогового Кодекса РФ. </w:t>
      </w:r>
    </w:p>
    <w:p>
      <w:pPr>
        <w:pStyle w:val="Normal"/>
        <w:widowControl w:val="false"/>
        <w:shd w:val="clear" w:fill="FFFFFF"/>
        <w:tabs>
          <w:tab w:val="clear" w:pos="708"/>
          <w:tab w:val="left" w:pos="1134" w:leader="none"/>
        </w:tabs>
        <w:spacing w:lineRule="auto" w:line="240"/>
        <w:ind w:left="0" w:right="0" w:firstLine="709"/>
        <w:rPr>
          <w:b/>
          <w:sz w:val="26"/>
          <w:szCs w:val="26"/>
        </w:rPr>
      </w:pPr>
      <w:r>
        <w:rPr>
          <w:bCs/>
          <w:sz w:val="26"/>
          <w:szCs w:val="26"/>
        </w:rPr>
        <w:t xml:space="preserve">2.2. Цена Договора включает в себя прибыль Поставщика, а также все расходы и затраты Поставщика на: </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2.2.1.  Производство и / или приобретение Товара;</w:t>
      </w:r>
    </w:p>
    <w:p>
      <w:pPr>
        <w:pStyle w:val="Style20"/>
        <w:shd w:val="clear" w:fill="FFFFFF"/>
        <w:tabs>
          <w:tab w:val="clear" w:pos="708"/>
          <w:tab w:val="left" w:pos="1418" w:leader="none"/>
        </w:tabs>
        <w:ind w:left="0" w:right="0" w:firstLine="709"/>
        <w:jc w:val="both"/>
        <w:rPr>
          <w:b/>
          <w:sz w:val="26"/>
          <w:szCs w:val="26"/>
        </w:rPr>
      </w:pPr>
      <w:r>
        <w:rPr>
          <w:bCs/>
          <w:sz w:val="26"/>
          <w:szCs w:val="26"/>
        </w:rPr>
        <w:t xml:space="preserve">2.2.2. 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2.2.3. Подлежащие уплате налоги, сборы и пошлины (в том числе по таможенному оформлению Товара, если применимо);</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 xml:space="preserve">2.2.4. Заработную плату, накладные и командировочные расходы, перемещение и размещение персонала Поставщика; </w:t>
      </w:r>
    </w:p>
    <w:p>
      <w:pPr>
        <w:pStyle w:val="Normal"/>
        <w:widowControl w:val="false"/>
        <w:shd w:val="clear" w:fill="FFFFFF"/>
        <w:tabs>
          <w:tab w:val="clear" w:pos="708"/>
          <w:tab w:val="left" w:pos="1418" w:leader="none"/>
        </w:tabs>
        <w:spacing w:lineRule="auto" w:line="240"/>
        <w:ind w:left="0" w:right="0" w:firstLine="709"/>
        <w:rPr>
          <w:b/>
          <w:sz w:val="26"/>
          <w:szCs w:val="26"/>
        </w:rPr>
      </w:pPr>
      <w:r>
        <w:rPr>
          <w:bCs/>
          <w:sz w:val="26"/>
          <w:szCs w:val="26"/>
        </w:rPr>
        <w:t xml:space="preserve">2.2.5. 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widowControl w:val="false"/>
        <w:shd w:val="clear" w:fill="FFFFFF"/>
        <w:tabs>
          <w:tab w:val="clear" w:pos="708"/>
          <w:tab w:val="left" w:pos="720" w:leader="none"/>
          <w:tab w:val="left" w:pos="1134" w:leader="none"/>
        </w:tabs>
        <w:spacing w:lineRule="auto" w:line="240"/>
        <w:ind w:left="0" w:right="0" w:firstLine="709"/>
        <w:rPr>
          <w:b/>
          <w:sz w:val="26"/>
          <w:szCs w:val="26"/>
        </w:rPr>
      </w:pPr>
      <w:r>
        <w:rPr>
          <w:sz w:val="26"/>
          <w:szCs w:val="26"/>
        </w:rPr>
        <w:t>2.3. 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widowControl w:val="false"/>
        <w:shd w:val="clear" w:fill="FFFFFF"/>
        <w:tabs>
          <w:tab w:val="clear" w:pos="708"/>
          <w:tab w:val="left" w:pos="720" w:leader="none"/>
          <w:tab w:val="left" w:pos="1134" w:leader="none"/>
        </w:tabs>
        <w:spacing w:lineRule="auto" w:line="240"/>
        <w:ind w:left="0" w:right="0" w:firstLine="709"/>
        <w:rPr>
          <w:b/>
          <w:sz w:val="26"/>
          <w:szCs w:val="26"/>
        </w:rPr>
      </w:pPr>
      <w:r>
        <w:rPr>
          <w:sz w:val="26"/>
          <w:szCs w:val="26"/>
        </w:rPr>
        <w:t xml:space="preserve">2.4. Оплата по Договору осуществляется Покупателем в следующем порядке:  </w:t>
      </w:r>
    </w:p>
    <w:p>
      <w:pPr>
        <w:pStyle w:val="Normal"/>
        <w:widowControl w:val="false"/>
        <w:shd w:val="clear" w:fill="FFFFFF"/>
        <w:spacing w:lineRule="auto" w:line="240"/>
        <w:ind w:left="0" w:right="0" w:firstLine="709"/>
        <w:rPr>
          <w:b/>
          <w:sz w:val="26"/>
          <w:szCs w:val="26"/>
        </w:rPr>
      </w:pPr>
      <w:r>
        <w:rPr>
          <w:sz w:val="26"/>
          <w:szCs w:val="26"/>
        </w:rPr>
        <w:t>2.4.1.</w:t>
        <w:tab/>
        <w:t xml:space="preserve">Авансовый платеж за Товар в размере 30% (тридцати процентов) от стоимости Товара без учёта НДС, кроме того НДС по ставке, установленной статьёй 164 НК РФ на дату выплаты авансового платежа, выплачивается Поставщику </w:t>
      </w:r>
      <w:r>
        <w:rPr>
          <w:bCs/>
          <w:sz w:val="24"/>
          <w:szCs w:val="26"/>
        </w:rPr>
        <w:t>в течение 10 (десяти) рабочих дней</w:t>
      </w:r>
      <w:r>
        <w:rPr>
          <w:sz w:val="26"/>
          <w:szCs w:val="26"/>
        </w:rPr>
        <w:t xml:space="preserve"> с даты получения Покупателем счета, выставленного Поставщиком, и с учетом пункта 2.4.3 Договора.</w:t>
      </w:r>
    </w:p>
    <w:p>
      <w:pPr>
        <w:pStyle w:val="Normal"/>
        <w:widowControl w:val="false"/>
        <w:shd w:val="clear" w:fill="FFFFFF"/>
        <w:spacing w:lineRule="auto" w:line="240"/>
        <w:ind w:left="0" w:right="0" w:firstLine="709"/>
        <w:rPr>
          <w:b/>
          <w:sz w:val="26"/>
          <w:szCs w:val="26"/>
        </w:rPr>
      </w:pPr>
      <w:r>
        <w:rPr>
          <w:sz w:val="26"/>
          <w:szCs w:val="26"/>
        </w:rPr>
        <w:t>2.4.2.</w:t>
      </w:r>
      <w:r>
        <w:rPr/>
        <w:t xml:space="preserve"> </w:t>
      </w:r>
      <w:r>
        <w:rPr>
          <w:sz w:val="26"/>
          <w:szCs w:val="26"/>
        </w:rPr>
        <w:tab/>
        <w:t>Окончательный платеж в размере 70 (семидесяти процентов) от стоимости Товара без учета НДС, кроме того НДС по ставке, установленной статьей 164 НК РФ на дату подписания Сторонами УПД,  выплачиваются Поставщику в течение 7 (семи) рабочих дней с даты подписания Сторонами УПД, на основании счета, выставленного Поставщиком, и с учетом пункта 2.4.3. Договора.</w:t>
      </w:r>
    </w:p>
    <w:p>
      <w:pPr>
        <w:pStyle w:val="Normal"/>
        <w:widowControl w:val="false"/>
        <w:shd w:val="clear" w:fill="FFFFFF"/>
        <w:spacing w:lineRule="auto" w:line="240"/>
        <w:ind w:left="0" w:right="0" w:firstLine="709"/>
        <w:rPr>
          <w:b/>
          <w:sz w:val="26"/>
          <w:szCs w:val="26"/>
        </w:rPr>
      </w:pPr>
      <w:r>
        <w:rPr>
          <w:sz w:val="26"/>
          <w:szCs w:val="26"/>
        </w:rPr>
        <w:t>2.4.</w:t>
      </w:r>
      <w:r>
        <w:rPr>
          <w:sz w:val="26"/>
          <w:szCs w:val="26"/>
          <w:lang w:val="en-US"/>
        </w:rPr>
        <w:t>3</w:t>
      </w:r>
      <w:r>
        <w:rPr>
          <w:sz w:val="26"/>
          <w:szCs w:val="26"/>
        </w:rPr>
        <w:t>. 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Style20"/>
        <w:widowControl/>
        <w:shd w:val="clear" w:fill="FFFFFF"/>
        <w:tabs>
          <w:tab w:val="clear" w:pos="708"/>
          <w:tab w:val="left" w:pos="720" w:leader="none"/>
          <w:tab w:val="left" w:pos="1134" w:leader="none"/>
        </w:tabs>
        <w:ind w:left="0" w:right="0" w:firstLine="709"/>
        <w:jc w:val="both"/>
        <w:rPr>
          <w:b/>
          <w:sz w:val="26"/>
          <w:szCs w:val="26"/>
        </w:rPr>
      </w:pPr>
      <w:r>
        <w:rPr>
          <w:bCs/>
          <w:sz w:val="26"/>
          <w:szCs w:val="26"/>
        </w:rPr>
        <w:t>2.5. 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2.6. Индексация Цены Договора не допускается.</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2.7.</w:t>
        <w:tab/>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Покупатель направляет Поставщику уведомление о проведении сальдо взаимных обязательств Сторон по Договору.</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sz w:val="26"/>
          <w:szCs w:val="26"/>
        </w:rPr>
        <w:t>2.8. 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Normal"/>
        <w:widowControl w:val="false"/>
        <w:shd w:val="clear" w:fill="FFFFFF"/>
        <w:tabs>
          <w:tab w:val="clear" w:pos="708"/>
          <w:tab w:val="left" w:pos="567" w:leader="none"/>
          <w:tab w:val="left" w:pos="720" w:leader="none"/>
          <w:tab w:val="left" w:pos="1134" w:leader="none"/>
        </w:tabs>
        <w:spacing w:lineRule="auto" w:line="240"/>
        <w:ind w:left="0" w:right="0" w:firstLine="709"/>
        <w:rPr>
          <w:b/>
          <w:sz w:val="26"/>
          <w:szCs w:val="26"/>
        </w:rPr>
      </w:pPr>
      <w:r>
        <w:rPr>
          <w:b/>
          <w:sz w:val="26"/>
          <w:szCs w:val="26"/>
        </w:rPr>
      </w:r>
    </w:p>
    <w:p>
      <w:pPr>
        <w:pStyle w:val="Normal"/>
        <w:spacing w:lineRule="auto" w:line="240"/>
        <w:jc w:val="center"/>
        <w:rPr>
          <w:b/>
          <w:sz w:val="26"/>
          <w:szCs w:val="26"/>
        </w:rPr>
      </w:pPr>
      <w:r>
        <w:rPr>
          <w:b/>
          <w:sz w:val="26"/>
          <w:szCs w:val="26"/>
        </w:rPr>
        <w:t>3. ПОРЯДОК ПОСТАВКИ И ПРИЕМКИ ТОВАРА</w:t>
      </w:r>
    </w:p>
    <w:p>
      <w:pPr>
        <w:pStyle w:val="Normal"/>
        <w:spacing w:lineRule="auto" w:line="240"/>
        <w:jc w:val="center"/>
        <w:rPr>
          <w:b/>
          <w:sz w:val="26"/>
          <w:szCs w:val="26"/>
        </w:rPr>
      </w:pPr>
      <w:r>
        <w:rPr>
          <w:b/>
          <w:sz w:val="26"/>
          <w:szCs w:val="26"/>
        </w:rPr>
      </w:r>
    </w:p>
    <w:p>
      <w:pPr>
        <w:pStyle w:val="Normal"/>
        <w:spacing w:lineRule="auto" w:line="240"/>
        <w:ind w:left="0" w:right="0" w:firstLine="709"/>
        <w:rPr>
          <w:b/>
          <w:sz w:val="26"/>
          <w:szCs w:val="26"/>
        </w:rPr>
      </w:pPr>
      <w:r>
        <w:rPr>
          <w:sz w:val="26"/>
          <w:szCs w:val="26"/>
        </w:rPr>
        <w:t>3.1. Поставка Товара осуществляется в Место поставки, указанное в пункте 1.3. Договора.</w:t>
      </w:r>
    </w:p>
    <w:p>
      <w:pPr>
        <w:pStyle w:val="Normal"/>
        <w:spacing w:lineRule="auto" w:line="240"/>
        <w:ind w:left="0" w:right="0" w:firstLine="709"/>
        <w:rPr>
          <w:b/>
          <w:sz w:val="26"/>
          <w:szCs w:val="26"/>
        </w:rPr>
      </w:pPr>
      <w:r>
        <w:rPr>
          <w:sz w:val="26"/>
          <w:szCs w:val="26"/>
        </w:rPr>
        <w:t>3.2. Качество, комплектность, количество и ассортимент поставляемого по Договору Товара должны соответствовать требованиям Договора и Покупателя, а также Применимого права.</w:t>
      </w:r>
    </w:p>
    <w:p>
      <w:pPr>
        <w:pStyle w:val="Normal"/>
        <w:spacing w:lineRule="auto" w:line="240"/>
        <w:ind w:left="0" w:right="0" w:firstLine="709"/>
        <w:rPr>
          <w:b/>
          <w:sz w:val="26"/>
          <w:szCs w:val="26"/>
        </w:rPr>
      </w:pPr>
      <w:r>
        <w:rPr>
          <w:sz w:val="26"/>
          <w:szCs w:val="26"/>
        </w:rPr>
        <w:t>3.3. 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3.4. Одновременно с передачей Товара Поставщик обязан передать Покупателю оригиналы следующих относящихся к нему документов:</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товарно-транспортную накладную формы №1-Т (для учета товарно-материальных ценностей и расчетов за их перевозки) или железнодорожная накладная (форма № ГУ-27) в 1 (один)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w:t>
      </w:r>
      <w:r>
        <w:rPr>
          <w:sz w:val="26"/>
          <w:szCs w:val="26"/>
        </w:rPr>
        <w:t xml:space="preserve"> УПД</w:t>
      </w:r>
      <w:r>
        <w:rPr>
          <w:color w:val="000000"/>
          <w:sz w:val="26"/>
          <w:szCs w:val="26"/>
        </w:rPr>
        <w:t xml:space="preserve"> в 2 (двух)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акт приема - передачи продукции в 2 (двух)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счета на оплату окончательных платежей в 1 (один) экз.</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3.5.</w:t>
        <w:tab/>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Оригинал доверенности представителя Поставщика подлежит передаче Покупателю.</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3.6.</w:t>
        <w:tab/>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3.7.</w:t>
        <w:tab/>
        <w:t xml:space="preserve">Товар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Отдельные требования к упаковке и маркировке негабаритного Товара, а также любые другие специальные требования, помимо установленных в настоящем пункте Договора, указываются Сторонами в Спецификации (Приложение № 2 к Договору).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Стоимость тары и упаковки включена в стоимость Товара. Тара и упаковка возврату не подлежат.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3.8.</w:t>
        <w:tab/>
        <w:t>Погрузка, доставка, разгрузка Товара осуществляется Поставщиком. Стоимость погрузки, доставки, разгрузки Товара включена в стоимость Товара.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3.9.</w:t>
        <w:tab/>
        <w:t xml:space="preserve">Датой поставки партии Товара является дата подписания Сторонами УПД.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3.10.</w:t>
        <w:tab/>
        <w:t xml:space="preserve"> 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3.11. 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15 (пятнадцати) календарных дней с даты выявления указанных нарушений представить Покупателю необходимые принадлежности и / или документы, а также восполнить недопоставку партии Товара в срок, письменно согласованный с Покупателем.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Устранение допущенных нарушений не освобождает Поставщика от ответственности за убытки, причиненные Покупателю нарушением условий поставки.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3.12.</w:t>
        <w:tab/>
        <w:t xml:space="preserve"> Приемка Товара со вскрытием тары и упаковки производится Покупателем в присутствии представителя Поставщика в течение 15 (пятнадцати) рабочих дней с даты подписания Покупателем транспортных документов. В случае отсутствия замечаний Покупатель подписывает УПД.</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3.13. 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Товара.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3.14.</w:t>
        <w:tab/>
        <w:t xml:space="preserve"> 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3.11, 3.13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партии Товара, от которой отказался Покупатель, возвратить ее стоимость, а также возместить убытки, причиненные Покупателю ненадлежащим исполнением Договора, в том числе расходы на хранение Товара.</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 xml:space="preserve">3.15. 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 </w:t>
      </w:r>
    </w:p>
    <w:p>
      <w:pPr>
        <w:pStyle w:val="Normal"/>
        <w:widowControl w:val="false"/>
        <w:shd w:val="clear" w:fill="FFFFFF"/>
        <w:tabs>
          <w:tab w:val="clear" w:pos="708"/>
          <w:tab w:val="left" w:pos="720" w:leader="none"/>
        </w:tabs>
        <w:spacing w:lineRule="auto" w:line="240"/>
        <w:ind w:left="0" w:right="0" w:firstLine="709"/>
        <w:rPr>
          <w:b/>
          <w:sz w:val="26"/>
          <w:szCs w:val="26"/>
        </w:rPr>
      </w:pPr>
      <w:r>
        <w:rPr>
          <w:color w:val="000000"/>
          <w:sz w:val="26"/>
          <w:szCs w:val="26"/>
        </w:rPr>
        <w:t>3.16.</w:t>
        <w:tab/>
        <w:t xml:space="preserve"> 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УПД.</w:t>
      </w:r>
    </w:p>
    <w:p>
      <w:pPr>
        <w:pStyle w:val="Normal"/>
        <w:widowControl w:val="false"/>
        <w:shd w:val="clear" w:fill="FFFFFF"/>
        <w:tabs>
          <w:tab w:val="clear" w:pos="708"/>
          <w:tab w:val="left" w:pos="720" w:leader="none"/>
        </w:tabs>
        <w:spacing w:lineRule="auto" w:line="240"/>
        <w:ind w:left="0" w:right="0" w:firstLine="709"/>
        <w:rPr>
          <w:b/>
          <w:sz w:val="26"/>
          <w:szCs w:val="26"/>
        </w:rPr>
      </w:pPr>
      <w:r>
        <w:rPr>
          <w:b/>
          <w:sz w:val="26"/>
          <w:szCs w:val="26"/>
        </w:rPr>
      </w:r>
    </w:p>
    <w:p>
      <w:pPr>
        <w:pStyle w:val="Normal"/>
        <w:widowControl w:val="false"/>
        <w:shd w:val="clear" w:fill="FFFFFF"/>
        <w:tabs>
          <w:tab w:val="clear" w:pos="708"/>
          <w:tab w:val="left" w:pos="720" w:leader="none"/>
        </w:tabs>
        <w:spacing w:lineRule="auto" w:line="240"/>
        <w:ind w:left="0" w:right="0" w:firstLine="709"/>
        <w:jc w:val="center"/>
        <w:rPr>
          <w:b/>
          <w:sz w:val="26"/>
          <w:szCs w:val="26"/>
        </w:rPr>
      </w:pPr>
      <w:r>
        <w:rPr>
          <w:b/>
          <w:caps/>
          <w:sz w:val="26"/>
          <w:szCs w:val="26"/>
        </w:rPr>
        <w:t>4.ГАРАНТИЙНЫЙ СРОК</w:t>
      </w:r>
    </w:p>
    <w:p>
      <w:pPr>
        <w:pStyle w:val="Normal"/>
        <w:widowControl w:val="false"/>
        <w:shd w:val="clear" w:fill="FFFFFF"/>
        <w:tabs>
          <w:tab w:val="clear" w:pos="708"/>
          <w:tab w:val="left" w:pos="720" w:leader="none"/>
        </w:tabs>
        <w:spacing w:lineRule="auto" w:line="240"/>
        <w:ind w:left="0" w:right="0" w:firstLine="709"/>
        <w:jc w:val="center"/>
        <w:rPr>
          <w:b/>
          <w:sz w:val="26"/>
          <w:szCs w:val="26"/>
        </w:rPr>
      </w:pPr>
      <w:r>
        <w:rPr>
          <w:b/>
          <w:sz w:val="26"/>
          <w:szCs w:val="26"/>
        </w:rPr>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4.1.</w:t>
        <w:tab/>
        <w:t xml:space="preserve">Гарантийный срок на Товар, поставленный по Договору, составляет 12 (двенадцать) месяцев и начинает течь с даты подписания Сторонами УПД. Гарантийный срок может быть продлен в соответствии с условиями Договора.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Установленный в отношении Товара гарантийный срок распространяется на все составные части и комплектующие Товара.</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4.2.</w:t>
        <w:tab/>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к Товару, и Применимого права, возможность эксплуатации (использования)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4.3.</w:t>
        <w:tab/>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4.4.</w:t>
        <w:tab/>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Покупателем в соответствии с пунктом 4.3 Договора, путем замены или ремонта Товара.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4.5.</w:t>
        <w:tab/>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4.6.</w:t>
        <w:tab/>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pPr>
        <w:pStyle w:val="Normal"/>
        <w:widowControl w:val="false"/>
        <w:shd w:val="clear" w:fill="FFFFFF"/>
        <w:tabs>
          <w:tab w:val="clear" w:pos="708"/>
          <w:tab w:val="left" w:pos="993" w:leader="none"/>
        </w:tabs>
        <w:spacing w:lineRule="auto" w:line="240"/>
        <w:ind w:left="0" w:right="0" w:firstLine="709"/>
        <w:rPr>
          <w:b/>
          <w:sz w:val="26"/>
          <w:szCs w:val="26"/>
        </w:rPr>
      </w:pPr>
      <w:r>
        <w:rPr>
          <w:sz w:val="26"/>
          <w:szCs w:val="26"/>
        </w:rPr>
        <w:t>4.7.</w:t>
        <w:tab/>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widowControl w:val="false"/>
        <w:shd w:val="clear" w:fill="FFFFFF"/>
        <w:tabs>
          <w:tab w:val="clear" w:pos="708"/>
          <w:tab w:val="left" w:pos="993" w:leader="none"/>
        </w:tabs>
        <w:spacing w:lineRule="auto" w:line="240"/>
        <w:ind w:left="0" w:right="0" w:firstLine="709"/>
        <w:jc w:val="center"/>
        <w:rPr>
          <w:b/>
          <w:sz w:val="26"/>
          <w:szCs w:val="26"/>
        </w:rPr>
      </w:pPr>
      <w:r>
        <w:rPr>
          <w:b/>
          <w:caps/>
          <w:sz w:val="26"/>
          <w:szCs w:val="26"/>
        </w:rPr>
        <w:t>5. ответственность СТОРОН</w:t>
      </w:r>
    </w:p>
    <w:p>
      <w:pPr>
        <w:pStyle w:val="Normal"/>
        <w:widowControl w:val="false"/>
        <w:shd w:val="clear" w:fill="FFFFFF"/>
        <w:tabs>
          <w:tab w:val="clear" w:pos="708"/>
          <w:tab w:val="left" w:pos="993" w:leader="none"/>
        </w:tabs>
        <w:spacing w:lineRule="auto" w:line="240"/>
        <w:ind w:left="0" w:right="0" w:firstLine="709"/>
        <w:jc w:val="center"/>
        <w:rPr>
          <w:b/>
          <w:sz w:val="26"/>
          <w:szCs w:val="26"/>
        </w:rPr>
      </w:pPr>
      <w:r>
        <w:rPr>
          <w:b/>
          <w:sz w:val="26"/>
          <w:szCs w:val="26"/>
        </w:rPr>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освобождают Стороны от ответственности, установленной законодательством Российской Федерации и должны рассматриваться как дополнительные, если в Договоре прямо не предусмотрено иное.</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5.2. 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5.3. В случае нарушения Покупателем сроков оплаты поставленного товара, установленных разделом 2 Договора, Поставщик вправе требовать уплаты Покупателем исключительной неустойки в размере 0,1 % (ноль целых и одна десятая процента) от несвоевременно оплаченной суммы за каждый день просрочки.</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5.4. Ответственность Покупателя за причиненные Поставщику убытки  ограничивается реальным ущербом, но не более Цены договора.</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5.5. В случае нарушения Поставщиком обязательств по поставке Товара в срок, установленный пунктом 1.4. Договора, Покупатель вправе требовать уплаты Поставщиком штрафной неустойки в размере 0,1 (ноль целых и одна десятая)% от Цены Договора за каждый день просрочки.</w:t>
      </w:r>
    </w:p>
    <w:p>
      <w:pPr>
        <w:pStyle w:val="Normal"/>
        <w:widowControl w:val="false"/>
        <w:shd w:val="clear" w:fill="FFFFFF"/>
        <w:spacing w:lineRule="auto" w:line="240"/>
        <w:ind w:left="0" w:right="0" w:firstLine="709"/>
        <w:rPr>
          <w:b/>
          <w:sz w:val="26"/>
          <w:szCs w:val="26"/>
        </w:rPr>
      </w:pPr>
      <w:r>
        <w:rPr>
          <w:color w:val="000000"/>
          <w:sz w:val="26"/>
          <w:szCs w:val="26"/>
        </w:rPr>
        <w:t>5.6. В случае несвоевременного устранения Поставщиком выявленных недостатков товара, Покупатель вправе уплаты Поставщиком:</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5.6.1. неустойки в размере 0,1 (ноль целых и одна десятая)% от Цены Договора за каждый день просрочки в случае несвоевременного устранения недостатков, влияющих на возможность эксплуатации (использования) Товара в целом.</w:t>
      </w:r>
    </w:p>
    <w:p>
      <w:pPr>
        <w:pStyle w:val="Normal"/>
        <w:widowControl w:val="false"/>
        <w:shd w:val="clear" w:fill="FFFFFF"/>
        <w:tabs>
          <w:tab w:val="clear" w:pos="708"/>
          <w:tab w:val="left" w:pos="709" w:leader="none"/>
        </w:tabs>
        <w:bidi w:val="0"/>
        <w:spacing w:lineRule="auto" w:line="240"/>
        <w:ind w:left="0" w:right="0" w:hanging="0"/>
        <w:jc w:val="both"/>
        <w:rPr>
          <w:b/>
          <w:sz w:val="26"/>
          <w:szCs w:val="26"/>
        </w:rPr>
      </w:pPr>
      <w:r>
        <w:rPr>
          <w:color w:val="000000"/>
          <w:sz w:val="26"/>
          <w:szCs w:val="26"/>
        </w:rPr>
        <w:tab/>
        <w:t>5.6.2. неустойки в размере 0,1 (ноль целых и одна десятая) %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Normal"/>
        <w:widowControl w:val="false"/>
        <w:shd w:val="clear" w:fill="FFFFFF"/>
        <w:tabs>
          <w:tab w:val="clear" w:pos="708"/>
          <w:tab w:val="left" w:pos="709" w:leader="none"/>
        </w:tabs>
        <w:spacing w:lineRule="auto" w:line="240"/>
        <w:ind w:left="0" w:right="0" w:firstLine="709"/>
        <w:rPr>
          <w:b/>
          <w:sz w:val="26"/>
          <w:szCs w:val="26"/>
        </w:rPr>
      </w:pPr>
      <w:r>
        <w:rPr>
          <w:color w:val="000000"/>
          <w:sz w:val="26"/>
          <w:szCs w:val="26"/>
        </w:rPr>
        <w:t>5.7.  На сумму подлежащего возврату аванса начисляется неустойка в размере 0,1 (ноль целых и одной десятой) процента с даты, установленной для возврата аванса.</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5.8. 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5.9. </w:t>
      </w:r>
      <w:r>
        <w:rPr>
          <w:bCs/>
          <w:sz w:val="26"/>
          <w:szCs w:val="26"/>
        </w:rPr>
        <w:t>Предусмотренная Договором неустойка за неисполнение (ненадлежащее исполнение) Поставщиком обязательств является штрафной. Убытки подлежат возмещению в полной сумме сверх неустойки</w:t>
      </w:r>
      <w:r>
        <w:rPr>
          <w:color w:val="000000"/>
          <w:sz w:val="26"/>
          <w:szCs w:val="26"/>
        </w:rPr>
        <w:t>.</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5.10. 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5.11.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5.12.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5.11. Определение суммы неустойки, подлежащей уплате, возможно в досудебном порядке при признании суммы неустойки Стороной, нарушившей обязательства 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в письменном требовании, сумма неустойки, подлежащая уплате виновной Стороной, определяется на основании решения суда.   </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  </w:t>
      </w:r>
      <w:r>
        <w:rPr>
          <w:color w:val="000000"/>
          <w:sz w:val="26"/>
          <w:szCs w:val="26"/>
        </w:rPr>
        <w:t>5.12.</w:t>
        <w:tab/>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5.13.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В случае нарушения Поставщиком сроков предоставления счетов-фактур,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5.14. </w:t>
      </w:r>
      <w:r>
        <w:rPr>
          <w:bCs/>
          <w:color w:val="000000"/>
          <w:sz w:val="26"/>
          <w:szCs w:val="26"/>
        </w:rPr>
        <w:t>Поставщик несет ответственность перед Покупателем за причиненный ущерб в размере фактически понесенных и документально подтвержденных расходов, возникших 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Normal"/>
        <w:widowControl w:val="false"/>
        <w:shd w:val="clear" w:fill="FFFFFF"/>
        <w:tabs>
          <w:tab w:val="clear" w:pos="708"/>
          <w:tab w:val="left" w:pos="993" w:leader="none"/>
        </w:tabs>
        <w:spacing w:lineRule="auto" w:line="240"/>
        <w:ind w:left="0" w:right="0" w:firstLine="709"/>
        <w:rPr>
          <w:b/>
          <w:sz w:val="26"/>
          <w:szCs w:val="26"/>
        </w:rPr>
      </w:pPr>
      <w:r>
        <w:rPr>
          <w:color w:val="000000"/>
          <w:sz w:val="26"/>
          <w:szCs w:val="26"/>
        </w:rPr>
        <w:t xml:space="preserve">5.15. </w:t>
      </w:r>
      <w:r>
        <w:rPr>
          <w:bCs/>
          <w:color w:val="000000"/>
          <w:sz w:val="24"/>
          <w:szCs w:val="24"/>
        </w:rPr>
        <w:t>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w:t>
      </w:r>
    </w:p>
    <w:p>
      <w:pPr>
        <w:pStyle w:val="Normal"/>
        <w:widowControl w:val="false"/>
        <w:shd w:val="clear" w:fill="FFFFFF"/>
        <w:tabs>
          <w:tab w:val="clear" w:pos="708"/>
          <w:tab w:val="left" w:pos="993" w:leader="none"/>
        </w:tabs>
        <w:spacing w:lineRule="auto" w:line="240"/>
        <w:ind w:left="0" w:right="0" w:firstLine="709"/>
        <w:rPr>
          <w:b/>
          <w:sz w:val="26"/>
          <w:szCs w:val="26"/>
        </w:rPr>
      </w:pPr>
      <w:r>
        <w:rPr>
          <w:bCs/>
          <w:color w:val="000000"/>
          <w:sz w:val="24"/>
          <w:szCs w:val="24"/>
        </w:rPr>
        <w:t>5.16.  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Normal"/>
        <w:widowControl w:val="false"/>
        <w:shd w:val="clear" w:fill="FFFFFF"/>
        <w:tabs>
          <w:tab w:val="clear" w:pos="708"/>
          <w:tab w:val="left" w:pos="993" w:leader="none"/>
        </w:tabs>
        <w:spacing w:lineRule="auto" w:line="240"/>
        <w:ind w:left="0" w:right="0" w:firstLine="709"/>
        <w:rPr>
          <w:b/>
          <w:sz w:val="26"/>
          <w:szCs w:val="26"/>
        </w:rPr>
      </w:pPr>
      <w:r>
        <w:rPr>
          <w:bCs/>
          <w:color w:val="000000"/>
          <w:sz w:val="26"/>
          <w:szCs w:val="26"/>
        </w:rPr>
        <w:t>5.17. 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Normal"/>
        <w:widowControl w:val="false"/>
        <w:shd w:val="clear" w:fill="FFFFFF"/>
        <w:tabs>
          <w:tab w:val="clear" w:pos="708"/>
          <w:tab w:val="left" w:pos="993" w:leader="none"/>
        </w:tabs>
        <w:spacing w:lineRule="auto" w:line="240"/>
        <w:ind w:left="0" w:right="0" w:firstLine="709"/>
        <w:rPr>
          <w:b/>
          <w:sz w:val="26"/>
          <w:szCs w:val="26"/>
        </w:rPr>
      </w:pPr>
      <w:r>
        <w:rPr>
          <w:bCs/>
          <w:color w:val="000000"/>
          <w:sz w:val="26"/>
          <w:szCs w:val="26"/>
        </w:rPr>
        <w:t xml:space="preserve">5.18. 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 сумма неустойки, подлежащая уплате виновной Стороной, определяется на основании решения суда.</w:t>
      </w:r>
    </w:p>
    <w:p>
      <w:pPr>
        <w:pStyle w:val="Normal"/>
        <w:tabs>
          <w:tab w:val="clear" w:pos="708"/>
          <w:tab w:val="left" w:pos="3337" w:leader="none"/>
          <w:tab w:val="left" w:pos="5529" w:leader="none"/>
        </w:tabs>
        <w:suppressAutoHyphens w:val="true"/>
        <w:spacing w:lineRule="auto" w:line="240" w:before="120" w:after="120"/>
        <w:ind w:left="3337" w:right="0" w:hanging="360"/>
        <w:rPr>
          <w:b/>
          <w:sz w:val="26"/>
          <w:szCs w:val="26"/>
        </w:rPr>
      </w:pPr>
      <w:r>
        <w:rPr>
          <w:b/>
          <w:caps/>
          <w:sz w:val="26"/>
          <w:szCs w:val="26"/>
        </w:rPr>
        <w:t>6. КОНФИДЕНЦИАЛЬНОСТЬ</w:t>
      </w:r>
    </w:p>
    <w:p>
      <w:pPr>
        <w:pStyle w:val="Normal"/>
        <w:tabs>
          <w:tab w:val="clear" w:pos="708"/>
          <w:tab w:val="left" w:pos="900" w:leader="none"/>
        </w:tabs>
        <w:spacing w:lineRule="auto" w:line="240"/>
        <w:ind w:left="0" w:right="0" w:firstLine="709"/>
        <w:rPr>
          <w:b/>
          <w:sz w:val="26"/>
          <w:szCs w:val="26"/>
        </w:rPr>
      </w:pPr>
      <w:r>
        <w:rPr>
          <w:sz w:val="26"/>
          <w:szCs w:val="26"/>
        </w:rPr>
        <w:t>6.1. 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ConsNormal"/>
        <w:numPr>
          <w:ilvl w:val="0"/>
          <w:numId w:val="6"/>
        </w:numPr>
        <w:snapToGrid w:val="false"/>
        <w:ind w:left="0" w:right="0" w:firstLine="709"/>
        <w:jc w:val="both"/>
        <w:rPr>
          <w:rFonts w:ascii="Times New Roman" w:hAnsi="Times New Roman" w:cs="Times New Roman"/>
          <w:sz w:val="26"/>
          <w:szCs w:val="26"/>
          <w:lang w:eastAsia="ru-RU"/>
        </w:rPr>
      </w:pPr>
      <w:r>
        <w:rPr>
          <w:rFonts w:cs="Times New Roman" w:ascii="Times New Roman" w:hAnsi="Times New Roman"/>
          <w:sz w:val="26"/>
          <w:szCs w:val="26"/>
          <w:lang w:eastAsia="ru-RU"/>
        </w:rPr>
        <w:t>данная Информация имеет действительную или потенциальную коммерческую ценность для Покупателя в силу неизвестности ее третьим лицам, в том числе по причине введения в отношении нее режима Коммерческой тайны;</w:t>
      </w:r>
    </w:p>
    <w:p>
      <w:pPr>
        <w:pStyle w:val="ConsNormal"/>
        <w:numPr>
          <w:ilvl w:val="0"/>
          <w:numId w:val="6"/>
        </w:numPr>
        <w:snapToGrid w:val="false"/>
        <w:ind w:left="0" w:right="0" w:firstLine="709"/>
        <w:jc w:val="both"/>
        <w:rPr>
          <w:sz w:val="26"/>
          <w:szCs w:val="26"/>
        </w:rPr>
      </w:pPr>
      <w:r>
        <w:rPr>
          <w:rFonts w:cs="Times New Roman" w:ascii="Times New Roman" w:hAnsi="Times New Roman"/>
          <w:sz w:val="26"/>
          <w:szCs w:val="26"/>
          <w:lang w:eastAsia="ru-RU"/>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numPr>
          <w:ilvl w:val="0"/>
        </w:numPr>
        <w:tabs>
          <w:tab w:val="clear" w:pos="708"/>
          <w:tab w:val="left" w:pos="900" w:leader="none"/>
        </w:tabs>
        <w:spacing w:lineRule="auto" w:line="240"/>
        <w:ind w:left="0" w:right="0" w:firstLine="709"/>
        <w:rPr>
          <w:sz w:val="26"/>
          <w:szCs w:val="26"/>
        </w:rPr>
      </w:pPr>
      <w:r>
        <w:rPr>
          <w:sz w:val="26"/>
          <w:szCs w:val="26"/>
        </w:rPr>
        <w:t>6.2.</w:t>
        <w:tab/>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tabs>
          <w:tab w:val="clear" w:pos="708"/>
          <w:tab w:val="left" w:pos="900" w:leader="none"/>
        </w:tabs>
        <w:spacing w:lineRule="auto" w:line="240"/>
        <w:ind w:left="0" w:right="0" w:firstLine="709"/>
        <w:rPr>
          <w:sz w:val="26"/>
          <w:szCs w:val="26"/>
        </w:rPr>
      </w:pPr>
      <w:r>
        <w:rPr>
          <w:sz w:val="26"/>
          <w:szCs w:val="26"/>
        </w:rPr>
        <w:t>6.3. 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tabs>
          <w:tab w:val="clear" w:pos="708"/>
          <w:tab w:val="left" w:pos="900" w:leader="none"/>
        </w:tabs>
        <w:spacing w:lineRule="auto" w:line="240"/>
        <w:ind w:left="0" w:right="0" w:firstLine="709"/>
        <w:rPr>
          <w:sz w:val="26"/>
          <w:szCs w:val="26"/>
        </w:rPr>
      </w:pPr>
      <w:r>
        <w:rPr>
          <w:sz w:val="26"/>
          <w:szCs w:val="26"/>
        </w:rPr>
        <w:t>6.4. На документ, содержащий Информацию, Покупателем может быть нанесен гриф «Коммерческая тайна» с указанием обладателя этой информации.</w:t>
      </w:r>
    </w:p>
    <w:p>
      <w:pPr>
        <w:pStyle w:val="Normal"/>
        <w:tabs>
          <w:tab w:val="clear" w:pos="708"/>
          <w:tab w:val="left" w:pos="900" w:leader="none"/>
        </w:tabs>
        <w:spacing w:lineRule="auto" w:line="240"/>
        <w:ind w:left="0" w:right="0" w:firstLine="709"/>
        <w:rPr>
          <w:sz w:val="26"/>
          <w:szCs w:val="26"/>
        </w:rPr>
      </w:pPr>
      <w:r>
        <w:rPr>
          <w:sz w:val="26"/>
          <w:szCs w:val="26"/>
        </w:rPr>
        <w:t>6.5.</w:t>
        <w:tab/>
        <w:t>Информация может включать в себя, в том числе, но не ограничиваясь:</w:t>
      </w:r>
    </w:p>
    <w:p>
      <w:pPr>
        <w:pStyle w:val="Normal"/>
        <w:tabs>
          <w:tab w:val="clear" w:pos="708"/>
          <w:tab w:val="left" w:pos="900" w:leader="none"/>
        </w:tabs>
        <w:spacing w:lineRule="auto" w:line="240"/>
        <w:ind w:left="0" w:right="0" w:firstLine="709"/>
        <w:rPr>
          <w:sz w:val="26"/>
          <w:szCs w:val="26"/>
        </w:rPr>
      </w:pPr>
      <w:r>
        <w:rPr>
          <w:sz w:val="26"/>
          <w:szCs w:val="26"/>
        </w:rPr>
        <w:t>-</w:t>
        <w:tab/>
        <w:t>финансовую (бухгалтерскую) отчетность;</w:t>
      </w:r>
    </w:p>
    <w:p>
      <w:pPr>
        <w:pStyle w:val="Normal"/>
        <w:tabs>
          <w:tab w:val="clear" w:pos="708"/>
          <w:tab w:val="left" w:pos="900" w:leader="none"/>
        </w:tabs>
        <w:spacing w:lineRule="auto" w:line="240"/>
        <w:ind w:left="0" w:right="0" w:firstLine="709"/>
        <w:rPr>
          <w:sz w:val="26"/>
          <w:szCs w:val="26"/>
        </w:rPr>
      </w:pPr>
      <w:r>
        <w:rPr>
          <w:sz w:val="26"/>
          <w:szCs w:val="26"/>
        </w:rPr>
        <w:t>-</w:t>
        <w:tab/>
        <w:t>учетные регистры бухгалтерского учета;</w:t>
      </w:r>
    </w:p>
    <w:p>
      <w:pPr>
        <w:pStyle w:val="Normal"/>
        <w:tabs>
          <w:tab w:val="clear" w:pos="708"/>
          <w:tab w:val="left" w:pos="900" w:leader="none"/>
        </w:tabs>
        <w:spacing w:lineRule="auto" w:line="240"/>
        <w:ind w:left="0" w:right="0" w:firstLine="709"/>
        <w:rPr>
          <w:sz w:val="26"/>
          <w:szCs w:val="26"/>
        </w:rPr>
      </w:pPr>
      <w:r>
        <w:rPr>
          <w:sz w:val="26"/>
          <w:szCs w:val="26"/>
        </w:rPr>
        <w:t>-</w:t>
        <w:tab/>
        <w:t>бизнес-планы;</w:t>
      </w:r>
    </w:p>
    <w:p>
      <w:pPr>
        <w:pStyle w:val="Normal"/>
        <w:tabs>
          <w:tab w:val="clear" w:pos="708"/>
          <w:tab w:val="left" w:pos="900" w:leader="none"/>
        </w:tabs>
        <w:spacing w:lineRule="auto" w:line="240"/>
        <w:ind w:left="0" w:right="0" w:firstLine="709"/>
        <w:rPr>
          <w:sz w:val="26"/>
          <w:szCs w:val="26"/>
        </w:rPr>
      </w:pPr>
      <w:r>
        <w:rPr>
          <w:sz w:val="26"/>
          <w:szCs w:val="26"/>
        </w:rPr>
        <w:t>-</w:t>
        <w:tab/>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tabs>
          <w:tab w:val="clear" w:pos="708"/>
          <w:tab w:val="left" w:pos="900" w:leader="none"/>
        </w:tabs>
        <w:spacing w:lineRule="auto" w:line="240"/>
        <w:ind w:left="0" w:right="0" w:firstLine="709"/>
        <w:rPr>
          <w:sz w:val="26"/>
          <w:szCs w:val="26"/>
        </w:rPr>
      </w:pPr>
      <w:r>
        <w:rPr>
          <w:sz w:val="26"/>
          <w:szCs w:val="26"/>
        </w:rPr>
        <w:t>-</w:t>
        <w:tab/>
        <w:t>сведения о финансовых, правовых, организационных и других взаимоотношениях между Покупателем и третьими лицами;</w:t>
      </w:r>
    </w:p>
    <w:p>
      <w:pPr>
        <w:pStyle w:val="Normal"/>
        <w:tabs>
          <w:tab w:val="clear" w:pos="708"/>
          <w:tab w:val="left" w:pos="900" w:leader="none"/>
        </w:tabs>
        <w:spacing w:lineRule="auto" w:line="240"/>
        <w:ind w:left="0" w:right="0" w:firstLine="709"/>
        <w:rPr>
          <w:sz w:val="26"/>
          <w:szCs w:val="26"/>
        </w:rPr>
      </w:pPr>
      <w:r>
        <w:rPr>
          <w:sz w:val="26"/>
          <w:szCs w:val="26"/>
        </w:rPr>
        <w:t>-</w:t>
        <w:tab/>
        <w:t>сведения о находящихся на регистрации товарных знаках Покупателя, а также об объектах интеллектуальной собственности Покупателя, сведения о которых не являются опубликованными;</w:t>
      </w:r>
    </w:p>
    <w:p>
      <w:pPr>
        <w:pStyle w:val="Normal"/>
        <w:tabs>
          <w:tab w:val="clear" w:pos="708"/>
          <w:tab w:val="left" w:pos="900" w:leader="none"/>
        </w:tabs>
        <w:spacing w:lineRule="auto" w:line="240"/>
        <w:ind w:left="0" w:right="0" w:firstLine="709"/>
        <w:rPr>
          <w:sz w:val="26"/>
          <w:szCs w:val="26"/>
        </w:rPr>
      </w:pPr>
      <w:r>
        <w:rPr>
          <w:sz w:val="26"/>
          <w:szCs w:val="26"/>
        </w:rPr>
        <w:t>-</w:t>
        <w:tab/>
        <w:t>сведения о Поставщиках, поставщиках оборудования и материалов, а также о покупателях продукции Покупателя и их аффилированных лицах;</w:t>
      </w:r>
    </w:p>
    <w:p>
      <w:pPr>
        <w:pStyle w:val="Normal"/>
        <w:tabs>
          <w:tab w:val="clear" w:pos="708"/>
          <w:tab w:val="left" w:pos="900" w:leader="none"/>
        </w:tabs>
        <w:spacing w:lineRule="auto" w:line="240"/>
        <w:ind w:left="0" w:right="0" w:firstLine="709"/>
        <w:rPr>
          <w:sz w:val="26"/>
          <w:szCs w:val="26"/>
        </w:rPr>
      </w:pPr>
      <w:r>
        <w:rPr>
          <w:sz w:val="26"/>
          <w:szCs w:val="26"/>
        </w:rPr>
        <w:t>-</w:t>
        <w:tab/>
        <w:t>материалы обобщения, анализа, оценки, иных действий по обработке вышеуказанной Информации и документов.</w:t>
      </w:r>
    </w:p>
    <w:p>
      <w:pPr>
        <w:pStyle w:val="Normal"/>
        <w:tabs>
          <w:tab w:val="clear" w:pos="708"/>
          <w:tab w:val="left" w:pos="900" w:leader="none"/>
        </w:tabs>
        <w:spacing w:lineRule="auto" w:line="240"/>
        <w:ind w:left="0" w:right="0" w:firstLine="709"/>
        <w:rPr>
          <w:sz w:val="26"/>
          <w:szCs w:val="26"/>
        </w:rPr>
      </w:pPr>
      <w:r>
        <w:rPr>
          <w:sz w:val="26"/>
          <w:szCs w:val="26"/>
        </w:rPr>
        <w:t>6.6.</w:t>
        <w:tab/>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 (расторжения) или исполнения, в том числе: </w:t>
      </w:r>
    </w:p>
    <w:p>
      <w:pPr>
        <w:pStyle w:val="Normal"/>
        <w:tabs>
          <w:tab w:val="clear" w:pos="708"/>
          <w:tab w:val="left" w:pos="900" w:leader="none"/>
        </w:tabs>
        <w:spacing w:lineRule="auto" w:line="240"/>
        <w:ind w:left="0" w:right="0" w:firstLine="709"/>
        <w:rPr>
          <w:sz w:val="26"/>
          <w:szCs w:val="26"/>
        </w:rPr>
      </w:pPr>
      <w:r>
        <w:rPr>
          <w:sz w:val="26"/>
          <w:szCs w:val="26"/>
        </w:rPr>
        <w:t>6.6.1. 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за исключением случаев, предусмотренных законодательством Российской Федерации и п. 6.6.7 Договора;</w:t>
      </w:r>
    </w:p>
    <w:p>
      <w:pPr>
        <w:pStyle w:val="Normal"/>
        <w:tabs>
          <w:tab w:val="clear" w:pos="708"/>
          <w:tab w:val="left" w:pos="900" w:leader="none"/>
        </w:tabs>
        <w:spacing w:lineRule="auto" w:line="240"/>
        <w:ind w:left="0" w:right="0" w:firstLine="709"/>
        <w:rPr>
          <w:sz w:val="26"/>
          <w:szCs w:val="26"/>
        </w:rPr>
      </w:pPr>
      <w:r>
        <w:rPr>
          <w:sz w:val="26"/>
          <w:szCs w:val="26"/>
        </w:rPr>
        <w:t>6.6.2. 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в отношении защиты Информации обычно используемые им меры защиты;</w:t>
      </w:r>
    </w:p>
    <w:p>
      <w:pPr>
        <w:pStyle w:val="Normal"/>
        <w:tabs>
          <w:tab w:val="clear" w:pos="708"/>
          <w:tab w:val="left" w:pos="900" w:leader="none"/>
        </w:tabs>
        <w:spacing w:lineRule="auto" w:line="240"/>
        <w:ind w:left="0" w:right="0" w:firstLine="709"/>
        <w:rPr>
          <w:sz w:val="26"/>
          <w:szCs w:val="26"/>
        </w:rPr>
      </w:pPr>
      <w:r>
        <w:rPr>
          <w:sz w:val="26"/>
          <w:szCs w:val="26"/>
        </w:rPr>
        <w:t xml:space="preserve">6.6.3. Использовать Информацию исключительно для целей, для которых она была предоставлена; </w:t>
      </w:r>
    </w:p>
    <w:p>
      <w:pPr>
        <w:pStyle w:val="Normal"/>
        <w:tabs>
          <w:tab w:val="clear" w:pos="708"/>
          <w:tab w:val="left" w:pos="900" w:leader="none"/>
        </w:tabs>
        <w:spacing w:lineRule="auto" w:line="240"/>
        <w:ind w:left="0" w:right="0" w:firstLine="709"/>
        <w:rPr>
          <w:sz w:val="26"/>
          <w:szCs w:val="26"/>
        </w:rPr>
      </w:pPr>
      <w:r>
        <w:rPr>
          <w:sz w:val="26"/>
          <w:szCs w:val="26"/>
        </w:rPr>
        <w:t xml:space="preserve">6.6.4. Не осуществлять действий (бездействия), результатом которых может быть несанкционированное раскрытие Информации третьим лицам; </w:t>
      </w:r>
    </w:p>
    <w:p>
      <w:pPr>
        <w:pStyle w:val="Normal"/>
        <w:tabs>
          <w:tab w:val="clear" w:pos="708"/>
          <w:tab w:val="left" w:pos="900" w:leader="none"/>
        </w:tabs>
        <w:spacing w:lineRule="auto" w:line="240"/>
        <w:ind w:left="0" w:right="0" w:firstLine="709"/>
        <w:rPr>
          <w:sz w:val="26"/>
          <w:szCs w:val="26"/>
        </w:rPr>
      </w:pPr>
      <w:r>
        <w:rPr>
          <w:sz w:val="26"/>
          <w:szCs w:val="26"/>
        </w:rPr>
        <w:t>6.6.5. 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tabs>
          <w:tab w:val="clear" w:pos="708"/>
          <w:tab w:val="left" w:pos="900" w:leader="none"/>
        </w:tabs>
        <w:spacing w:lineRule="auto" w:line="240"/>
        <w:ind w:left="0" w:right="0" w:firstLine="709"/>
        <w:rPr>
          <w:sz w:val="26"/>
          <w:szCs w:val="26"/>
        </w:rPr>
      </w:pPr>
      <w:r>
        <w:rPr>
          <w:sz w:val="26"/>
          <w:szCs w:val="26"/>
        </w:rPr>
        <w:t xml:space="preserve">6.6.6. 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tabs>
          <w:tab w:val="clear" w:pos="708"/>
          <w:tab w:val="left" w:pos="900" w:leader="none"/>
        </w:tabs>
        <w:spacing w:lineRule="auto" w:line="240"/>
        <w:ind w:left="0" w:right="0" w:firstLine="709"/>
        <w:rPr>
          <w:sz w:val="26"/>
          <w:szCs w:val="26"/>
        </w:rPr>
      </w:pPr>
      <w:r>
        <w:rPr>
          <w:sz w:val="26"/>
          <w:szCs w:val="26"/>
        </w:rPr>
        <w:t>6.6.7. Раскрывать Информацию своим работникам, членам органов управления 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tabs>
          <w:tab w:val="clear" w:pos="708"/>
          <w:tab w:val="left" w:pos="900" w:leader="none"/>
        </w:tabs>
        <w:spacing w:lineRule="auto" w:line="240"/>
        <w:ind w:left="0" w:right="0" w:firstLine="709"/>
        <w:rPr>
          <w:sz w:val="26"/>
          <w:szCs w:val="26"/>
        </w:rPr>
      </w:pPr>
      <w:r>
        <w:rPr>
          <w:sz w:val="26"/>
          <w:szCs w:val="26"/>
        </w:rPr>
        <w:t>6.6.8. Не разглашать третьим лицам факта передачи или получения Информации.</w:t>
      </w:r>
    </w:p>
    <w:p>
      <w:pPr>
        <w:pStyle w:val="Normal"/>
        <w:tabs>
          <w:tab w:val="clear" w:pos="708"/>
          <w:tab w:val="left" w:pos="900" w:leader="none"/>
        </w:tabs>
        <w:spacing w:lineRule="auto" w:line="240"/>
        <w:ind w:left="0" w:right="0" w:firstLine="709"/>
        <w:rPr>
          <w:sz w:val="26"/>
          <w:szCs w:val="26"/>
        </w:rPr>
      </w:pPr>
      <w:r>
        <w:rPr>
          <w:sz w:val="26"/>
          <w:szCs w:val="26"/>
        </w:rPr>
        <w:t>6.7.</w:t>
        <w:tab/>
        <w:t>Поставщик, нарушивший условия настоящего раздела Договора, возмещает Покупателю убытки, вызванные таким нарушением, в течение 10 (десяти) календарных дней с даты получения соответствующего письменного требования Покупателя.</w:t>
      </w:r>
    </w:p>
    <w:p>
      <w:pPr>
        <w:pStyle w:val="Normal"/>
        <w:tabs>
          <w:tab w:val="clear" w:pos="708"/>
          <w:tab w:val="left" w:pos="900" w:leader="none"/>
        </w:tabs>
        <w:spacing w:lineRule="auto" w:line="240"/>
        <w:ind w:left="0" w:right="0" w:firstLine="709"/>
        <w:rPr>
          <w:sz w:val="26"/>
          <w:szCs w:val="26"/>
        </w:rPr>
      </w:pPr>
      <w:r>
        <w:rPr>
          <w:sz w:val="26"/>
          <w:szCs w:val="26"/>
        </w:rPr>
        <w:t>6.8.</w:t>
        <w:tab/>
        <w:t>Условия защиты Информации, представляемой Поставщиком Покупателю, могут быть дополнительно урегулированы отдельно заключаемым Сторонами соглашением.</w:t>
      </w:r>
    </w:p>
    <w:p>
      <w:pPr>
        <w:pStyle w:val="Normal"/>
        <w:tabs>
          <w:tab w:val="clear" w:pos="708"/>
          <w:tab w:val="left" w:pos="900" w:leader="none"/>
        </w:tabs>
        <w:spacing w:lineRule="auto" w:line="240"/>
        <w:ind w:left="0" w:right="0" w:firstLine="709"/>
        <w:rPr>
          <w:sz w:val="26"/>
          <w:szCs w:val="26"/>
        </w:rPr>
      </w:pPr>
      <w:r>
        <w:rPr/>
      </w:r>
    </w:p>
    <w:p>
      <w:pPr>
        <w:pStyle w:val="Normal"/>
        <w:spacing w:lineRule="auto" w:line="240"/>
        <w:ind w:left="0" w:right="0" w:firstLine="851"/>
        <w:jc w:val="center"/>
        <w:rPr>
          <w:sz w:val="26"/>
          <w:szCs w:val="26"/>
        </w:rPr>
      </w:pPr>
      <w:r>
        <w:rPr>
          <w:b/>
          <w:sz w:val="26"/>
          <w:szCs w:val="26"/>
        </w:rPr>
        <w:t>7. АНТИКОРРУПЦИОННАЯ ОГОВОРКА</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0" w:leader="none"/>
          <w:tab w:val="left" w:pos="1134" w:leader="none"/>
        </w:tabs>
        <w:ind w:left="0" w:right="0" w:firstLine="709"/>
        <w:jc w:val="both"/>
        <w:rPr>
          <w:sz w:val="26"/>
          <w:szCs w:val="26"/>
        </w:rPr>
      </w:pPr>
      <w:r>
        <w:rPr>
          <w:sz w:val="26"/>
          <w:szCs w:val="26"/>
        </w:rPr>
        <w:t xml:space="preserve">7.1. 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выплачивали, прямо или косвенно не </w:t>
      </w:r>
      <w:r>
        <w:rPr>
          <w:bCs/>
          <w:sz w:val="26"/>
          <w:szCs w:val="26"/>
        </w:rPr>
        <w:t xml:space="preserve">предлагали и не разрешали выплату денежных средств или передачу ценностей,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получить </w:t>
      </w:r>
      <w:r>
        <w:rPr>
          <w:sz w:val="26"/>
          <w:szCs w:val="26"/>
        </w:rPr>
        <w:t xml:space="preserve">для себя </w:t>
      </w:r>
      <w:r>
        <w:rPr>
          <w:bCs/>
          <w:sz w:val="26"/>
          <w:szCs w:val="26"/>
        </w:rPr>
        <w:t>какие-либо неправомерные преимущества или иные выгоды.</w:t>
      </w:r>
    </w:p>
    <w:p>
      <w:pPr>
        <w:pStyle w:val="Style20"/>
        <w:widowControl/>
        <w:shd w:val="clear" w:fill="FFFFFF"/>
        <w:tabs>
          <w:tab w:val="clear" w:pos="708"/>
          <w:tab w:val="left" w:pos="0" w:leader="none"/>
          <w:tab w:val="left" w:pos="1134" w:leader="none"/>
        </w:tabs>
        <w:ind w:left="0" w:right="0" w:firstLine="709"/>
        <w:jc w:val="both"/>
        <w:rPr>
          <w:sz w:val="26"/>
          <w:szCs w:val="26"/>
        </w:rPr>
      </w:pPr>
      <w:r>
        <w:rPr>
          <w:bCs/>
          <w:sz w:val="26"/>
          <w:szCs w:val="26"/>
        </w:rPr>
        <w:t xml:space="preserve">7.2. При исполнении своих обязательств по Договору, Стороны, </w:t>
        <w:br/>
        <w:t>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легализации (отмыванию) доходов, полученных преступным путем.</w:t>
      </w:r>
    </w:p>
    <w:p>
      <w:pPr>
        <w:pStyle w:val="Style20"/>
        <w:widowControl/>
        <w:shd w:val="clear" w:fill="FFFFFF"/>
        <w:tabs>
          <w:tab w:val="clear" w:pos="708"/>
          <w:tab w:val="left" w:pos="0" w:leader="none"/>
          <w:tab w:val="left" w:pos="1134" w:leader="none"/>
        </w:tabs>
        <w:ind w:left="0" w:right="0" w:firstLine="709"/>
        <w:jc w:val="both"/>
        <w:rPr>
          <w:sz w:val="26"/>
          <w:szCs w:val="26"/>
        </w:rPr>
      </w:pPr>
      <w:r>
        <w:rPr>
          <w:bCs/>
          <w:sz w:val="26"/>
          <w:szCs w:val="26"/>
        </w:rPr>
        <w:t>7.3.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 Договора.</w:t>
      </w:r>
    </w:p>
    <w:p>
      <w:pPr>
        <w:pStyle w:val="Style20"/>
        <w:widowControl/>
        <w:shd w:val="clear" w:fill="FFFFFF"/>
        <w:tabs>
          <w:tab w:val="clear" w:pos="708"/>
          <w:tab w:val="left" w:pos="0" w:leader="none"/>
          <w:tab w:val="left" w:pos="1134" w:leader="none"/>
        </w:tabs>
        <w:ind w:left="0" w:right="0" w:firstLine="709"/>
        <w:jc w:val="both"/>
        <w:rPr>
          <w:sz w:val="26"/>
          <w:szCs w:val="26"/>
        </w:rPr>
      </w:pPr>
      <w:r>
        <w:rPr>
          <w:bCs/>
          <w:sz w:val="26"/>
          <w:szCs w:val="26"/>
        </w:rPr>
        <w:t>7.4.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Style20"/>
        <w:shd w:val="clear" w:fill="FFFFFF"/>
        <w:tabs>
          <w:tab w:val="clear" w:pos="708"/>
          <w:tab w:val="left" w:pos="0" w:leader="none"/>
          <w:tab w:val="left" w:pos="567" w:leader="none"/>
          <w:tab w:val="left" w:pos="1418" w:leader="none"/>
        </w:tabs>
        <w:ind w:left="0" w:right="0" w:firstLine="709"/>
        <w:jc w:val="both"/>
        <w:rPr>
          <w:sz w:val="26"/>
          <w:szCs w:val="26"/>
        </w:rPr>
      </w:pPr>
      <w:r>
        <w:rPr>
          <w:sz w:val="26"/>
          <w:szCs w:val="26"/>
        </w:rPr>
        <w:t xml:space="preserve">Каналы связи «Линия доверия» ПАО «РусГидро»: </w:t>
      </w:r>
    </w:p>
    <w:p>
      <w:pPr>
        <w:pStyle w:val="Style20"/>
        <w:shd w:val="clear" w:fill="FFFFFF"/>
        <w:tabs>
          <w:tab w:val="clear" w:pos="708"/>
          <w:tab w:val="left" w:pos="0" w:leader="none"/>
          <w:tab w:val="left" w:pos="284" w:leader="none"/>
          <w:tab w:val="left" w:pos="567" w:leader="none"/>
          <w:tab w:val="left" w:pos="1418" w:leader="none"/>
        </w:tabs>
        <w:ind w:left="0" w:right="0" w:firstLine="709"/>
        <w:jc w:val="both"/>
        <w:rPr>
          <w:sz w:val="26"/>
          <w:szCs w:val="26"/>
        </w:rPr>
      </w:pPr>
      <w:r>
        <w:rPr>
          <w:sz w:val="26"/>
          <w:szCs w:val="26"/>
        </w:rPr>
        <w:t xml:space="preserve">Телефон автоответчика: +7 (495) 785-09-37 и форма обратной связи на сайте </w:t>
      </w:r>
      <w:hyperlink r:id="rId2">
        <w:r>
          <w:rPr>
            <w:rStyle w:val="Hyperlink"/>
            <w:sz w:val="26"/>
            <w:szCs w:val="26"/>
          </w:rPr>
          <w:t>http://www.rushydro.ru</w:t>
        </w:r>
      </w:hyperlink>
      <w:r>
        <w:rPr>
          <w:rStyle w:val="Hyperlink"/>
          <w:sz w:val="26"/>
          <w:szCs w:val="26"/>
        </w:rPr>
        <w:t>.</w:t>
      </w:r>
    </w:p>
    <w:p>
      <w:pPr>
        <w:pStyle w:val="Style20"/>
        <w:shd w:val="clear" w:fill="FFFFFF"/>
        <w:tabs>
          <w:tab w:val="clear" w:pos="708"/>
          <w:tab w:val="left" w:pos="0" w:leader="none"/>
          <w:tab w:val="left" w:pos="284" w:leader="none"/>
          <w:tab w:val="left" w:pos="567" w:leader="none"/>
          <w:tab w:val="left" w:pos="1418" w:leader="none"/>
        </w:tabs>
        <w:ind w:left="0" w:right="0" w:firstLine="709"/>
        <w:jc w:val="both"/>
        <w:rPr>
          <w:sz w:val="26"/>
          <w:szCs w:val="26"/>
        </w:rPr>
      </w:pPr>
      <w:r>
        <w:rPr>
          <w:sz w:val="26"/>
          <w:szCs w:val="26"/>
        </w:rPr>
      </w:r>
    </w:p>
    <w:p>
      <w:pPr>
        <w:pStyle w:val="Normal"/>
        <w:spacing w:lineRule="auto" w:line="240"/>
        <w:ind w:left="0" w:right="0" w:firstLine="851"/>
        <w:jc w:val="center"/>
        <w:rPr>
          <w:sz w:val="26"/>
          <w:szCs w:val="26"/>
        </w:rPr>
      </w:pPr>
      <w:r>
        <w:rPr>
          <w:b/>
          <w:sz w:val="26"/>
          <w:szCs w:val="26"/>
        </w:rPr>
        <w:t>8. ОБСТОЯТЕЛЬСТВА НЕПРЕОДОЛИМОЙ СИЛЫ</w:t>
      </w:r>
    </w:p>
    <w:p>
      <w:pPr>
        <w:pStyle w:val="Normal"/>
        <w:spacing w:lineRule="auto" w:line="240"/>
        <w:ind w:left="0" w:right="0" w:firstLine="851"/>
        <w:jc w:val="center"/>
        <w:rPr>
          <w:sz w:val="26"/>
          <w:szCs w:val="26"/>
        </w:rPr>
      </w:pPr>
      <w:r>
        <w:rPr>
          <w:b/>
          <w:sz w:val="26"/>
          <w:szCs w:val="26"/>
        </w:rPr>
        <w:t>(ФОРС-МАЖОР)</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8.1. 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8.2. 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Style20"/>
        <w:shd w:val="clear" w:fill="FFFFFF"/>
        <w:tabs>
          <w:tab w:val="clear" w:pos="708"/>
          <w:tab w:val="left" w:pos="0" w:leader="none"/>
          <w:tab w:val="left" w:pos="1418" w:leader="none"/>
        </w:tabs>
        <w:ind w:left="0" w:right="0" w:firstLine="709"/>
        <w:jc w:val="both"/>
        <w:rPr>
          <w:sz w:val="26"/>
          <w:szCs w:val="26"/>
        </w:rPr>
      </w:pPr>
      <w:r>
        <w:rPr>
          <w:bCs/>
          <w:sz w:val="26"/>
          <w:szCs w:val="26"/>
        </w:rPr>
        <w:t>8.3. 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8.4. Документом, свидетельствующим обстоятельства непреодолимой силы (форс-мажор) является Сертификат о форс-мажоре, выдаваемый в установленном порядке Торгово-промышленной палатой Российской Федерации.</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 xml:space="preserve">8.5. Отсутствие уведомления или несвоевременное уведомление </w:t>
        <w:br/>
        <w:t xml:space="preserve">об обстоятельствах непреодолимой силы лишает соответствующую Сторону права 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Style20"/>
        <w:widowControl/>
        <w:shd w:val="clear" w:fill="FFFFFF"/>
        <w:tabs>
          <w:tab w:val="clear" w:pos="708"/>
          <w:tab w:val="left" w:pos="0" w:leader="none"/>
          <w:tab w:val="left" w:pos="568" w:leader="none"/>
          <w:tab w:val="left" w:pos="1418" w:leader="none"/>
        </w:tabs>
        <w:ind w:left="0" w:right="0" w:firstLine="709"/>
        <w:jc w:val="both"/>
        <w:rPr>
          <w:sz w:val="26"/>
          <w:szCs w:val="26"/>
        </w:rPr>
      </w:pPr>
      <w:r>
        <w:rPr>
          <w:bCs/>
          <w:sz w:val="26"/>
          <w:szCs w:val="26"/>
        </w:rPr>
        <w:t>8.6. 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Style20"/>
        <w:shd w:val="clear" w:fill="FFFFFF"/>
        <w:tabs>
          <w:tab w:val="clear" w:pos="708"/>
          <w:tab w:val="left" w:pos="0" w:leader="none"/>
          <w:tab w:val="left" w:pos="568" w:leader="none"/>
          <w:tab w:val="left" w:pos="1418" w:leader="none"/>
        </w:tabs>
        <w:ind w:left="0" w:right="0" w:firstLine="709"/>
        <w:jc w:val="both"/>
        <w:rPr>
          <w:sz w:val="26"/>
          <w:szCs w:val="26"/>
        </w:rPr>
      </w:pPr>
      <w:r>
        <w:rPr>
          <w:bCs/>
          <w:sz w:val="26"/>
          <w:szCs w:val="26"/>
        </w:rPr>
        <w:t xml:space="preserve">При этом любая из Сторон вправе отказаться от исполнения Договора </w:t>
        <w:br/>
        <w:t>в одностороннем внесудебном порядке</w:t>
      </w:r>
      <w:r>
        <w:rPr>
          <w:b/>
          <w:bCs/>
          <w:sz w:val="26"/>
          <w:szCs w:val="26"/>
        </w:rPr>
        <w:t>.</w:t>
      </w:r>
    </w:p>
    <w:p>
      <w:pPr>
        <w:pStyle w:val="Style20"/>
        <w:shd w:val="clear" w:fill="FFFFFF"/>
        <w:tabs>
          <w:tab w:val="clear" w:pos="708"/>
          <w:tab w:val="left" w:pos="0" w:leader="none"/>
          <w:tab w:val="left" w:pos="568" w:leader="none"/>
          <w:tab w:val="left" w:pos="1418" w:leader="none"/>
        </w:tabs>
        <w:ind w:left="0" w:right="0" w:firstLine="709"/>
        <w:jc w:val="both"/>
        <w:rPr>
          <w:sz w:val="26"/>
          <w:szCs w:val="26"/>
        </w:rPr>
      </w:pPr>
      <w:r>
        <w:rPr>
          <w:sz w:val="26"/>
          <w:szCs w:val="26"/>
        </w:rPr>
      </w:r>
    </w:p>
    <w:p>
      <w:pPr>
        <w:pStyle w:val="Normal"/>
        <w:spacing w:lineRule="auto" w:line="240"/>
        <w:ind w:left="0" w:right="0" w:firstLine="851"/>
        <w:jc w:val="center"/>
        <w:rPr>
          <w:sz w:val="26"/>
          <w:szCs w:val="26"/>
        </w:rPr>
      </w:pPr>
      <w:r>
        <w:rPr>
          <w:b/>
          <w:sz w:val="26"/>
          <w:szCs w:val="26"/>
        </w:rPr>
        <w:t>9. ЗАВЕРЕНИЯ СТОРОН</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720" w:leader="none"/>
          <w:tab w:val="left" w:pos="1134" w:leader="none"/>
          <w:tab w:val="left" w:pos="1418" w:leader="none"/>
          <w:tab w:val="left" w:pos="1851" w:leader="none"/>
        </w:tabs>
        <w:ind w:left="0" w:right="0" w:firstLine="709"/>
        <w:jc w:val="both"/>
        <w:rPr>
          <w:sz w:val="26"/>
          <w:szCs w:val="26"/>
        </w:rPr>
      </w:pPr>
      <w:r>
        <w:rPr>
          <w:bCs/>
          <w:sz w:val="26"/>
          <w:szCs w:val="26"/>
        </w:rPr>
        <w:t>9.1. Каждая</w:t>
      </w:r>
      <w:r>
        <w:rPr>
          <w:sz w:val="26"/>
          <w:szCs w:val="26"/>
        </w:rPr>
        <w:t xml:space="preserve"> из Сторон заявляет и подтверждает другой Стороне, что: </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и иных лиц,  необходимые для заключения и исполнения Договора;</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лица, подписывающие от имени Сторон Договор, надлежащим образом уполномочены на его подписание;</w:t>
      </w:r>
    </w:p>
    <w:p>
      <w:pPr>
        <w:pStyle w:val="Style20"/>
        <w:widowControl/>
        <w:numPr>
          <w:ilvl w:val="0"/>
          <w:numId w:val="5"/>
        </w:numPr>
        <w:shd w:val="clear" w:fill="FFFFFF"/>
        <w:tabs>
          <w:tab w:val="clear" w:pos="708"/>
          <w:tab w:val="left" w:pos="0" w:leader="none"/>
          <w:tab w:val="left" w:pos="709" w:leader="none"/>
          <w:tab w:val="left" w:pos="1418" w:leader="none"/>
        </w:tabs>
        <w:ind w:left="0" w:right="0" w:firstLine="709"/>
        <w:jc w:val="both"/>
        <w:rPr>
          <w:sz w:val="26"/>
          <w:szCs w:val="26"/>
        </w:rPr>
      </w:pPr>
      <w:r>
        <w:rPr>
          <w:sz w:val="26"/>
          <w:szCs w:val="26"/>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Style20"/>
        <w:widowControl/>
        <w:numPr>
          <w:ilvl w:val="0"/>
        </w:numPr>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 xml:space="preserve">         </w:t>
      </w:r>
      <w:r>
        <w:rPr>
          <w:sz w:val="26"/>
          <w:szCs w:val="26"/>
        </w:rPr>
        <w:t>9.2. Поставщик заявляет и заверяет Покупателя в том, что на момент заключения Договора:</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учредителем / учредителями Поставщика являются лица, не являющиеся массовыми учредителем / учредителями;</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руководителем Поставщика является лицо, не являющееся массовым руководителем;</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 xml:space="preserve">Поставщик фактически находится по адресу, указанному в Едином государственном реестре юридических лиц; </w:t>
      </w:r>
    </w:p>
    <w:p>
      <w:pPr>
        <w:pStyle w:val="Style20"/>
        <w:widowControl/>
        <w:numPr>
          <w:ilvl w:val="0"/>
          <w:numId w:val="7"/>
        </w:numPr>
        <w:shd w:val="clear" w:fill="FFFFFF"/>
        <w:tabs>
          <w:tab w:val="clear" w:pos="708"/>
          <w:tab w:val="left" w:pos="0" w:leader="none"/>
          <w:tab w:val="left" w:pos="709" w:leader="none"/>
        </w:tabs>
        <w:ind w:left="0" w:right="0" w:firstLine="709"/>
        <w:jc w:val="both"/>
        <w:rPr>
          <w:sz w:val="26"/>
          <w:szCs w:val="26"/>
        </w:rPr>
      </w:pPr>
      <w:r>
        <w:rPr>
          <w:sz w:val="26"/>
          <w:szCs w:val="26"/>
        </w:rPr>
        <w:t>Поставщик своевременно и в полном объеме уплачивает налоги и сборы в соответствии с законодательством Российской Федерации;</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Поставщик 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Поставщик тщательно изучил всю информацию, связанную с Договором, 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Style20"/>
        <w:widowControl/>
        <w:numPr>
          <w:ilvl w:val="0"/>
          <w:numId w:val="4"/>
        </w:numPr>
        <w:shd w:val="clear" w:fill="FFFFFF"/>
        <w:tabs>
          <w:tab w:val="clear" w:pos="708"/>
          <w:tab w:val="left" w:pos="0" w:leader="none"/>
          <w:tab w:val="left" w:pos="567" w:leader="none"/>
        </w:tabs>
        <w:ind w:left="0" w:right="0" w:firstLine="709"/>
        <w:jc w:val="both"/>
        <w:rPr>
          <w:sz w:val="26"/>
          <w:szCs w:val="26"/>
        </w:rPr>
      </w:pPr>
      <w:r>
        <w:rPr>
          <w:sz w:val="26"/>
          <w:szCs w:val="26"/>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Договор на указанных в нем условиях.</w:t>
      </w:r>
    </w:p>
    <w:p>
      <w:pPr>
        <w:pStyle w:val="Normal"/>
        <w:numPr>
          <w:ilvl w:val="0"/>
        </w:numPr>
        <w:tabs>
          <w:tab w:val="clear" w:pos="708"/>
          <w:tab w:val="left" w:pos="720" w:leader="none"/>
          <w:tab w:val="left" w:pos="1418" w:leader="none"/>
          <w:tab w:val="left" w:pos="1851" w:leader="none"/>
        </w:tabs>
        <w:spacing w:lineRule="auto" w:line="240"/>
        <w:ind w:left="0" w:right="0" w:firstLine="709"/>
        <w:rPr>
          <w:sz w:val="26"/>
          <w:szCs w:val="26"/>
        </w:rPr>
      </w:pPr>
      <w:r>
        <w:rPr>
          <w:sz w:val="26"/>
          <w:szCs w:val="26"/>
        </w:rPr>
        <w:t xml:space="preserve">9.3. При заключении и исполнении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 xml:space="preserve">9.4. В случае, если </w:t>
      </w:r>
      <w:r>
        <w:rPr>
          <w:bCs/>
          <w:sz w:val="26"/>
          <w:szCs w:val="26"/>
        </w:rPr>
        <w:t xml:space="preserve">Поставщик </w:t>
      </w:r>
      <w:r>
        <w:rPr>
          <w:sz w:val="26"/>
          <w:szCs w:val="26"/>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6"/>
          <w:szCs w:val="26"/>
        </w:rPr>
        <w:t xml:space="preserve">Поставщик </w:t>
      </w:r>
      <w:r>
        <w:rPr>
          <w:sz w:val="26"/>
          <w:szCs w:val="26"/>
        </w:rPr>
        <w:t>обязан по письменному требованию Покупателя уплатить последнему штраф в размере 5 (пяти) % от Цены Договора, указанной в пункте 2.1 Договора.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9.5. 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r>
    </w:p>
    <w:p>
      <w:pPr>
        <w:pStyle w:val="Normal"/>
        <w:spacing w:lineRule="auto" w:line="240"/>
        <w:ind w:left="0" w:right="0" w:hanging="0"/>
        <w:jc w:val="center"/>
        <w:rPr>
          <w:sz w:val="26"/>
          <w:szCs w:val="26"/>
        </w:rPr>
      </w:pPr>
      <w:r>
        <w:rPr>
          <w:b/>
          <w:sz w:val="26"/>
          <w:szCs w:val="26"/>
        </w:rPr>
        <w:t>10. ПРЕКРАЩЕНИЕ (РАСТОРЖЕНИЕ) ДОГОВОРА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10.1. 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12.7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10.2. 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Style20"/>
        <w:shd w:val="clear" w:fill="FFFFFF"/>
        <w:tabs>
          <w:tab w:val="clear" w:pos="708"/>
          <w:tab w:val="left" w:pos="0" w:leader="none"/>
          <w:tab w:val="left" w:pos="1418" w:leader="none"/>
        </w:tabs>
        <w:ind w:left="0" w:right="0" w:firstLine="709"/>
        <w:jc w:val="both"/>
        <w:rPr>
          <w:sz w:val="26"/>
          <w:szCs w:val="26"/>
        </w:rPr>
      </w:pPr>
      <w:r>
        <w:rPr>
          <w:sz w:val="26"/>
          <w:szCs w:val="26"/>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pPr>
        <w:pStyle w:val="Style20"/>
        <w:shd w:val="clear" w:fill="FFFFFF"/>
        <w:tabs>
          <w:tab w:val="clear" w:pos="708"/>
          <w:tab w:val="left" w:pos="0" w:leader="none"/>
          <w:tab w:val="left" w:pos="1418" w:leader="none"/>
        </w:tabs>
        <w:ind w:left="0" w:right="0" w:firstLine="709"/>
        <w:jc w:val="both"/>
        <w:rPr>
          <w:sz w:val="26"/>
          <w:szCs w:val="26"/>
        </w:rPr>
      </w:pPr>
      <w:r>
        <w:rPr>
          <w:sz w:val="26"/>
          <w:szCs w:val="26"/>
        </w:rPr>
        <w:t>10.3. Стороны установили, что существенным нарушением Договора Поставщиком является:</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нарушение Поставщиком общего срока поставки Товара по Договору, а также промежуточных сроков поставки Товара, установленных Договором, более чем на 60 (шестьдесят) календарных дней по причинам, не зависящим от Покупателя;</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Style20"/>
        <w:widowControl/>
        <w:numPr>
          <w:ilvl w:val="0"/>
          <w:numId w:val="3"/>
        </w:numPr>
        <w:tabs>
          <w:tab w:val="clear" w:pos="708"/>
          <w:tab w:val="left" w:pos="0" w:leader="none"/>
          <w:tab w:val="left" w:pos="1418" w:leader="none"/>
        </w:tabs>
        <w:ind w:left="0" w:right="23" w:firstLine="709"/>
        <w:jc w:val="both"/>
        <w:rPr>
          <w:sz w:val="26"/>
          <w:szCs w:val="26"/>
        </w:rPr>
      </w:pPr>
      <w:r>
        <w:rPr>
          <w:sz w:val="26"/>
          <w:szCs w:val="26"/>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9 Договора, и имеющих существенное значение для его заключения и исполнения.</w:t>
      </w:r>
    </w:p>
    <w:p>
      <w:pPr>
        <w:pStyle w:val="Style20"/>
        <w:widowControl/>
        <w:numPr>
          <w:ilvl w:val="0"/>
        </w:numPr>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 xml:space="preserve">10.4. В случае отказа Покупателя от Договора в случаях, предусмотренных пунктами 10.2, 10.3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10.5. С даты прекращения (расторжения) Договора Поставщик обязан прекратить поставку Товара.</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t>10.6. При прекращении (расторжении) Договора по основаниям, указанным 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Style20"/>
        <w:widowControl/>
        <w:shd w:val="clear" w:fill="FFFFFF"/>
        <w:tabs>
          <w:tab w:val="clear" w:pos="708"/>
          <w:tab w:val="left" w:pos="720" w:leader="none"/>
          <w:tab w:val="left" w:pos="1418" w:leader="none"/>
          <w:tab w:val="left" w:pos="1851" w:leader="none"/>
        </w:tabs>
        <w:ind w:left="0" w:right="0" w:firstLine="709"/>
        <w:jc w:val="both"/>
        <w:rPr>
          <w:sz w:val="26"/>
          <w:szCs w:val="26"/>
        </w:rPr>
      </w:pPr>
      <w:r>
        <w:rPr>
          <w:sz w:val="26"/>
          <w:szCs w:val="26"/>
        </w:rPr>
      </w:r>
    </w:p>
    <w:p>
      <w:pPr>
        <w:pStyle w:val="Normal"/>
        <w:spacing w:lineRule="auto" w:line="240"/>
        <w:ind w:left="0" w:right="0" w:firstLine="851"/>
        <w:jc w:val="center"/>
        <w:rPr>
          <w:sz w:val="26"/>
          <w:szCs w:val="26"/>
        </w:rPr>
      </w:pPr>
      <w:r>
        <w:rPr>
          <w:b/>
          <w:sz w:val="26"/>
          <w:szCs w:val="26"/>
        </w:rPr>
        <w:t>11. РАЗРЕШЕНИЕ СПОРОВ</w:t>
      </w:r>
    </w:p>
    <w:p>
      <w:pPr>
        <w:pStyle w:val="Normal"/>
        <w:spacing w:lineRule="auto" w:line="240"/>
        <w:ind w:left="0" w:right="0" w:firstLine="851"/>
        <w:jc w:val="center"/>
        <w:rPr>
          <w:sz w:val="26"/>
          <w:szCs w:val="26"/>
        </w:rPr>
      </w:pPr>
      <w:r>
        <w:rPr>
          <w:sz w:val="26"/>
          <w:szCs w:val="26"/>
        </w:rPr>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11.1. Все споры, разногласия и требования, возникающие между Сторонами 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11.2. Споры, указанные в пункте 11.1 Договора, которые не были урегулированы Сторонами путем переговоров, подлежат разрешению в Арбитражном суде Амурской области в соответствии с законодательством Российской Федерации.</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11.3. 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12.</w:t>
      </w:r>
      <w:r>
        <w:rPr>
          <w:bCs/>
          <w:sz w:val="26"/>
          <w:szCs w:val="26"/>
          <w:lang w:val="en-US"/>
        </w:rPr>
        <w:t>8</w:t>
      </w:r>
      <w:r>
        <w:rPr>
          <w:bCs/>
          <w:sz w:val="26"/>
          <w:szCs w:val="26"/>
        </w:rPr>
        <w:t xml:space="preserve"> Договора.</w:t>
      </w:r>
    </w:p>
    <w:p>
      <w:pPr>
        <w:pStyle w:val="Style20"/>
        <w:widowControl/>
        <w:shd w:val="clear" w:fill="FFFFFF"/>
        <w:tabs>
          <w:tab w:val="clear" w:pos="708"/>
          <w:tab w:val="left" w:pos="0" w:leader="none"/>
          <w:tab w:val="left" w:pos="1418" w:leader="none"/>
        </w:tabs>
        <w:ind w:left="0" w:right="0" w:firstLine="709"/>
        <w:jc w:val="both"/>
        <w:rPr>
          <w:sz w:val="26"/>
          <w:szCs w:val="26"/>
        </w:rPr>
      </w:pPr>
      <w:r>
        <w:rPr>
          <w:bCs/>
          <w:sz w:val="26"/>
          <w:szCs w:val="26"/>
        </w:rPr>
        <w:t xml:space="preserve">11.4. Срок для рассмотрения претензии – 15 (пятнадцать) рабочих дней со дня 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с иском в суд. </w:t>
      </w:r>
    </w:p>
    <w:p>
      <w:pPr>
        <w:pStyle w:val="Style20"/>
        <w:widowControl/>
        <w:shd w:val="clear" w:fill="FFFFFF"/>
        <w:tabs>
          <w:tab w:val="clear" w:pos="708"/>
          <w:tab w:val="left" w:pos="0" w:leader="none"/>
          <w:tab w:val="left" w:pos="1418" w:leader="none"/>
          <w:tab w:val="left" w:pos="1851" w:leader="none"/>
        </w:tabs>
        <w:ind w:left="0" w:right="0" w:firstLine="709"/>
        <w:jc w:val="both"/>
        <w:rPr>
          <w:sz w:val="26"/>
          <w:szCs w:val="26"/>
        </w:rPr>
      </w:pPr>
      <w:r>
        <w:rPr>
          <w:bCs/>
          <w:sz w:val="26"/>
          <w:szCs w:val="26"/>
        </w:rPr>
        <w:t>11.5. Условия настоящего раздела сохраняют свою силу в случае признания Договора незаключенным и / или недействительным.</w:t>
      </w:r>
    </w:p>
    <w:p>
      <w:pPr>
        <w:pStyle w:val="Normal"/>
        <w:widowControl w:val="false"/>
        <w:shd w:val="clear" w:fill="FFFFFF"/>
        <w:spacing w:lineRule="auto" w:line="240"/>
        <w:ind w:left="0" w:right="0" w:hanging="0"/>
        <w:rPr>
          <w:sz w:val="26"/>
          <w:szCs w:val="26"/>
        </w:rPr>
      </w:pPr>
      <w:r>
        <w:rPr>
          <w:sz w:val="26"/>
          <w:szCs w:val="26"/>
        </w:rPr>
      </w:r>
    </w:p>
    <w:p>
      <w:pPr>
        <w:pStyle w:val="Normal"/>
        <w:widowControl w:val="false"/>
        <w:shd w:val="clear" w:fill="FFFFFF"/>
        <w:spacing w:lineRule="auto" w:line="240"/>
        <w:ind w:left="0" w:right="0" w:hanging="0"/>
        <w:jc w:val="center"/>
        <w:rPr>
          <w:sz w:val="26"/>
          <w:szCs w:val="26"/>
        </w:rPr>
      </w:pPr>
      <w:r>
        <w:rPr>
          <w:b/>
          <w:color w:val="000000"/>
          <w:sz w:val="26"/>
          <w:szCs w:val="26"/>
        </w:rPr>
        <w:t>12. ЗАКЛЮЧИТЕЛЬНЫЕ ПОЛОЖЕНИЯ</w:t>
      </w:r>
    </w:p>
    <w:p>
      <w:pPr>
        <w:pStyle w:val="Normal"/>
        <w:widowControl w:val="false"/>
        <w:shd w:val="clear" w:fill="FFFFFF"/>
        <w:spacing w:lineRule="auto" w:line="240"/>
        <w:ind w:left="0" w:right="0" w:hanging="0"/>
        <w:jc w:val="center"/>
        <w:rPr>
          <w:sz w:val="26"/>
          <w:szCs w:val="26"/>
        </w:rPr>
      </w:pPr>
      <w:r>
        <w:rPr>
          <w:sz w:val="26"/>
          <w:szCs w:val="26"/>
        </w:rPr>
      </w:r>
    </w:p>
    <w:p>
      <w:pPr>
        <w:pStyle w:val="Normal"/>
        <w:widowControl w:val="false"/>
        <w:shd w:val="clear" w:fill="FFFFFF"/>
        <w:spacing w:lineRule="auto" w:line="240"/>
        <w:ind w:left="0" w:right="0" w:firstLine="709"/>
        <w:rPr>
          <w:sz w:val="26"/>
          <w:szCs w:val="26"/>
        </w:rPr>
      </w:pPr>
      <w:r>
        <w:rPr>
          <w:sz w:val="26"/>
          <w:szCs w:val="26"/>
        </w:rPr>
        <w:t xml:space="preserve">12.1 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shd w:val="clear" w:fill="FFFFFF"/>
        <w:spacing w:lineRule="auto" w:line="240"/>
        <w:ind w:left="0" w:right="0" w:firstLine="709"/>
        <w:rPr>
          <w:sz w:val="26"/>
          <w:szCs w:val="26"/>
        </w:rPr>
      </w:pPr>
      <w:r>
        <w:rPr>
          <w:sz w:val="26"/>
          <w:szCs w:val="26"/>
        </w:rPr>
        <w:t>12.2. 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w:t>
      </w:r>
    </w:p>
    <w:p>
      <w:pPr>
        <w:pStyle w:val="Normal"/>
        <w:widowControl w:val="false"/>
        <w:shd w:val="clear" w:fill="FFFFFF"/>
        <w:spacing w:lineRule="auto" w:line="240"/>
        <w:ind w:left="0" w:right="0" w:firstLine="709"/>
        <w:rPr>
          <w:sz w:val="26"/>
          <w:szCs w:val="26"/>
        </w:rPr>
      </w:pPr>
      <w:r>
        <w:rPr>
          <w:sz w:val="26"/>
          <w:szCs w:val="26"/>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pPr>
        <w:pStyle w:val="Normal"/>
        <w:widowControl w:val="false"/>
        <w:shd w:val="clear" w:fill="FFFFFF"/>
        <w:spacing w:lineRule="auto" w:line="240"/>
        <w:ind w:left="0" w:right="0" w:firstLine="709"/>
        <w:rPr>
          <w:sz w:val="26"/>
          <w:szCs w:val="26"/>
        </w:rPr>
      </w:pPr>
      <w:r>
        <w:rPr>
          <w:sz w:val="26"/>
          <w:szCs w:val="26"/>
        </w:rPr>
        <w:t xml:space="preserve">12.3. 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 12.7 Договора. </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4</w:t>
      </w:r>
      <w:r>
        <w:rPr>
          <w:sz w:val="26"/>
          <w:szCs w:val="26"/>
        </w:rPr>
        <w:t>. Все приложения к Договору,  а также любые изменения и дополнения, оформленные надлежащим образом, являются неотъемлемой частью Договора.</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5</w:t>
      </w:r>
      <w:r>
        <w:rPr>
          <w:sz w:val="26"/>
          <w:szCs w:val="26"/>
        </w:rPr>
        <w:t>. В случае наличия любых расхождений между содержанием Договора и  приложений к нему, приоритет имеет текст Договора.</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6</w:t>
      </w:r>
      <w:r>
        <w:rPr>
          <w:sz w:val="26"/>
          <w:szCs w:val="26"/>
        </w:rPr>
        <w:t xml:space="preserve">. Обмен информацией между Сторонами по любым вопросам, связанным с исполнением Договора, включая уведомления и иные сообщения, осуществляются только в письменной форме в порядке, предусмотренном пунктом 12.7 Договора. Использование средств факсимильной или электронной связи не допускается, за исключением случаев обмена оперативной информацией, которая не влечет возникновения, изменения либо прекращения гражданских прав и обязанностей Стороны. </w:t>
      </w:r>
    </w:p>
    <w:p>
      <w:pPr>
        <w:pStyle w:val="Normal"/>
        <w:widowControl w:val="false"/>
        <w:shd w:val="clear" w:fill="FFFFFF"/>
        <w:spacing w:lineRule="auto" w:line="240"/>
        <w:ind w:left="0" w:right="0" w:firstLine="709"/>
        <w:rPr>
          <w:sz w:val="26"/>
          <w:szCs w:val="26"/>
        </w:rPr>
      </w:pPr>
      <w:r>
        <w:rPr>
          <w:sz w:val="26"/>
          <w:szCs w:val="26"/>
        </w:rPr>
        <w:t xml:space="preserve">12.7. Стороны обязуются уведомлять друг друга об изменении адреса и /или реквизитов, указанных в разделе 14 Договора, не позднее 3 (трех) рабочих дней после такого изменения в порядке, установленном п. 12.8 Договора. </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8</w:t>
      </w:r>
      <w:r>
        <w:rPr>
          <w:sz w:val="26"/>
          <w:szCs w:val="26"/>
        </w:rPr>
        <w:t>. Письма, уведомления и / или сообщения направляются Стороне-получателю по адресу ее места нахождения, указанному в разделе 14 Договора, или в ранее полученном уведомлении Стороны об изменении адреса, одним из следующих способов, при этом документ будет считаться полученным:</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12.</w:t>
      </w:r>
      <w:r>
        <w:rPr>
          <w:sz w:val="26"/>
          <w:szCs w:val="26"/>
          <w:lang w:val="en-US"/>
        </w:rPr>
        <w:t>8</w:t>
      </w:r>
      <w:r>
        <w:rPr>
          <w:sz w:val="26"/>
          <w:szCs w:val="26"/>
        </w:rPr>
        <w:t>.1. Доставкой лично или курьером Стороны-отправителя – в дату и время фактического приема уведомления Стороной-получателем с отметкой о получении.</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12.</w:t>
      </w:r>
      <w:r>
        <w:rPr>
          <w:sz w:val="26"/>
          <w:szCs w:val="26"/>
          <w:lang w:val="en-US"/>
        </w:rPr>
        <w:t>8</w:t>
      </w:r>
      <w:r>
        <w:rPr>
          <w:sz w:val="26"/>
          <w:szCs w:val="26"/>
        </w:rPr>
        <w:t>.2. Заказным почтовым отправлением с уведомлением о вручении – 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 xml:space="preserve">12.8.3. </w:t>
        <w:tab/>
        <w:t>Посредством электронной почты (e-mail) – в дату направления электронного сообщения, зафиксированную на почтовом сервере отправителя.</w:t>
      </w:r>
    </w:p>
    <w:p>
      <w:pPr>
        <w:pStyle w:val="Normal"/>
        <w:widowControl w:val="false"/>
        <w:shd w:val="clear" w:fill="FFFFFF"/>
        <w:tabs>
          <w:tab w:val="clear" w:pos="708"/>
          <w:tab w:val="left" w:pos="1276" w:leader="none"/>
        </w:tabs>
        <w:spacing w:lineRule="auto" w:line="240"/>
        <w:ind w:left="0" w:right="0" w:firstLine="709"/>
        <w:rPr>
          <w:sz w:val="26"/>
          <w:szCs w:val="26"/>
        </w:rPr>
      </w:pPr>
      <w:r>
        <w:rPr>
          <w:sz w:val="26"/>
          <w:szCs w:val="26"/>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12.8.1 – 12.8.2 Договора. </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9</w:t>
      </w:r>
      <w:r>
        <w:rPr>
          <w:sz w:val="26"/>
          <w:szCs w:val="26"/>
        </w:rPr>
        <w:t>. 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10</w:t>
      </w:r>
      <w:r>
        <w:rPr>
          <w:sz w:val="26"/>
          <w:szCs w:val="26"/>
        </w:rPr>
        <w:t>. Уступка (передача), в том числе в залог, прав (требований) к Покупателю 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p>
    <w:p>
      <w:pPr>
        <w:pStyle w:val="Normal"/>
        <w:widowControl w:val="false"/>
        <w:shd w:val="clear" w:fill="FFFFFF"/>
        <w:spacing w:lineRule="auto" w:line="240"/>
        <w:ind w:left="0" w:right="0" w:firstLine="709"/>
        <w:rPr>
          <w:sz w:val="26"/>
          <w:szCs w:val="26"/>
        </w:rPr>
      </w:pPr>
      <w:r>
        <w:rPr>
          <w:sz w:val="26"/>
          <w:szCs w:val="26"/>
        </w:rPr>
        <w:t>12.</w:t>
      </w:r>
      <w:r>
        <w:rPr>
          <w:sz w:val="26"/>
          <w:szCs w:val="26"/>
          <w:lang w:val="en-US"/>
        </w:rPr>
        <w:t>11</w:t>
      </w:r>
      <w:r>
        <w:rPr>
          <w:sz w:val="26"/>
          <w:szCs w:val="26"/>
        </w:rPr>
        <w:t>. Во всем остальном, что не урегулировано Договором, Стороны руководствуются законодательством Российской Федерации.</w:t>
      </w:r>
    </w:p>
    <w:p>
      <w:pPr>
        <w:pStyle w:val="Normal"/>
        <w:widowControl w:val="false"/>
        <w:shd w:val="clear" w:fill="FFFFFF"/>
        <w:spacing w:lineRule="auto" w:line="240"/>
        <w:ind w:left="0" w:right="0" w:firstLine="709"/>
        <w:rPr>
          <w:sz w:val="26"/>
          <w:szCs w:val="26"/>
        </w:rPr>
      </w:pPr>
      <w:r>
        <w:rPr>
          <w:sz w:val="26"/>
          <w:szCs w:val="26"/>
        </w:rPr>
      </w:r>
    </w:p>
    <w:p>
      <w:pPr>
        <w:pStyle w:val="Normal"/>
        <w:spacing w:lineRule="auto" w:line="240" w:before="0" w:after="120"/>
        <w:jc w:val="center"/>
        <w:rPr>
          <w:sz w:val="26"/>
          <w:szCs w:val="26"/>
        </w:rPr>
      </w:pPr>
      <w:r>
        <w:rPr>
          <w:b/>
          <w:sz w:val="26"/>
          <w:szCs w:val="26"/>
        </w:rPr>
        <w:t>13. СПИСОК ПРИЛОЖЕНИЙ</w:t>
      </w:r>
    </w:p>
    <w:p>
      <w:pPr>
        <w:pStyle w:val="Normal"/>
        <w:snapToGrid w:val="false"/>
        <w:spacing w:lineRule="auto" w:line="240"/>
        <w:ind w:left="0" w:right="0" w:firstLine="709"/>
        <w:rPr>
          <w:sz w:val="26"/>
          <w:szCs w:val="26"/>
        </w:rPr>
      </w:pPr>
      <w:r>
        <w:rPr>
          <w:sz w:val="26"/>
          <w:szCs w:val="26"/>
        </w:rPr>
        <w:t>-Приложение №1 - Размер ответственности Поставщика за нарушения пропускного и внутриобъектового режима, требований охраны труда, пожарной и промышленной безопасности.</w:t>
      </w:r>
    </w:p>
    <w:p>
      <w:pPr>
        <w:pStyle w:val="Normal"/>
        <w:snapToGrid w:val="false"/>
        <w:spacing w:lineRule="auto" w:line="240"/>
        <w:ind w:left="0" w:right="0" w:firstLine="709"/>
        <w:rPr>
          <w:sz w:val="26"/>
          <w:szCs w:val="26"/>
        </w:rPr>
      </w:pPr>
      <w:r>
        <w:rPr>
          <w:sz w:val="26"/>
          <w:szCs w:val="26"/>
        </w:rPr>
        <w:t>- Приложение № 2 – Спецификация н</w:t>
      </w:r>
      <w:r>
        <w:rPr>
          <w:color w:val="000000"/>
          <w:sz w:val="26"/>
          <w:szCs w:val="26"/>
        </w:rPr>
        <w:t>а</w:t>
      </w:r>
      <w:r>
        <w:rPr>
          <w:color w:val="000000"/>
          <w:sz w:val="26"/>
          <w:szCs w:val="26"/>
          <w:shd w:fill="auto" w:val="clear"/>
        </w:rPr>
        <w:t xml:space="preserve"> 2 л.</w:t>
      </w:r>
    </w:p>
    <w:p>
      <w:pPr>
        <w:pStyle w:val="Normal"/>
        <w:snapToGrid w:val="false"/>
        <w:spacing w:lineRule="auto" w:line="240"/>
        <w:ind w:left="0" w:right="0" w:firstLine="709"/>
        <w:rPr>
          <w:sz w:val="26"/>
          <w:szCs w:val="26"/>
        </w:rPr>
      </w:pPr>
      <w:r>
        <w:rPr>
          <w:sz w:val="26"/>
          <w:szCs w:val="26"/>
        </w:rPr>
      </w:r>
    </w:p>
    <w:p>
      <w:pPr>
        <w:pStyle w:val="Normal"/>
        <w:spacing w:lineRule="auto" w:line="240" w:before="0" w:after="120"/>
        <w:ind w:left="0" w:right="0" w:hanging="0"/>
        <w:jc w:val="center"/>
        <w:rPr>
          <w:sz w:val="26"/>
          <w:szCs w:val="26"/>
        </w:rPr>
      </w:pPr>
      <w:r>
        <w:rPr>
          <w:b/>
          <w:sz w:val="26"/>
          <w:szCs w:val="26"/>
        </w:rPr>
        <w:t>14</w:t>
      </w:r>
      <w:r>
        <w:rPr/>
        <w:t xml:space="preserve">. </w:t>
      </w:r>
      <w:r>
        <w:rPr>
          <w:b/>
          <w:bCs/>
        </w:rPr>
        <w:t>АДРЕСА И ПЛАТЕЖНЫЕ РЕКВИЗИТЫ СТОРОН</w:t>
      </w:r>
    </w:p>
    <w:tbl>
      <w:tblPr>
        <w:tblW w:w="10308" w:type="dxa"/>
        <w:jc w:val="left"/>
        <w:tblInd w:w="108" w:type="dxa"/>
        <w:tblLayout w:type="fixed"/>
        <w:tblCellMar>
          <w:top w:w="0" w:type="dxa"/>
          <w:left w:w="108" w:type="dxa"/>
          <w:bottom w:w="0" w:type="dxa"/>
          <w:right w:w="108" w:type="dxa"/>
        </w:tblCellMar>
      </w:tblPr>
      <w:tblGrid>
        <w:gridCol w:w="4858"/>
        <w:gridCol w:w="5449"/>
      </w:tblGrid>
      <w:tr>
        <w:trPr>
          <w:trHeight w:val="106" w:hRule="atLeast"/>
        </w:trPr>
        <w:tc>
          <w:tcPr>
            <w:tcW w:w="4858" w:type="dxa"/>
            <w:tcBorders/>
          </w:tcPr>
          <w:p>
            <w:pPr>
              <w:pStyle w:val="Normal"/>
              <w:widowControl w:val="false"/>
              <w:spacing w:lineRule="auto" w:line="240"/>
              <w:ind w:left="0" w:right="0" w:hanging="0"/>
              <w:rPr>
                <w:sz w:val="26"/>
                <w:szCs w:val="26"/>
              </w:rPr>
            </w:pPr>
            <w:r>
              <w:rPr>
                <w:sz w:val="26"/>
                <w:szCs w:val="26"/>
              </w:rPr>
              <w:t>ПОСТАВЩИК:</w:t>
            </w:r>
          </w:p>
          <w:p>
            <w:pPr>
              <w:pStyle w:val="Normal"/>
              <w:widowControl w:val="false"/>
              <w:snapToGrid w:val="false"/>
              <w:spacing w:lineRule="auto" w:line="240"/>
              <w:ind w:left="0" w:right="0" w:hanging="0"/>
              <w:jc w:val="center"/>
              <w:rPr>
                <w:sz w:val="26"/>
                <w:szCs w:val="26"/>
              </w:rPr>
            </w:pPr>
            <w:r>
              <w:rPr>
                <w:sz w:val="26"/>
                <w:szCs w:val="26"/>
              </w:rPr>
            </w:r>
          </w:p>
        </w:tc>
        <w:tc>
          <w:tcPr>
            <w:tcW w:w="5449" w:type="dxa"/>
            <w:tcBorders/>
          </w:tcPr>
          <w:p>
            <w:pPr>
              <w:pStyle w:val="Normal"/>
              <w:widowControl w:val="false"/>
              <w:tabs>
                <w:tab w:val="clear" w:pos="708"/>
                <w:tab w:val="left" w:pos="4875" w:leader="none"/>
              </w:tabs>
              <w:snapToGrid w:val="false"/>
              <w:spacing w:lineRule="auto" w:line="240"/>
              <w:ind w:left="0" w:right="0" w:hanging="0"/>
              <w:jc w:val="left"/>
              <w:rPr/>
            </w:pPr>
            <w:r>
              <w:rPr>
                <w:sz w:val="26"/>
                <w:szCs w:val="26"/>
              </w:rPr>
              <w:t xml:space="preserve"> </w:t>
            </w:r>
            <w:r>
              <w:rPr>
                <w:sz w:val="26"/>
                <w:szCs w:val="26"/>
              </w:rPr>
              <w:t>ПОКУПАТЕЛЬ:</w:t>
            </w:r>
          </w:p>
        </w:tc>
      </w:tr>
      <w:tr>
        <w:trPr>
          <w:trHeight w:val="487" w:hRule="atLeast"/>
        </w:trPr>
        <w:tc>
          <w:tcPr>
            <w:tcW w:w="4858" w:type="dxa"/>
            <w:tcBorders/>
          </w:tcPr>
          <w:p>
            <w:pPr>
              <w:pStyle w:val="Normal"/>
              <w:widowControl w:val="false"/>
              <w:spacing w:lineRule="auto" w:line="240"/>
              <w:ind w:left="0" w:right="0" w:hanging="0"/>
              <w:jc w:val="left"/>
              <w:rPr>
                <w:rFonts w:ascii="Times New Roman" w:hAnsi="Times New Roman"/>
              </w:rPr>
            </w:pPr>
            <w:r>
              <w:rPr/>
            </w:r>
          </w:p>
          <w:p>
            <w:pPr>
              <w:pStyle w:val="Normal"/>
              <w:widowControl w:val="false"/>
              <w:spacing w:lineRule="auto" w:line="240"/>
              <w:ind w:left="0" w:right="0" w:hanging="0"/>
              <w:jc w:val="left"/>
              <w:rPr>
                <w:rFonts w:ascii="Times New Roman" w:hAnsi="Times New Roman"/>
                <w:sz w:val="24"/>
                <w:szCs w:val="24"/>
              </w:rPr>
            </w:pPr>
            <w:r>
              <w:rPr/>
            </w:r>
          </w:p>
          <w:p>
            <w:pPr>
              <w:pStyle w:val="Normal"/>
              <w:widowControl w:val="false"/>
              <w:spacing w:lineRule="auto" w:line="240"/>
              <w:rPr>
                <w:b w:val="false"/>
                <w:bCs w:val="false"/>
                <w:lang w:val="en-US"/>
              </w:rPr>
            </w:pPr>
            <w:r>
              <w:rPr>
                <w:b w:val="false"/>
                <w:bCs w:val="false"/>
                <w:lang w:val="en-US"/>
              </w:rPr>
            </w:r>
          </w:p>
          <w:p>
            <w:pPr>
              <w:pStyle w:val="Normal"/>
              <w:widowControl w:val="false"/>
              <w:spacing w:lineRule="auto" w:line="240"/>
              <w:ind w:left="0" w:right="0" w:hanging="0"/>
              <w:jc w:val="left"/>
              <w:rPr>
                <w:b w:val="false"/>
                <w:bCs w:val="false"/>
                <w:sz w:val="24"/>
                <w:szCs w:val="24"/>
                <w:shd w:fill="FFFF00" w:val="clear"/>
                <w:lang w:val="en-US"/>
              </w:rPr>
            </w:pPr>
            <w:r>
              <w:rPr>
                <w:b w:val="false"/>
                <w:bCs w:val="false"/>
                <w:sz w:val="24"/>
                <w:szCs w:val="24"/>
                <w:shd w:fill="FFFF00" w:val="clear"/>
                <w:lang w:val="en-US"/>
              </w:rPr>
            </w:r>
          </w:p>
          <w:p>
            <w:pPr>
              <w:pStyle w:val="Normal"/>
              <w:widowControl w:val="false"/>
              <w:spacing w:lineRule="auto" w:line="240"/>
              <w:ind w:left="0" w:right="0" w:hanging="0"/>
              <w:jc w:val="left"/>
              <w:rPr>
                <w:b w:val="false"/>
                <w:bCs w:val="false"/>
                <w:sz w:val="26"/>
                <w:szCs w:val="26"/>
                <w:shd w:fill="FFFF00" w:val="clear"/>
                <w:lang w:val="en-US"/>
              </w:rPr>
            </w:pPr>
            <w:r>
              <w:rPr>
                <w:b w:val="false"/>
                <w:bCs w:val="false"/>
                <w:sz w:val="26"/>
                <w:szCs w:val="26"/>
                <w:shd w:fill="FFFF00" w:val="clear"/>
                <w:lang w:val="en-US"/>
              </w:rPr>
            </w:r>
          </w:p>
          <w:p>
            <w:pPr>
              <w:pStyle w:val="Normal"/>
              <w:widowControl w:val="false"/>
              <w:spacing w:lineRule="auto" w:line="240"/>
              <w:ind w:left="0" w:right="0" w:hanging="0"/>
              <w:jc w:val="left"/>
              <w:rPr>
                <w:sz w:val="26"/>
                <w:szCs w:val="26"/>
                <w:shd w:fill="FFFF00" w:val="clear"/>
                <w:lang w:val="en-US"/>
              </w:rPr>
            </w:pPr>
            <w:r>
              <w:rPr>
                <w:sz w:val="26"/>
                <w:szCs w:val="26"/>
                <w:shd w:fill="FFFF00" w:val="clear"/>
                <w:lang w:val="en-US"/>
              </w:rPr>
            </w:r>
          </w:p>
          <w:p>
            <w:pPr>
              <w:pStyle w:val="Normal"/>
              <w:widowControl w:val="false"/>
              <w:spacing w:lineRule="auto" w:line="240"/>
              <w:ind w:left="0" w:right="0" w:hanging="0"/>
              <w:jc w:val="left"/>
              <w:rPr>
                <w:sz w:val="26"/>
                <w:szCs w:val="26"/>
                <w:shd w:fill="FFFF00" w:val="clear"/>
                <w:lang w:val="en-US"/>
              </w:rPr>
            </w:pPr>
            <w:r>
              <w:rPr>
                <w:sz w:val="26"/>
                <w:szCs w:val="26"/>
                <w:shd w:fill="FFFF00" w:val="clear"/>
                <w:lang w:val="en-US"/>
              </w:rPr>
            </w:r>
          </w:p>
          <w:p>
            <w:pPr>
              <w:pStyle w:val="Normal"/>
              <w:widowControl w:val="false"/>
              <w:spacing w:lineRule="auto" w:line="240"/>
              <w:ind w:left="0" w:right="0" w:hanging="0"/>
              <w:jc w:val="left"/>
              <w:rPr>
                <w:sz w:val="26"/>
                <w:szCs w:val="26"/>
                <w:shd w:fill="FFFF00" w:val="clear"/>
                <w:lang w:val="en-US"/>
              </w:rPr>
            </w:pPr>
            <w:r>
              <w:rPr>
                <w:sz w:val="26"/>
                <w:szCs w:val="26"/>
                <w:shd w:fill="FFFF00" w:val="clear"/>
                <w:lang w:val="en-US"/>
              </w:rPr>
            </w:r>
          </w:p>
          <w:p>
            <w:pPr>
              <w:pStyle w:val="Normal"/>
              <w:widowControl w:val="false"/>
              <w:spacing w:lineRule="auto" w:line="240"/>
              <w:ind w:left="0" w:right="0" w:hanging="0"/>
              <w:jc w:val="left"/>
              <w:rPr>
                <w:sz w:val="26"/>
                <w:szCs w:val="26"/>
                <w:shd w:fill="FFFF00" w:val="clear"/>
              </w:rPr>
            </w:pPr>
            <w:r>
              <w:rPr>
                <w:sz w:val="26"/>
                <w:szCs w:val="26"/>
                <w:shd w:fill="FFFF00" w:val="clear"/>
              </w:rPr>
            </w:r>
          </w:p>
          <w:p>
            <w:pPr>
              <w:pStyle w:val="Normal"/>
              <w:widowControl w:val="false"/>
              <w:spacing w:lineRule="auto" w:line="240"/>
              <w:ind w:left="0" w:right="0" w:hanging="0"/>
              <w:jc w:val="left"/>
              <w:rPr>
                <w:sz w:val="26"/>
                <w:szCs w:val="26"/>
                <w:shd w:fill="FFFF00" w:val="clear"/>
              </w:rPr>
            </w:pPr>
            <w:r>
              <w:rPr>
                <w:sz w:val="26"/>
                <w:szCs w:val="26"/>
                <w:shd w:fill="FFFF00" w:val="clear"/>
              </w:rPr>
            </w:r>
          </w:p>
          <w:p>
            <w:pPr>
              <w:pStyle w:val="Normal"/>
              <w:widowControl w:val="false"/>
              <w:spacing w:lineRule="auto" w:line="240"/>
              <w:ind w:left="0" w:right="0" w:hanging="0"/>
              <w:jc w:val="left"/>
              <w:rPr>
                <w:sz w:val="26"/>
                <w:szCs w:val="26"/>
                <w:shd w:fill="FFFF00" w:val="clear"/>
              </w:rPr>
            </w:pPr>
            <w:r>
              <w:rPr>
                <w:sz w:val="26"/>
                <w:szCs w:val="26"/>
                <w:shd w:fill="FFFF00" w:val="clear"/>
              </w:rPr>
            </w:r>
          </w:p>
          <w:p>
            <w:pPr>
              <w:pStyle w:val="Normal"/>
              <w:widowControl w:val="false"/>
              <w:spacing w:lineRule="auto" w:line="240"/>
              <w:ind w:left="0" w:right="0" w:hanging="0"/>
              <w:jc w:val="left"/>
              <w:rPr>
                <w:sz w:val="26"/>
                <w:szCs w:val="26"/>
                <w:shd w:fill="auto" w:val="clear"/>
              </w:rPr>
            </w:pPr>
            <w:r>
              <w:rPr>
                <w:sz w:val="26"/>
                <w:szCs w:val="26"/>
                <w:shd w:fill="auto" w:val="clear"/>
              </w:rPr>
            </w:r>
          </w:p>
          <w:p>
            <w:pPr>
              <w:pStyle w:val="Normal"/>
              <w:widowControl w:val="false"/>
              <w:spacing w:lineRule="auto" w:line="240"/>
              <w:ind w:left="0" w:right="0" w:hanging="0"/>
              <w:jc w:val="left"/>
              <w:rPr>
                <w:sz w:val="26"/>
                <w:szCs w:val="26"/>
                <w:shd w:fill="auto" w:val="clear"/>
              </w:rPr>
            </w:pPr>
            <w:r>
              <w:rPr>
                <w:sz w:val="26"/>
                <w:szCs w:val="26"/>
                <w:shd w:fill="auto" w:val="clear"/>
              </w:rPr>
            </w:r>
          </w:p>
          <w:p>
            <w:pPr>
              <w:pStyle w:val="Normal"/>
              <w:widowControl w:val="false"/>
              <w:spacing w:lineRule="auto" w:line="240"/>
              <w:ind w:left="0" w:right="0" w:hanging="0"/>
              <w:jc w:val="left"/>
              <w:rPr>
                <w:sz w:val="26"/>
                <w:szCs w:val="26"/>
                <w:shd w:fill="auto" w:val="clear"/>
              </w:rPr>
            </w:pPr>
            <w:r>
              <w:rPr>
                <w:sz w:val="26"/>
                <w:szCs w:val="26"/>
                <w:shd w:fill="FFFF00" w:val="clear"/>
              </w:rPr>
            </w:r>
          </w:p>
        </w:tc>
        <w:tc>
          <w:tcPr>
            <w:tcW w:w="5449" w:type="dxa"/>
            <w:tcBorders/>
          </w:tcPr>
          <w:p>
            <w:pPr>
              <w:pStyle w:val="Normal"/>
              <w:widowControl w:val="false"/>
              <w:tabs>
                <w:tab w:val="clear" w:pos="708"/>
                <w:tab w:val="left" w:pos="6804" w:leader="none"/>
              </w:tabs>
              <w:spacing w:lineRule="auto" w:line="240" w:before="120" w:after="0"/>
              <w:ind w:left="0" w:right="849" w:hanging="0"/>
              <w:rPr>
                <w:sz w:val="26"/>
                <w:szCs w:val="26"/>
              </w:rPr>
            </w:pPr>
            <w:r>
              <w:rPr>
                <w:b/>
                <w:sz w:val="26"/>
                <w:szCs w:val="26"/>
              </w:rPr>
              <w:t>ПАО «РусГидро»</w:t>
            </w:r>
          </w:p>
          <w:p>
            <w:pPr>
              <w:pStyle w:val="Normal"/>
              <w:widowControl w:val="false"/>
              <w:tabs>
                <w:tab w:val="clear" w:pos="708"/>
                <w:tab w:val="left" w:pos="4530" w:leader="none"/>
              </w:tabs>
              <w:spacing w:lineRule="auto" w:line="240"/>
              <w:ind w:left="0" w:right="849" w:hanging="0"/>
              <w:rPr>
                <w:sz w:val="26"/>
                <w:szCs w:val="26"/>
              </w:rPr>
            </w:pPr>
            <w:r>
              <w:rPr>
                <w:sz w:val="26"/>
                <w:szCs w:val="26"/>
              </w:rPr>
              <w:t>Место нахождения:</w:t>
            </w:r>
          </w:p>
          <w:p>
            <w:pPr>
              <w:pStyle w:val="Normal"/>
              <w:widowControl w:val="false"/>
              <w:tabs>
                <w:tab w:val="clear" w:pos="708"/>
                <w:tab w:val="left" w:pos="4530" w:leader="none"/>
              </w:tabs>
              <w:spacing w:lineRule="auto" w:line="240"/>
              <w:ind w:left="0" w:right="849" w:hanging="0"/>
              <w:rPr>
                <w:sz w:val="26"/>
                <w:szCs w:val="26"/>
              </w:rPr>
            </w:pPr>
            <w:r>
              <w:rPr>
                <w:sz w:val="26"/>
                <w:szCs w:val="26"/>
              </w:rPr>
              <w:t>660049, Красноярский край, Г.О. Город Красноярск, г.Красноярск ул. Перенсона, 3 Д. 2А помещ. 1</w:t>
            </w:r>
          </w:p>
          <w:p>
            <w:pPr>
              <w:pStyle w:val="Normal"/>
              <w:widowControl w:val="false"/>
              <w:tabs>
                <w:tab w:val="clear" w:pos="708"/>
                <w:tab w:val="left" w:pos="4530" w:leader="none"/>
              </w:tabs>
              <w:spacing w:lineRule="auto" w:line="240"/>
              <w:ind w:left="0" w:right="849" w:hanging="0"/>
              <w:rPr>
                <w:sz w:val="26"/>
                <w:szCs w:val="26"/>
              </w:rPr>
            </w:pPr>
            <w:r>
              <w:rPr>
                <w:sz w:val="26"/>
                <w:szCs w:val="26"/>
              </w:rPr>
              <w:t>Почтовый адрес:</w:t>
            </w:r>
          </w:p>
          <w:p>
            <w:pPr>
              <w:pStyle w:val="Normal"/>
              <w:widowControl w:val="false"/>
              <w:tabs>
                <w:tab w:val="clear" w:pos="708"/>
                <w:tab w:val="left" w:pos="4530" w:leader="none"/>
              </w:tabs>
              <w:spacing w:lineRule="auto" w:line="240"/>
              <w:ind w:left="0" w:right="849" w:hanging="0"/>
              <w:rPr>
                <w:b/>
                <w:sz w:val="26"/>
                <w:szCs w:val="26"/>
              </w:rPr>
            </w:pPr>
            <w:r>
              <w:rPr>
                <w:sz w:val="26"/>
                <w:szCs w:val="26"/>
              </w:rPr>
              <w:t>660049, Красноярский край, Г.О. Город Красноярск, г.Красноярск ул. Перенсона, 3 Д. 2А помещ. 1</w:t>
            </w:r>
          </w:p>
          <w:p>
            <w:pPr>
              <w:pStyle w:val="Normal"/>
              <w:widowControl w:val="false"/>
              <w:spacing w:lineRule="auto" w:line="240"/>
              <w:ind w:left="0" w:right="849" w:hanging="0"/>
              <w:rPr>
                <w:sz w:val="26"/>
                <w:szCs w:val="26"/>
              </w:rPr>
            </w:pPr>
            <w:r>
              <w:rPr>
                <w:b/>
                <w:sz w:val="26"/>
                <w:szCs w:val="26"/>
              </w:rPr>
              <w:t>Филиал ПАО «РусГидро» -  «Зейская ГЭС»,</w:t>
            </w:r>
          </w:p>
          <w:p>
            <w:pPr>
              <w:pStyle w:val="Normal"/>
              <w:widowControl w:val="false"/>
              <w:tabs>
                <w:tab w:val="clear" w:pos="708"/>
                <w:tab w:val="left" w:pos="4530" w:leader="none"/>
              </w:tabs>
              <w:spacing w:lineRule="auto" w:line="240"/>
              <w:ind w:left="0" w:right="849" w:hanging="0"/>
              <w:rPr>
                <w:sz w:val="26"/>
                <w:szCs w:val="26"/>
              </w:rPr>
            </w:pPr>
            <w:r>
              <w:rPr>
                <w:sz w:val="26"/>
                <w:szCs w:val="26"/>
              </w:rPr>
              <w:t>Место нахождения филиала: 676244,</w:t>
            </w:r>
          </w:p>
          <w:p>
            <w:pPr>
              <w:pStyle w:val="Normal"/>
              <w:widowControl w:val="false"/>
              <w:tabs>
                <w:tab w:val="clear" w:pos="708"/>
                <w:tab w:val="left" w:pos="4530" w:leader="none"/>
              </w:tabs>
              <w:spacing w:lineRule="auto" w:line="240"/>
              <w:ind w:left="0" w:right="849" w:hanging="0"/>
              <w:rPr>
                <w:sz w:val="26"/>
                <w:szCs w:val="26"/>
              </w:rPr>
            </w:pPr>
            <w:r>
              <w:rPr>
                <w:sz w:val="26"/>
                <w:szCs w:val="26"/>
              </w:rPr>
              <w:t xml:space="preserve">Амурская область, г. Зея, </w:t>
              <w:br/>
              <w:t>ул. Магистральная, соор. 1</w:t>
            </w:r>
          </w:p>
          <w:p>
            <w:pPr>
              <w:pStyle w:val="Normal"/>
              <w:widowControl w:val="false"/>
              <w:tabs>
                <w:tab w:val="clear" w:pos="708"/>
                <w:tab w:val="left" w:pos="4530" w:leader="none"/>
              </w:tabs>
              <w:spacing w:lineRule="auto" w:line="240"/>
              <w:ind w:left="0" w:right="849" w:hanging="0"/>
              <w:rPr>
                <w:sz w:val="26"/>
                <w:szCs w:val="26"/>
              </w:rPr>
            </w:pPr>
            <w:r>
              <w:rPr>
                <w:sz w:val="26"/>
                <w:szCs w:val="26"/>
              </w:rPr>
              <w:t>ИНН 2460066195, КПП филиала 280502001</w:t>
            </w:r>
          </w:p>
          <w:p>
            <w:pPr>
              <w:pStyle w:val="Normal"/>
              <w:widowControl w:val="false"/>
              <w:tabs>
                <w:tab w:val="clear" w:pos="708"/>
                <w:tab w:val="left" w:pos="4530" w:leader="none"/>
              </w:tabs>
              <w:spacing w:lineRule="auto" w:line="240"/>
              <w:ind w:left="0" w:right="849" w:hanging="0"/>
              <w:rPr>
                <w:sz w:val="26"/>
                <w:szCs w:val="26"/>
              </w:rPr>
            </w:pPr>
            <w:r>
              <w:rPr>
                <w:sz w:val="26"/>
                <w:szCs w:val="26"/>
              </w:rPr>
              <w:t>р/с 40702810503170007429</w:t>
            </w:r>
          </w:p>
          <w:p>
            <w:pPr>
              <w:pStyle w:val="Normal"/>
              <w:widowControl w:val="false"/>
              <w:tabs>
                <w:tab w:val="clear" w:pos="708"/>
                <w:tab w:val="left" w:pos="4530" w:leader="none"/>
              </w:tabs>
              <w:spacing w:lineRule="auto" w:line="240"/>
              <w:ind w:left="0" w:right="849" w:hanging="0"/>
              <w:rPr>
                <w:sz w:val="26"/>
                <w:szCs w:val="26"/>
              </w:rPr>
            </w:pPr>
            <w:r>
              <w:rPr>
                <w:sz w:val="26"/>
                <w:szCs w:val="26"/>
              </w:rPr>
              <w:t>Банк: Дальневосточный банк ПАО</w:t>
            </w:r>
          </w:p>
          <w:p>
            <w:pPr>
              <w:pStyle w:val="Normal"/>
              <w:widowControl w:val="false"/>
              <w:tabs>
                <w:tab w:val="clear" w:pos="708"/>
                <w:tab w:val="left" w:pos="4530" w:leader="none"/>
              </w:tabs>
              <w:spacing w:lineRule="auto" w:line="240"/>
              <w:ind w:left="0" w:right="849" w:hanging="0"/>
              <w:rPr>
                <w:sz w:val="26"/>
                <w:szCs w:val="26"/>
              </w:rPr>
            </w:pPr>
            <w:r>
              <w:rPr>
                <w:sz w:val="26"/>
                <w:szCs w:val="26"/>
              </w:rPr>
              <w:t>«Сбербанк России» г. Хабаровск</w:t>
            </w:r>
          </w:p>
          <w:p>
            <w:pPr>
              <w:pStyle w:val="Normal"/>
              <w:widowControl w:val="false"/>
              <w:tabs>
                <w:tab w:val="clear" w:pos="708"/>
                <w:tab w:val="left" w:pos="4530" w:leader="none"/>
                <w:tab w:val="left" w:pos="5529" w:leader="none"/>
              </w:tabs>
              <w:spacing w:lineRule="auto" w:line="240"/>
              <w:ind w:left="0" w:right="849" w:hanging="0"/>
              <w:rPr>
                <w:sz w:val="26"/>
                <w:szCs w:val="26"/>
              </w:rPr>
            </w:pPr>
            <w:r>
              <w:rPr>
                <w:sz w:val="26"/>
                <w:szCs w:val="26"/>
              </w:rPr>
              <w:t>кор. счет № 30101810600000000608 в ГРКЦ ГУ Банка России по Хабаровскому краю,</w:t>
            </w:r>
          </w:p>
          <w:p>
            <w:pPr>
              <w:pStyle w:val="Normal"/>
              <w:widowControl w:val="false"/>
              <w:tabs>
                <w:tab w:val="clear" w:pos="708"/>
                <w:tab w:val="left" w:pos="4530" w:leader="none"/>
                <w:tab w:val="left" w:pos="5529" w:leader="none"/>
              </w:tabs>
              <w:spacing w:lineRule="auto" w:line="240"/>
              <w:ind w:left="0" w:right="849" w:hanging="0"/>
              <w:rPr>
                <w:sz w:val="26"/>
                <w:szCs w:val="26"/>
              </w:rPr>
            </w:pPr>
            <w:r>
              <w:rPr>
                <w:sz w:val="26"/>
                <w:szCs w:val="26"/>
              </w:rPr>
              <w:t>БИК 040813608</w:t>
            </w:r>
          </w:p>
          <w:p>
            <w:pPr>
              <w:pStyle w:val="Normal"/>
              <w:widowControl w:val="false"/>
              <w:tabs>
                <w:tab w:val="clear" w:pos="708"/>
                <w:tab w:val="left" w:pos="4530" w:leader="none"/>
                <w:tab w:val="left" w:pos="5529" w:leader="none"/>
              </w:tabs>
              <w:spacing w:lineRule="auto" w:line="240"/>
              <w:ind w:left="0" w:right="849" w:hanging="0"/>
              <w:rPr>
                <w:sz w:val="26"/>
                <w:szCs w:val="26"/>
              </w:rPr>
            </w:pPr>
            <w:r>
              <w:rPr>
                <w:sz w:val="26"/>
                <w:szCs w:val="26"/>
              </w:rPr>
              <w:t>ОКПО 97995395</w:t>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849" w:hanging="0"/>
              <w:jc w:val="left"/>
              <w:rPr>
                <w:sz w:val="26"/>
                <w:szCs w:val="26"/>
              </w:rPr>
            </w:pPr>
            <w:r>
              <w:rPr>
                <w:sz w:val="26"/>
                <w:szCs w:val="26"/>
                <w:lang w:val="en-US"/>
              </w:rPr>
              <w:t>Директор</w:t>
            </w:r>
            <w:r>
              <w:rPr>
                <w:sz w:val="26"/>
                <w:szCs w:val="26"/>
              </w:rPr>
              <w:t xml:space="preserve">  филиала</w:t>
            </w:r>
          </w:p>
          <w:p>
            <w:pPr>
              <w:pStyle w:val="Normal"/>
              <w:widowControl w:val="false"/>
              <w:tabs>
                <w:tab w:val="clear" w:pos="708"/>
                <w:tab w:val="left" w:pos="4530" w:leader="none"/>
              </w:tabs>
              <w:spacing w:lineRule="auto" w:line="240"/>
              <w:ind w:left="0" w:right="849" w:hanging="0"/>
              <w:rPr>
                <w:sz w:val="26"/>
                <w:szCs w:val="26"/>
              </w:rPr>
            </w:pPr>
            <w:r>
              <w:rPr>
                <w:sz w:val="26"/>
                <w:szCs w:val="26"/>
              </w:rPr>
              <w:t>ПАО «РусГидро» - «Зейская ГЭС»</w:t>
            </w:r>
          </w:p>
          <w:p>
            <w:pPr>
              <w:pStyle w:val="Normal"/>
              <w:widowControl w:val="false"/>
              <w:tabs>
                <w:tab w:val="clear" w:pos="708"/>
                <w:tab w:val="left" w:pos="4530" w:leader="none"/>
              </w:tabs>
              <w:spacing w:lineRule="auto" w:line="240"/>
              <w:ind w:left="0" w:right="849" w:hanging="0"/>
              <w:rPr>
                <w:sz w:val="26"/>
                <w:szCs w:val="26"/>
              </w:rPr>
            </w:pPr>
            <w:r>
              <w:rPr>
                <w:sz w:val="26"/>
                <w:szCs w:val="26"/>
              </w:rPr>
            </w:r>
          </w:p>
          <w:p>
            <w:pPr>
              <w:pStyle w:val="Normal"/>
              <w:widowControl w:val="false"/>
              <w:tabs>
                <w:tab w:val="clear" w:pos="708"/>
                <w:tab w:val="left" w:pos="4530" w:leader="none"/>
              </w:tabs>
              <w:spacing w:lineRule="auto" w:line="240"/>
              <w:ind w:left="0" w:right="0" w:hanging="0"/>
              <w:rPr>
                <w:sz w:val="26"/>
                <w:szCs w:val="26"/>
              </w:rPr>
            </w:pPr>
            <w:r>
              <w:rPr>
                <w:sz w:val="26"/>
                <w:szCs w:val="26"/>
              </w:rPr>
            </w:r>
          </w:p>
          <w:p>
            <w:pPr>
              <w:pStyle w:val="Normal"/>
              <w:widowControl w:val="false"/>
              <w:tabs>
                <w:tab w:val="clear" w:pos="708"/>
                <w:tab w:val="left" w:pos="4530" w:leader="none"/>
              </w:tabs>
              <w:spacing w:lineRule="auto" w:line="240"/>
              <w:ind w:left="0" w:right="0" w:hanging="0"/>
              <w:rPr>
                <w:sz w:val="26"/>
                <w:szCs w:val="26"/>
              </w:rPr>
            </w:pPr>
            <w:r>
              <w:rPr>
                <w:sz w:val="26"/>
                <w:szCs w:val="26"/>
              </w:rPr>
              <w:t>_____________М.А. Сухомесов</w:t>
            </w:r>
          </w:p>
        </w:tc>
      </w:tr>
    </w:tbl>
    <w:p>
      <w:pPr>
        <w:sectPr>
          <w:headerReference w:type="default" r:id="rId3"/>
          <w:type w:val="nextPage"/>
          <w:pgSz w:w="11906" w:h="16838"/>
          <w:pgMar w:left="1701" w:right="567" w:gutter="0" w:header="426" w:top="851" w:footer="0" w:bottom="2155"/>
          <w:pgNumType w:fmt="decimal"/>
          <w:formProt w:val="false"/>
          <w:textDirection w:val="lrTb"/>
          <w:docGrid w:type="default" w:linePitch="360" w:charSpace="0"/>
        </w:sectPr>
      </w:pPr>
    </w:p>
    <w:p>
      <w:pPr>
        <w:pStyle w:val="Normal"/>
        <w:tabs>
          <w:tab w:val="clear" w:pos="708"/>
          <w:tab w:val="left" w:pos="6521" w:leader="none"/>
        </w:tabs>
        <w:spacing w:lineRule="auto" w:line="240"/>
        <w:ind w:left="0" w:right="0" w:hanging="567"/>
        <w:jc w:val="right"/>
        <w:rPr>
          <w:sz w:val="26"/>
          <w:szCs w:val="26"/>
        </w:rPr>
      </w:pPr>
      <w:r>
        <w:rPr>
          <w:sz w:val="24"/>
          <w:szCs w:val="24"/>
        </w:rPr>
        <w:t>Приложение №</w:t>
      </w:r>
      <w:r>
        <w:rPr>
          <w:sz w:val="24"/>
          <w:szCs w:val="24"/>
          <w:lang w:val="en-US"/>
        </w:rPr>
        <w:t>1</w:t>
      </w:r>
    </w:p>
    <w:p>
      <w:pPr>
        <w:pStyle w:val="Normal"/>
        <w:spacing w:lineRule="auto" w:line="240"/>
        <w:jc w:val="right"/>
        <w:rPr>
          <w:sz w:val="26"/>
          <w:szCs w:val="26"/>
        </w:rPr>
      </w:pPr>
      <w:r>
        <w:rPr>
          <w:sz w:val="24"/>
          <w:szCs w:val="24"/>
        </w:rPr>
        <w:t xml:space="preserve">к договору поставки № </w:t>
      </w:r>
      <w:r>
        <w:rPr>
          <w:b w:val="false"/>
          <w:bCs w:val="false"/>
          <w:sz w:val="24"/>
          <w:szCs w:val="24"/>
          <w:shd w:fill="auto" w:val="clear"/>
          <w:lang w:val="en-US"/>
        </w:rPr>
        <w:t>____________</w:t>
      </w:r>
      <w:r>
        <w:rPr>
          <w:sz w:val="24"/>
          <w:szCs w:val="24"/>
        </w:rPr>
        <w:t xml:space="preserve">    </w:t>
      </w:r>
    </w:p>
    <w:p>
      <w:pPr>
        <w:pStyle w:val="Normal"/>
        <w:spacing w:lineRule="auto" w:line="240"/>
        <w:ind w:left="4956" w:right="0" w:firstLine="708"/>
        <w:jc w:val="right"/>
        <w:rPr>
          <w:sz w:val="26"/>
          <w:szCs w:val="26"/>
        </w:rPr>
      </w:pPr>
      <w:r>
        <w:rPr>
          <w:sz w:val="24"/>
          <w:szCs w:val="24"/>
        </w:rPr>
        <w:t>от « ___»__________202</w:t>
      </w:r>
      <w:r>
        <w:rPr>
          <w:sz w:val="24"/>
          <w:szCs w:val="24"/>
          <w:lang w:val="en-US"/>
        </w:rPr>
        <w:t>6</w:t>
      </w:r>
      <w:r>
        <w:rPr>
          <w:sz w:val="24"/>
          <w:szCs w:val="24"/>
        </w:rPr>
        <w:t>г.</w:t>
      </w:r>
    </w:p>
    <w:p>
      <w:pPr>
        <w:pStyle w:val="Normal"/>
        <w:shd w:val="clear" w:fill="FFFFFF"/>
        <w:tabs>
          <w:tab w:val="clear" w:pos="708"/>
          <w:tab w:val="left" w:pos="1418" w:leader="none"/>
        </w:tabs>
        <w:spacing w:lineRule="auto" w:line="240"/>
        <w:ind w:left="0" w:right="0" w:firstLine="709"/>
        <w:jc w:val="center"/>
        <w:rPr>
          <w:sz w:val="26"/>
          <w:szCs w:val="26"/>
        </w:rPr>
      </w:pPr>
      <w:r>
        <w:rPr>
          <w:sz w:val="26"/>
          <w:szCs w:val="26"/>
        </w:rPr>
      </w:r>
    </w:p>
    <w:p>
      <w:pPr>
        <w:pStyle w:val="Normal"/>
        <w:spacing w:lineRule="auto" w:line="240"/>
        <w:jc w:val="center"/>
        <w:rPr>
          <w:sz w:val="26"/>
          <w:szCs w:val="26"/>
        </w:rPr>
      </w:pPr>
      <w:r>
        <w:rPr>
          <w:b/>
          <w:bCs/>
          <w:sz w:val="24"/>
          <w:szCs w:val="24"/>
        </w:rPr>
        <w:t>Размер ответственности Поставщика за нарушения</w:t>
      </w:r>
    </w:p>
    <w:p>
      <w:pPr>
        <w:pStyle w:val="Normal"/>
        <w:spacing w:lineRule="auto" w:line="240"/>
        <w:jc w:val="center"/>
        <w:rPr>
          <w:sz w:val="26"/>
          <w:szCs w:val="26"/>
        </w:rPr>
      </w:pPr>
      <w:r>
        <w:rPr>
          <w:b/>
          <w:bCs/>
          <w:sz w:val="24"/>
          <w:szCs w:val="24"/>
        </w:rPr>
        <w:t>пропускного и внутриобъектового режима, требований охраны труда,</w:t>
      </w:r>
    </w:p>
    <w:p>
      <w:pPr>
        <w:pStyle w:val="Normal"/>
        <w:spacing w:lineRule="auto" w:line="240"/>
        <w:jc w:val="center"/>
        <w:rPr>
          <w:sz w:val="26"/>
          <w:szCs w:val="26"/>
        </w:rPr>
      </w:pPr>
      <w:r>
        <w:rPr>
          <w:b/>
          <w:bCs/>
          <w:sz w:val="24"/>
          <w:szCs w:val="24"/>
        </w:rPr>
        <w:t>пожарной и промышленной безопасности</w:t>
      </w:r>
    </w:p>
    <w:p>
      <w:pPr>
        <w:pStyle w:val="Normal"/>
        <w:spacing w:lineRule="auto" w:line="240"/>
        <w:rPr>
          <w:sz w:val="26"/>
          <w:szCs w:val="26"/>
        </w:rPr>
      </w:pPr>
      <w:r>
        <w:rPr>
          <w:sz w:val="26"/>
          <w:szCs w:val="26"/>
        </w:rPr>
      </w:r>
    </w:p>
    <w:tbl>
      <w:tblPr>
        <w:tblW w:w="5000" w:type="pct"/>
        <w:jc w:val="left"/>
        <w:tblInd w:w="0" w:type="dxa"/>
        <w:tblLayout w:type="fixed"/>
        <w:tblCellMar>
          <w:top w:w="0" w:type="dxa"/>
          <w:left w:w="108" w:type="dxa"/>
          <w:bottom w:w="0" w:type="dxa"/>
          <w:right w:w="108" w:type="dxa"/>
        </w:tblCellMar>
      </w:tblPr>
      <w:tblGrid>
        <w:gridCol w:w="3432"/>
        <w:gridCol w:w="6205"/>
      </w:tblGrid>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t>Виды нарушений</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b/>
                <w:sz w:val="24"/>
                <w:szCs w:val="24"/>
              </w:rPr>
              <w:t>Штрафные санкции</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sz w:val="24"/>
                <w:szCs w:val="24"/>
              </w:rPr>
            </w:pPr>
            <w:r>
              <w:rPr>
                <w:sz w:val="24"/>
                <w:szCs w:val="24"/>
              </w:rPr>
              <w:t>1. Нарушение правил пожарной безопасности (ППБ):</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rPr>
                <w:sz w:val="24"/>
                <w:szCs w:val="24"/>
              </w:rPr>
            </w:pPr>
            <w:r>
              <w:rPr>
                <w:sz w:val="24"/>
                <w:szCs w:val="24"/>
              </w:rPr>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sz w:val="24"/>
                <w:szCs w:val="24"/>
              </w:rPr>
              <w:t>1.1. Нарушение ППБ без возникновения пожара</w:t>
            </w:r>
          </w:p>
          <w:p>
            <w:pPr>
              <w:pStyle w:val="Normal"/>
              <w:widowControl w:val="false"/>
              <w:spacing w:lineRule="auto" w:line="240"/>
              <w:rPr>
                <w:b/>
                <w:sz w:val="24"/>
                <w:szCs w:val="24"/>
              </w:rPr>
            </w:pPr>
            <w:r>
              <w:rPr>
                <w:b/>
                <w:sz w:val="24"/>
                <w:szCs w:val="24"/>
              </w:rPr>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sz w:val="24"/>
                <w:szCs w:val="24"/>
              </w:rPr>
            </w:pPr>
            <w:r>
              <w:rPr>
                <w:sz w:val="24"/>
                <w:szCs w:val="24"/>
              </w:rPr>
              <w:t>25 000 (двадцать пять тысяч) рублей за каждый случай нарушения.</w:t>
            </w:r>
          </w:p>
          <w:p>
            <w:pPr>
              <w:pStyle w:val="Normal"/>
              <w:widowControl w:val="false"/>
              <w:spacing w:lineRule="auto" w:line="240"/>
              <w:ind w:left="0" w:right="0" w:firstLine="54"/>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sz w:val="24"/>
                <w:szCs w:val="24"/>
              </w:rPr>
            </w:pPr>
            <w:r>
              <w:rPr>
                <w:sz w:val="24"/>
                <w:szCs w:val="24"/>
              </w:rPr>
              <w:t>50 000 (пятьдесят тысяч) рублей за каждый случай нарушения.</w:t>
            </w:r>
          </w:p>
          <w:p>
            <w:pPr>
              <w:pStyle w:val="Normal"/>
              <w:widowControl w:val="false"/>
              <w:spacing w:lineRule="auto" w:line="240"/>
              <w:ind w:left="0" w:right="0" w:firstLine="54"/>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pPr>
            <w:r>
              <w:rPr>
                <w:sz w:val="24"/>
                <w:szCs w:val="24"/>
              </w:rPr>
              <w:t xml:space="preserve"> </w:t>
            </w:r>
            <w:r>
              <w:rPr>
                <w:sz w:val="24"/>
                <w:szCs w:val="24"/>
              </w:rPr>
              <w:t>250 000 (двести пятьдесят тысяч) рублей за каждый случай нарушения.</w:t>
            </w:r>
          </w:p>
        </w:tc>
      </w:tr>
      <w:tr>
        <w:trPr/>
        <w:tc>
          <w:tcPr>
            <w:tcW w:w="343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rPr>
                <w:b/>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p>
        </w:tc>
        <w:tc>
          <w:tcPr>
            <w:tcW w:w="6205"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ind w:left="0" w:right="0" w:firstLine="54"/>
              <w:rPr>
                <w:sz w:val="24"/>
                <w:szCs w:val="24"/>
              </w:rPr>
            </w:pPr>
            <w:r>
              <w:rPr>
                <w:sz w:val="24"/>
                <w:szCs w:val="24"/>
              </w:rPr>
              <w:t>- 50 000 (пятьдесят тысяч) рублей за каждый случай нарушения;</w:t>
            </w:r>
          </w:p>
          <w:p>
            <w:pPr>
              <w:pStyle w:val="Normal"/>
              <w:widowControl w:val="false"/>
              <w:spacing w:lineRule="auto" w:line="240"/>
              <w:ind w:left="0" w:right="0" w:firstLine="54"/>
              <w:rPr>
                <w:sz w:val="24"/>
                <w:szCs w:val="24"/>
              </w:rPr>
            </w:pPr>
            <w:r>
              <w:rPr>
                <w:sz w:val="24"/>
                <w:szCs w:val="24"/>
              </w:rPr>
              <w:t>- 500 (пятьсот) рублей в случае утраты или приведения в негодность электронного пропуска, выданного Покупателем.</w:t>
            </w:r>
          </w:p>
          <w:p>
            <w:pPr>
              <w:pStyle w:val="Normal"/>
              <w:widowControl w:val="false"/>
              <w:spacing w:lineRule="auto" w:line="240"/>
              <w:ind w:left="0" w:right="0" w:firstLine="54"/>
              <w:rPr>
                <w:sz w:val="24"/>
                <w:szCs w:val="24"/>
              </w:rPr>
            </w:pPr>
            <w:r>
              <w:rPr>
                <w:sz w:val="24"/>
                <w:szCs w:val="24"/>
              </w:rPr>
              <w:t>Сумма штрафа, установленная настоящим пунктом, увеличивается на 100 (сто) процентов по отношению к предыдущему случаю за каждое следующее нарушение.</w:t>
            </w:r>
          </w:p>
        </w:tc>
      </w:tr>
    </w:tbl>
    <w:p>
      <w:pPr>
        <w:pStyle w:val="Normal"/>
        <w:spacing w:lineRule="auto" w:line="240"/>
        <w:ind w:left="0" w:right="0" w:firstLine="709"/>
        <w:rPr>
          <w:sz w:val="26"/>
          <w:szCs w:val="26"/>
        </w:rPr>
      </w:pPr>
      <w:r>
        <w:rPr>
          <w:sz w:val="26"/>
          <w:szCs w:val="26"/>
        </w:rPr>
      </w:r>
    </w:p>
    <w:p>
      <w:pPr>
        <w:pStyle w:val="Normal"/>
        <w:snapToGrid w:val="false"/>
        <w:spacing w:lineRule="auto" w:line="240"/>
        <w:jc w:val="center"/>
        <w:rPr>
          <w:sz w:val="26"/>
          <w:szCs w:val="26"/>
        </w:rPr>
      </w:pPr>
      <w:r>
        <w:rPr>
          <w:b/>
          <w:color w:val="000000"/>
          <w:sz w:val="24"/>
          <w:szCs w:val="24"/>
        </w:rPr>
        <w:t>Подписи сторон</w:t>
      </w:r>
    </w:p>
    <w:p>
      <w:pPr>
        <w:pStyle w:val="Normal"/>
        <w:snapToGrid w:val="false"/>
        <w:spacing w:lineRule="auto" w:line="240"/>
        <w:jc w:val="center"/>
        <w:rPr>
          <w:sz w:val="26"/>
          <w:szCs w:val="26"/>
        </w:rPr>
      </w:pPr>
      <w:r>
        <w:rPr>
          <w:sz w:val="26"/>
          <w:szCs w:val="26"/>
        </w:rPr>
      </w:r>
    </w:p>
    <w:tbl>
      <w:tblPr>
        <w:tblW w:w="10320" w:type="dxa"/>
        <w:jc w:val="left"/>
        <w:tblInd w:w="108" w:type="dxa"/>
        <w:tblLayout w:type="fixed"/>
        <w:tblCellMar>
          <w:top w:w="0" w:type="dxa"/>
          <w:left w:w="108" w:type="dxa"/>
          <w:bottom w:w="0" w:type="dxa"/>
          <w:right w:w="108" w:type="dxa"/>
        </w:tblCellMar>
      </w:tblPr>
      <w:tblGrid>
        <w:gridCol w:w="4862"/>
        <w:gridCol w:w="5457"/>
      </w:tblGrid>
      <w:tr>
        <w:trPr>
          <w:trHeight w:val="487" w:hRule="atLeast"/>
        </w:trPr>
        <w:tc>
          <w:tcPr>
            <w:tcW w:w="4862" w:type="dxa"/>
            <w:tcBorders/>
          </w:tcPr>
          <w:p>
            <w:pPr>
              <w:pStyle w:val="Normal"/>
              <w:widowControl w:val="false"/>
              <w:tabs>
                <w:tab w:val="clear" w:pos="708"/>
                <w:tab w:val="left" w:pos="4155" w:leader="none"/>
              </w:tabs>
              <w:snapToGrid w:val="false"/>
              <w:spacing w:lineRule="auto" w:line="240"/>
              <w:rPr>
                <w:b/>
                <w:color w:val="000000"/>
                <w:sz w:val="24"/>
                <w:szCs w:val="24"/>
              </w:rPr>
            </w:pPr>
            <w:r>
              <w:rPr>
                <w:b/>
                <w:color w:val="000000"/>
                <w:sz w:val="24"/>
                <w:szCs w:val="24"/>
              </w:rPr>
              <w:t>Поставщик:</w:t>
            </w:r>
          </w:p>
          <w:p>
            <w:pPr>
              <w:pStyle w:val="Normal"/>
              <w:widowControl w:val="false"/>
              <w:tabs>
                <w:tab w:val="clear" w:pos="708"/>
                <w:tab w:val="left" w:pos="4155" w:leader="none"/>
              </w:tabs>
              <w:spacing w:lineRule="auto" w:line="240"/>
              <w:rPr>
                <w:b/>
                <w:color w:val="000000"/>
                <w:sz w:val="24"/>
                <w:szCs w:val="24"/>
              </w:rPr>
            </w:pPr>
            <w:r>
              <w:rPr>
                <w:b/>
                <w:color w:val="000000"/>
                <w:sz w:val="24"/>
                <w:szCs w:val="24"/>
              </w:rPr>
            </w:r>
          </w:p>
          <w:p>
            <w:pPr>
              <w:pStyle w:val="Normal"/>
              <w:widowControl w:val="false"/>
              <w:spacing w:lineRule="auto" w:line="240"/>
              <w:ind w:left="0" w:right="0" w:hanging="0"/>
              <w:jc w:val="left"/>
              <w:rPr>
                <w:sz w:val="24"/>
                <w:szCs w:val="24"/>
              </w:rPr>
            </w:pPr>
            <w:r>
              <w:rPr/>
            </w:r>
          </w:p>
        </w:tc>
        <w:tc>
          <w:tcPr>
            <w:tcW w:w="5457" w:type="dxa"/>
            <w:tcBorders/>
          </w:tcPr>
          <w:p>
            <w:pPr>
              <w:pStyle w:val="Normal"/>
              <w:widowControl w:val="false"/>
              <w:snapToGrid w:val="false"/>
              <w:spacing w:lineRule="auto" w:line="240"/>
              <w:rPr>
                <w:b/>
                <w:color w:val="000000"/>
                <w:sz w:val="24"/>
                <w:szCs w:val="24"/>
              </w:rPr>
            </w:pPr>
            <w:r>
              <w:rPr>
                <w:b/>
                <w:color w:val="000000"/>
                <w:sz w:val="24"/>
                <w:szCs w:val="24"/>
              </w:rPr>
              <w:t>Покупатель:</w:t>
            </w:r>
          </w:p>
          <w:p>
            <w:pPr>
              <w:pStyle w:val="Normal"/>
              <w:widowControl w:val="false"/>
              <w:snapToGrid w:val="false"/>
              <w:spacing w:lineRule="auto" w:line="240"/>
              <w:rPr>
                <w:b/>
                <w:color w:val="000000"/>
                <w:sz w:val="24"/>
                <w:szCs w:val="24"/>
              </w:rPr>
            </w:pPr>
            <w:r>
              <w:rPr>
                <w:b/>
                <w:color w:val="000000"/>
                <w:sz w:val="24"/>
                <w:szCs w:val="24"/>
              </w:rPr>
            </w:r>
          </w:p>
          <w:p>
            <w:pPr>
              <w:pStyle w:val="Normal"/>
              <w:widowControl w:val="false"/>
              <w:tabs>
                <w:tab w:val="clear" w:pos="708"/>
                <w:tab w:val="left" w:pos="4530" w:leader="none"/>
              </w:tabs>
              <w:spacing w:lineRule="auto" w:line="240"/>
              <w:ind w:left="0" w:right="849" w:hanging="0"/>
              <w:jc w:val="left"/>
              <w:rPr>
                <w:sz w:val="26"/>
                <w:szCs w:val="26"/>
              </w:rPr>
            </w:pPr>
            <w:r>
              <w:rPr>
                <w:sz w:val="26"/>
                <w:szCs w:val="26"/>
                <w:lang w:val="en-US"/>
              </w:rPr>
              <w:t>Директор</w:t>
            </w:r>
            <w:r>
              <w:rPr>
                <w:sz w:val="26"/>
                <w:szCs w:val="26"/>
              </w:rPr>
              <w:t xml:space="preserve">  филиала</w:t>
            </w:r>
          </w:p>
          <w:p>
            <w:pPr>
              <w:pStyle w:val="Normal"/>
              <w:widowControl w:val="false"/>
              <w:tabs>
                <w:tab w:val="clear" w:pos="708"/>
                <w:tab w:val="left" w:pos="4530" w:leader="none"/>
              </w:tabs>
              <w:spacing w:lineRule="auto" w:line="240"/>
              <w:ind w:left="0" w:right="849" w:hanging="0"/>
              <w:rPr>
                <w:sz w:val="26"/>
                <w:szCs w:val="26"/>
              </w:rPr>
            </w:pPr>
            <w:r>
              <w:rPr>
                <w:sz w:val="26"/>
                <w:szCs w:val="26"/>
              </w:rPr>
              <w:t>ПАО «РусГидро» - «Зейская ГЭС»</w:t>
            </w:r>
          </w:p>
          <w:p>
            <w:pPr>
              <w:pStyle w:val="Normal"/>
              <w:widowControl w:val="false"/>
              <w:tabs>
                <w:tab w:val="clear" w:pos="708"/>
                <w:tab w:val="left" w:pos="4530" w:leader="none"/>
              </w:tabs>
              <w:spacing w:lineRule="auto" w:line="240"/>
              <w:ind w:left="0" w:right="0" w:hanging="0"/>
              <w:rPr>
                <w:sz w:val="26"/>
                <w:szCs w:val="26"/>
                <w:lang w:val="en-US"/>
              </w:rPr>
            </w:pPr>
            <w:r>
              <w:rPr>
                <w:sz w:val="26"/>
                <w:szCs w:val="26"/>
                <w:lang w:val="en-US"/>
              </w:rPr>
            </w:r>
          </w:p>
          <w:p>
            <w:pPr>
              <w:pStyle w:val="Normal"/>
              <w:widowControl w:val="false"/>
              <w:tabs>
                <w:tab w:val="clear" w:pos="708"/>
                <w:tab w:val="left" w:pos="4530" w:leader="none"/>
              </w:tabs>
              <w:spacing w:lineRule="auto" w:line="240"/>
              <w:ind w:left="0" w:right="0" w:hanging="0"/>
              <w:rPr>
                <w:sz w:val="26"/>
                <w:szCs w:val="26"/>
                <w:lang w:val="en-US"/>
              </w:rPr>
            </w:pPr>
            <w:r>
              <w:rPr>
                <w:sz w:val="26"/>
                <w:szCs w:val="26"/>
                <w:lang w:val="en-US"/>
              </w:rPr>
              <w:t>_____________М.А. Сухомесов</w:t>
            </w:r>
          </w:p>
        </w:tc>
      </w:tr>
    </w:tbl>
    <w:p>
      <w:pPr>
        <w:sectPr>
          <w:headerReference w:type="default" r:id="rId4"/>
          <w:headerReference w:type="first" r:id="rId5"/>
          <w:type w:val="nextPage"/>
          <w:pgSz w:w="11906" w:h="16838"/>
          <w:pgMar w:left="1701" w:right="567" w:gutter="0" w:header="709" w:top="851" w:footer="0" w:bottom="2268"/>
          <w:pgNumType w:fmt="decimal"/>
          <w:formProt w:val="false"/>
          <w:textDirection w:val="lrTb"/>
          <w:docGrid w:type="default" w:linePitch="381" w:charSpace="0"/>
        </w:sectPr>
      </w:pPr>
    </w:p>
    <w:p>
      <w:pPr>
        <w:pStyle w:val="Normal"/>
        <w:suppressAutoHyphens w:val="true"/>
        <w:ind w:left="0" w:right="0" w:firstLine="4820"/>
        <w:jc w:val="right"/>
        <w:rPr>
          <w:sz w:val="26"/>
          <w:szCs w:val="26"/>
        </w:rPr>
      </w:pPr>
      <w:r>
        <w:rPr>
          <w:sz w:val="22"/>
          <w:szCs w:val="22"/>
        </w:rPr>
        <w:t>Приложение № 2</w:t>
      </w:r>
    </w:p>
    <w:p>
      <w:pPr>
        <w:pStyle w:val="Normal"/>
        <w:suppressAutoHyphens w:val="true"/>
        <w:ind w:left="0" w:right="0" w:firstLine="4820"/>
        <w:jc w:val="right"/>
        <w:rPr>
          <w:sz w:val="26"/>
          <w:szCs w:val="26"/>
        </w:rPr>
      </w:pPr>
      <w:r>
        <w:rPr>
          <w:sz w:val="22"/>
          <w:szCs w:val="22"/>
        </w:rPr>
        <w:t>к Договору поставки</w:t>
      </w:r>
    </w:p>
    <w:p>
      <w:pPr>
        <w:pStyle w:val="Normal"/>
        <w:suppressAutoHyphens w:val="true"/>
        <w:ind w:left="0" w:right="0" w:firstLine="4820"/>
        <w:jc w:val="right"/>
        <w:rPr>
          <w:sz w:val="26"/>
          <w:szCs w:val="26"/>
        </w:rPr>
      </w:pPr>
      <w:r>
        <w:rPr>
          <w:sz w:val="22"/>
          <w:szCs w:val="22"/>
        </w:rPr>
        <w:t xml:space="preserve">от «____»  _________ 2026 г. № </w:t>
      </w:r>
      <w:r>
        <w:rPr>
          <w:sz w:val="24"/>
          <w:szCs w:val="24"/>
        </w:rPr>
        <w:t xml:space="preserve">№ </w:t>
      </w:r>
      <w:r>
        <w:rPr>
          <w:sz w:val="24"/>
          <w:szCs w:val="24"/>
        </w:rPr>
        <w:t>_</w:t>
      </w:r>
      <w:r>
        <w:rPr>
          <w:sz w:val="26"/>
          <w:szCs w:val="26"/>
        </w:rPr>
        <w:t>_______________</w:t>
      </w:r>
    </w:p>
    <w:p>
      <w:pPr>
        <w:pStyle w:val="Normal"/>
        <w:widowControl/>
        <w:suppressAutoHyphens w:val="true"/>
        <w:ind w:left="0" w:right="0" w:firstLine="709"/>
        <w:rPr>
          <w:sz w:val="26"/>
          <w:szCs w:val="26"/>
        </w:rPr>
      </w:pPr>
      <w:r>
        <w:rPr>
          <w:sz w:val="26"/>
          <w:szCs w:val="26"/>
        </w:rPr>
      </w:r>
    </w:p>
    <w:p>
      <w:pPr>
        <w:pStyle w:val="Normal"/>
        <w:jc w:val="center"/>
        <w:rPr>
          <w:sz w:val="26"/>
          <w:szCs w:val="26"/>
        </w:rPr>
      </w:pPr>
      <w:r>
        <w:rPr>
          <w:b/>
          <w:sz w:val="24"/>
          <w:szCs w:val="24"/>
        </w:rPr>
        <w:t>СПЕЦИФИКАЦИЯ</w:t>
      </w:r>
      <w:r>
        <w:rPr>
          <w:rStyle w:val="FootnoteReference"/>
          <w:b/>
          <w:sz w:val="24"/>
          <w:szCs w:val="24"/>
        </w:rPr>
        <w:footnoteReference w:id="2"/>
      </w:r>
    </w:p>
    <w:p>
      <w:pPr>
        <w:pStyle w:val="Normal"/>
        <w:jc w:val="center"/>
        <w:rPr>
          <w:sz w:val="26"/>
          <w:szCs w:val="26"/>
        </w:rPr>
      </w:pPr>
      <w:r>
        <w:rPr>
          <w:sz w:val="26"/>
          <w:szCs w:val="26"/>
        </w:rPr>
      </w:r>
    </w:p>
    <w:tbl>
      <w:tblPr>
        <w:tblW w:w="14569" w:type="dxa"/>
        <w:jc w:val="left"/>
        <w:tblInd w:w="55" w:type="dxa"/>
        <w:tblLayout w:type="fixed"/>
        <w:tblCellMar>
          <w:top w:w="55" w:type="dxa"/>
          <w:left w:w="55" w:type="dxa"/>
          <w:bottom w:w="55" w:type="dxa"/>
          <w:right w:w="55" w:type="dxa"/>
        </w:tblCellMar>
      </w:tblPr>
      <w:tblGrid>
        <w:gridCol w:w="540"/>
        <w:gridCol w:w="2353"/>
        <w:gridCol w:w="4242"/>
        <w:gridCol w:w="1479"/>
        <w:gridCol w:w="740"/>
        <w:gridCol w:w="855"/>
        <w:gridCol w:w="1253"/>
        <w:gridCol w:w="1078"/>
        <w:gridCol w:w="913"/>
        <w:gridCol w:w="1114"/>
      </w:tblGrid>
      <w:tr>
        <w:trPr/>
        <w:tc>
          <w:tcPr>
            <w:tcW w:w="540" w:type="dxa"/>
            <w:tcBorders>
              <w:top w:val="single" w:sz="4" w:space="0" w:color="000000"/>
              <w:left w:val="single" w:sz="4" w:space="0" w:color="000000"/>
              <w:bottom w:val="single" w:sz="4" w:space="0" w:color="000000"/>
            </w:tcBorders>
          </w:tcPr>
          <w:p>
            <w:pPr>
              <w:pStyle w:val="Style24"/>
              <w:widowControl w:val="false"/>
              <w:jc w:val="center"/>
              <w:rPr/>
            </w:pPr>
            <w:r>
              <w:rPr>
                <w:sz w:val="20"/>
                <w:szCs w:val="20"/>
              </w:rPr>
              <w:t xml:space="preserve">№ </w:t>
            </w:r>
            <w:r>
              <w:rPr>
                <w:sz w:val="20"/>
                <w:szCs w:val="20"/>
              </w:rPr>
              <w:t>п/п</w:t>
            </w:r>
          </w:p>
        </w:tc>
        <w:tc>
          <w:tcPr>
            <w:tcW w:w="2353" w:type="dxa"/>
            <w:tcBorders>
              <w:top w:val="single" w:sz="4" w:space="0" w:color="000000"/>
              <w:left w:val="single" w:sz="4" w:space="0" w:color="000000"/>
              <w:bottom w:val="single" w:sz="4" w:space="0" w:color="000000"/>
            </w:tcBorders>
          </w:tcPr>
          <w:p>
            <w:pPr>
              <w:pStyle w:val="Style24"/>
              <w:widowControl w:val="false"/>
              <w:jc w:val="center"/>
              <w:rPr>
                <w:sz w:val="20"/>
                <w:szCs w:val="20"/>
              </w:rPr>
            </w:pPr>
            <w:r>
              <w:rPr>
                <w:sz w:val="20"/>
                <w:szCs w:val="20"/>
              </w:rPr>
              <w:t>Наименование товара</w:t>
            </w:r>
          </w:p>
        </w:tc>
        <w:tc>
          <w:tcPr>
            <w:tcW w:w="4242" w:type="dxa"/>
            <w:tcBorders>
              <w:top w:val="single" w:sz="4" w:space="0" w:color="000000"/>
              <w:left w:val="single" w:sz="4" w:space="0" w:color="000000"/>
              <w:bottom w:val="single" w:sz="4" w:space="0" w:color="000000"/>
            </w:tcBorders>
          </w:tcPr>
          <w:p>
            <w:pPr>
              <w:pStyle w:val="Style24"/>
              <w:widowControl w:val="false"/>
              <w:jc w:val="center"/>
              <w:rPr>
                <w:sz w:val="20"/>
                <w:szCs w:val="20"/>
              </w:rPr>
            </w:pPr>
            <w:r>
              <w:rPr>
                <w:sz w:val="20"/>
                <w:szCs w:val="20"/>
              </w:rPr>
              <w:t>Характеристика товара</w:t>
            </w:r>
          </w:p>
        </w:tc>
        <w:tc>
          <w:tcPr>
            <w:tcW w:w="1479" w:type="dxa"/>
            <w:tcBorders>
              <w:top w:val="single" w:sz="4" w:space="0" w:color="000000"/>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t>страна происхождения товара</w:t>
            </w:r>
          </w:p>
        </w:tc>
        <w:tc>
          <w:tcPr>
            <w:tcW w:w="740" w:type="dxa"/>
            <w:tcBorders>
              <w:top w:val="single" w:sz="4" w:space="0" w:color="000000"/>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t>ед. изм.</w:t>
            </w:r>
          </w:p>
        </w:tc>
        <w:tc>
          <w:tcPr>
            <w:tcW w:w="855" w:type="dxa"/>
            <w:tcBorders>
              <w:top w:val="single" w:sz="4" w:space="0" w:color="000000"/>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t>кол-во</w:t>
            </w:r>
          </w:p>
        </w:tc>
        <w:tc>
          <w:tcPr>
            <w:tcW w:w="1253" w:type="dxa"/>
            <w:tcBorders>
              <w:top w:val="single" w:sz="4" w:space="0" w:color="000000"/>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sz w:val="20"/>
                <w:szCs w:val="20"/>
              </w:rPr>
              <w:t>цена за ед. (рубли) без НДС</w:t>
            </w:r>
          </w:p>
        </w:tc>
        <w:tc>
          <w:tcPr>
            <w:tcW w:w="1078" w:type="dxa"/>
            <w:tcBorders>
              <w:top w:val="single" w:sz="4" w:space="0" w:color="000000"/>
              <w:left w:val="single" w:sz="4" w:space="0" w:color="000000"/>
              <w:bottom w:val="single" w:sz="4" w:space="0" w:color="000000"/>
            </w:tcBorders>
          </w:tcPr>
          <w:p>
            <w:pPr>
              <w:pStyle w:val="Normal"/>
              <w:widowControl w:val="false"/>
              <w:spacing w:lineRule="auto" w:line="240"/>
              <w:ind w:left="0" w:right="0" w:hanging="0"/>
              <w:jc w:val="center"/>
              <w:rPr>
                <w:b w:val="false"/>
                <w:bCs w:val="false"/>
                <w:sz w:val="20"/>
                <w:szCs w:val="20"/>
              </w:rPr>
            </w:pPr>
            <w:r>
              <w:rPr>
                <w:b w:val="false"/>
                <w:bCs w:val="false"/>
                <w:sz w:val="20"/>
                <w:szCs w:val="20"/>
              </w:rPr>
              <w:t>сумма (рубли)  без НДС</w:t>
            </w:r>
          </w:p>
        </w:tc>
        <w:tc>
          <w:tcPr>
            <w:tcW w:w="913" w:type="dxa"/>
            <w:tcBorders>
              <w:top w:val="single" w:sz="4" w:space="0" w:color="000000"/>
              <w:left w:val="single" w:sz="4" w:space="0" w:color="000000"/>
              <w:bottom w:val="single" w:sz="4" w:space="0" w:color="000000"/>
            </w:tcBorders>
          </w:tcPr>
          <w:p>
            <w:pPr>
              <w:pStyle w:val="Style24"/>
              <w:widowControl w:val="false"/>
              <w:ind w:left="0" w:right="0" w:hanging="0"/>
              <w:jc w:val="center"/>
              <w:rPr>
                <w:sz w:val="20"/>
                <w:szCs w:val="20"/>
              </w:rPr>
            </w:pPr>
            <w:r>
              <w:rPr>
                <w:sz w:val="20"/>
                <w:szCs w:val="20"/>
              </w:rPr>
              <w:t>НДС (рубли)</w:t>
            </w:r>
          </w:p>
        </w:tc>
        <w:tc>
          <w:tcPr>
            <w:tcW w:w="1114" w:type="dxa"/>
            <w:tcBorders>
              <w:top w:val="single" w:sz="4" w:space="0" w:color="000000"/>
              <w:left w:val="single" w:sz="4" w:space="0" w:color="000000"/>
              <w:bottom w:val="single" w:sz="4" w:space="0" w:color="000000"/>
              <w:right w:val="single" w:sz="4" w:space="0" w:color="000000"/>
            </w:tcBorders>
          </w:tcPr>
          <w:p>
            <w:pPr>
              <w:pStyle w:val="Style24"/>
              <w:widowControl w:val="false"/>
              <w:ind w:left="0" w:right="0" w:hanging="0"/>
              <w:jc w:val="center"/>
              <w:rPr>
                <w:sz w:val="20"/>
                <w:szCs w:val="20"/>
              </w:rPr>
            </w:pPr>
            <w:r>
              <w:rPr>
                <w:sz w:val="20"/>
                <w:szCs w:val="20"/>
              </w:rPr>
              <w:t>сумма (рубли) с НДС</w:t>
            </w:r>
          </w:p>
        </w:tc>
      </w:tr>
      <w:tr>
        <w:trPr/>
        <w:tc>
          <w:tcPr>
            <w:tcW w:w="540" w:type="dxa"/>
            <w:tcBorders>
              <w:left w:val="single" w:sz="4" w:space="0" w:color="000000"/>
              <w:bottom w:val="single" w:sz="4" w:space="0" w:color="000000"/>
            </w:tcBorders>
          </w:tcPr>
          <w:p>
            <w:pPr>
              <w:pStyle w:val="Style24"/>
              <w:widowControl w:val="false"/>
              <w:rPr>
                <w:sz w:val="20"/>
                <w:szCs w:val="20"/>
              </w:rPr>
            </w:pPr>
            <w:r>
              <w:rPr>
                <w:sz w:val="20"/>
                <w:szCs w:val="20"/>
              </w:rPr>
              <w:t>1</w:t>
            </w:r>
          </w:p>
        </w:tc>
        <w:tc>
          <w:tcPr>
            <w:tcW w:w="2353" w:type="dxa"/>
            <w:tcBorders>
              <w:left w:val="single" w:sz="4" w:space="0" w:color="000000"/>
              <w:bottom w:val="single" w:sz="4" w:space="0" w:color="000000"/>
            </w:tcBorders>
          </w:tcPr>
          <w:p>
            <w:pPr>
              <w:pStyle w:val="Heading1"/>
              <w:keepNext w:val="false"/>
              <w:keepLines w:val="false"/>
              <w:widowControl w:val="false"/>
              <w:numPr>
                <w:ilvl w:val="0"/>
                <w:numId w:val="0"/>
              </w:numPr>
              <w:shd w:val="clear" w:fill="F7F7F7"/>
              <w:tabs>
                <w:tab w:val="clear" w:pos="900"/>
                <w:tab w:val="left" w:pos="1134" w:leader="none"/>
              </w:tabs>
              <w:spacing w:lineRule="atLeast" w:line="12" w:before="0" w:after="384"/>
              <w:ind w:left="0" w:right="0" w:hanging="0"/>
              <w:jc w:val="center"/>
              <w:rPr>
                <w:rFonts w:eastAsia="Microsoft YaHei" w:cs="Times New Roman"/>
                <w:b w:val="false"/>
                <w:bCs/>
                <w:i w:val="false"/>
                <w:i w:val="false"/>
                <w:iCs w:val="false"/>
                <w:caps w:val="false"/>
                <w:smallCaps w:val="false"/>
                <w:strike w:val="false"/>
                <w:dstrike w:val="false"/>
                <w:outline w:val="false"/>
                <w:shadow w:val="false"/>
                <w:color w:val="333333"/>
                <w:spacing w:val="0"/>
                <w:sz w:val="24"/>
                <w:szCs w:val="24"/>
                <w:u w:val="none"/>
                <w:shd w:fill="F7F7F7" w:val="clear"/>
                <w:em w:val="none"/>
              </w:rPr>
            </w:pPr>
            <w:r>
              <w:rPr>
                <w:rFonts w:cs="Times New Roman"/>
                <w:sz w:val="20"/>
                <w:szCs w:val="20"/>
              </w:rPr>
            </w:r>
          </w:p>
        </w:tc>
        <w:tc>
          <w:tcPr>
            <w:tcW w:w="4242" w:type="dxa"/>
            <w:tcBorders>
              <w:left w:val="single" w:sz="4" w:space="0" w:color="000000"/>
              <w:bottom w:val="single" w:sz="4" w:space="0" w:color="000000"/>
            </w:tcBorders>
          </w:tcPr>
          <w:p>
            <w:pPr>
              <w:pStyle w:val="Normal"/>
              <w:keepNext w:val="false"/>
              <w:keepLines w:val="false"/>
              <w:widowControl w:val="false"/>
              <w:shd w:val="clear" w:fill="F7F7F7"/>
              <w:spacing w:lineRule="atLeast" w:line="240"/>
              <w:ind w:left="0" w:right="0" w:hanging="0"/>
              <w:jc w:val="left"/>
              <w:rPr>
                <w:rFonts w:ascii="Times New Roman" w:hAnsi="Times New Roman" w:eastAsia="Helvetica;Arial" w:cs="Times New Roman"/>
                <w:i w:val="false"/>
                <w:i w:val="false"/>
                <w:iCs w:val="false"/>
                <w:caps w:val="false"/>
                <w:smallCaps w:val="false"/>
                <w:color w:val="000000"/>
                <w:spacing w:val="0"/>
                <w:kern w:val="0"/>
                <w:sz w:val="24"/>
                <w:szCs w:val="24"/>
                <w:shd w:fill="F7F7F7" w:val="clear"/>
                <w:lang w:val="en-US" w:eastAsia="zh-CN" w:bidi="ar-SA"/>
              </w:rPr>
            </w:pPr>
            <w:r>
              <w:rPr/>
            </w:r>
          </w:p>
        </w:tc>
        <w:tc>
          <w:tcPr>
            <w:tcW w:w="1479" w:type="dxa"/>
            <w:tcBorders>
              <w:left w:val="single" w:sz="4" w:space="0" w:color="000000"/>
              <w:bottom w:val="single" w:sz="4" w:space="0" w:color="000000"/>
            </w:tcBorders>
          </w:tcPr>
          <w:p>
            <w:pPr>
              <w:pStyle w:val="Style24"/>
              <w:widowControl w:val="false"/>
              <w:rPr>
                <w:sz w:val="20"/>
                <w:szCs w:val="20"/>
              </w:rPr>
            </w:pPr>
            <w:r>
              <w:rPr/>
            </w:r>
          </w:p>
        </w:tc>
        <w:tc>
          <w:tcPr>
            <w:tcW w:w="740"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r>
          </w:p>
        </w:tc>
        <w:tc>
          <w:tcPr>
            <w:tcW w:w="855"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r>
          </w:p>
        </w:tc>
        <w:tc>
          <w:tcPr>
            <w:tcW w:w="1253" w:type="dxa"/>
            <w:tcBorders>
              <w:left w:val="single" w:sz="4" w:space="0" w:color="000000"/>
              <w:bottom w:val="single" w:sz="4" w:space="0" w:color="000000"/>
            </w:tcBorders>
          </w:tcPr>
          <w:p>
            <w:pPr>
              <w:pStyle w:val="Style24"/>
              <w:widowControl w:val="false"/>
              <w:ind w:left="0" w:right="0" w:hanging="0"/>
              <w:jc w:val="center"/>
              <w:rPr>
                <w:sz w:val="20"/>
                <w:szCs w:val="20"/>
              </w:rPr>
            </w:pPr>
            <w:r>
              <w:rPr/>
            </w:r>
          </w:p>
        </w:tc>
        <w:tc>
          <w:tcPr>
            <w:tcW w:w="1078" w:type="dxa"/>
            <w:tcBorders>
              <w:left w:val="single" w:sz="4" w:space="0" w:color="000000"/>
              <w:bottom w:val="single" w:sz="4" w:space="0" w:color="000000"/>
            </w:tcBorders>
          </w:tcPr>
          <w:p>
            <w:pPr>
              <w:pStyle w:val="Style24"/>
              <w:widowControl w:val="false"/>
              <w:ind w:left="0" w:right="0" w:hanging="0"/>
              <w:rPr>
                <w:sz w:val="20"/>
                <w:szCs w:val="20"/>
              </w:rPr>
            </w:pPr>
            <w:r>
              <w:rPr/>
            </w:r>
          </w:p>
        </w:tc>
        <w:tc>
          <w:tcPr>
            <w:tcW w:w="913" w:type="dxa"/>
            <w:tcBorders>
              <w:left w:val="single" w:sz="4" w:space="0" w:color="000000"/>
              <w:bottom w:val="single" w:sz="4" w:space="0" w:color="000000"/>
            </w:tcBorders>
          </w:tcPr>
          <w:p>
            <w:pPr>
              <w:pStyle w:val="Style24"/>
              <w:widowControl w:val="false"/>
              <w:ind w:left="0" w:right="0" w:hanging="0"/>
              <w:rPr>
                <w:sz w:val="20"/>
                <w:szCs w:val="20"/>
              </w:rPr>
            </w:pPr>
            <w:r>
              <w:rPr/>
            </w:r>
          </w:p>
        </w:tc>
        <w:tc>
          <w:tcPr>
            <w:tcW w:w="1114" w:type="dxa"/>
            <w:tcBorders>
              <w:left w:val="single" w:sz="4" w:space="0" w:color="000000"/>
              <w:bottom w:val="single" w:sz="4" w:space="0" w:color="000000"/>
              <w:right w:val="single" w:sz="4" w:space="0" w:color="000000"/>
            </w:tcBorders>
          </w:tcPr>
          <w:p>
            <w:pPr>
              <w:pStyle w:val="Style24"/>
              <w:widowControl w:val="false"/>
              <w:ind w:left="0" w:right="0" w:hanging="0"/>
              <w:rPr>
                <w:sz w:val="20"/>
                <w:szCs w:val="20"/>
              </w:rPr>
            </w:pPr>
            <w:r>
              <w:rPr/>
            </w:r>
          </w:p>
        </w:tc>
      </w:tr>
      <w:tr>
        <w:trPr/>
        <w:tc>
          <w:tcPr>
            <w:tcW w:w="540" w:type="dxa"/>
            <w:tcBorders>
              <w:left w:val="single" w:sz="4" w:space="0" w:color="000000"/>
              <w:bottom w:val="single" w:sz="4" w:space="0" w:color="000000"/>
            </w:tcBorders>
          </w:tcPr>
          <w:p>
            <w:pPr>
              <w:pStyle w:val="Style24"/>
              <w:widowControl w:val="false"/>
              <w:rPr>
                <w:sz w:val="20"/>
                <w:szCs w:val="20"/>
              </w:rPr>
            </w:pPr>
            <w:r>
              <w:rPr>
                <w:sz w:val="20"/>
                <w:szCs w:val="20"/>
              </w:rPr>
            </w:r>
          </w:p>
        </w:tc>
        <w:tc>
          <w:tcPr>
            <w:tcW w:w="2353" w:type="dxa"/>
            <w:tcBorders>
              <w:left w:val="single" w:sz="4" w:space="0" w:color="000000"/>
              <w:bottom w:val="single" w:sz="4" w:space="0" w:color="000000"/>
            </w:tcBorders>
          </w:tcPr>
          <w:p>
            <w:pPr>
              <w:pStyle w:val="Heading1"/>
              <w:keepNext w:val="false"/>
              <w:keepLines w:val="false"/>
              <w:widowControl w:val="false"/>
              <w:numPr>
                <w:ilvl w:val="0"/>
                <w:numId w:val="0"/>
              </w:numPr>
              <w:shd w:val="clear" w:fill="F7F7F7"/>
              <w:tabs>
                <w:tab w:val="clear" w:pos="900"/>
                <w:tab w:val="left" w:pos="1134" w:leader="none"/>
              </w:tabs>
              <w:spacing w:lineRule="atLeast" w:line="12" w:before="0" w:after="384"/>
              <w:ind w:left="0" w:right="0" w:hanging="0"/>
              <w:jc w:val="left"/>
              <w:rPr>
                <w:rFonts w:ascii="Times New Roman" w:hAnsi="Times New Roman" w:eastAsia="Helvetica;Arial" w:cs="Times New Roman"/>
                <w:b w:val="false"/>
                <w:bCs w:val="false"/>
                <w:i w:val="false"/>
                <w:i w:val="false"/>
                <w:iCs w:val="false"/>
                <w:caps w:val="false"/>
                <w:smallCaps w:val="false"/>
                <w:color w:val="333333"/>
                <w:spacing w:val="0"/>
                <w:sz w:val="24"/>
                <w:szCs w:val="24"/>
                <w:shd w:fill="F7F7F7" w:val="clear"/>
              </w:rPr>
            </w:pPr>
            <w:r>
              <w:rPr/>
            </w:r>
          </w:p>
        </w:tc>
        <w:tc>
          <w:tcPr>
            <w:tcW w:w="4242" w:type="dxa"/>
            <w:tcBorders>
              <w:left w:val="single" w:sz="4" w:space="0" w:color="000000"/>
              <w:bottom w:val="single" w:sz="4" w:space="0" w:color="000000"/>
            </w:tcBorders>
          </w:tcPr>
          <w:p>
            <w:pPr>
              <w:pStyle w:val="Normal"/>
              <w:keepNext w:val="false"/>
              <w:keepLines w:val="false"/>
              <w:widowControl w:val="false"/>
              <w:shd w:val="clear" w:fill="F7F7F7"/>
              <w:spacing w:lineRule="atLeast" w:line="240"/>
              <w:ind w:left="0" w:right="0" w:hanging="0"/>
              <w:jc w:val="left"/>
              <w:rPr>
                <w:rFonts w:ascii="Times New Roman" w:hAnsi="Times New Roman" w:eastAsia="Helvetica;Arial" w:cs="Times New Roman"/>
                <w:i w:val="false"/>
                <w:i w:val="false"/>
                <w:iCs w:val="false"/>
                <w:caps w:val="false"/>
                <w:smallCaps w:val="false"/>
                <w:color w:val="000000"/>
                <w:spacing w:val="0"/>
                <w:kern w:val="0"/>
                <w:sz w:val="24"/>
                <w:szCs w:val="24"/>
                <w:shd w:fill="F7F7F7" w:val="clear"/>
                <w:lang w:val="en-US" w:eastAsia="zh-CN" w:bidi="ar-SA"/>
              </w:rPr>
            </w:pPr>
            <w:r>
              <w:rPr/>
            </w:r>
          </w:p>
        </w:tc>
        <w:tc>
          <w:tcPr>
            <w:tcW w:w="1479" w:type="dxa"/>
            <w:tcBorders>
              <w:left w:val="single" w:sz="4" w:space="0" w:color="000000"/>
              <w:bottom w:val="single" w:sz="4" w:space="0" w:color="000000"/>
            </w:tcBorders>
          </w:tcPr>
          <w:p>
            <w:pPr>
              <w:pStyle w:val="Style24"/>
              <w:widowControl w:val="false"/>
              <w:rPr>
                <w:sz w:val="20"/>
                <w:szCs w:val="20"/>
              </w:rPr>
            </w:pPr>
            <w:r>
              <w:rPr/>
            </w:r>
          </w:p>
        </w:tc>
        <w:tc>
          <w:tcPr>
            <w:tcW w:w="740"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r>
          </w:p>
        </w:tc>
        <w:tc>
          <w:tcPr>
            <w:tcW w:w="855"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r>
          </w:p>
        </w:tc>
        <w:tc>
          <w:tcPr>
            <w:tcW w:w="1253" w:type="dxa"/>
            <w:tcBorders>
              <w:left w:val="single" w:sz="4" w:space="0" w:color="000000"/>
              <w:bottom w:val="single" w:sz="4" w:space="0" w:color="000000"/>
            </w:tcBorders>
          </w:tcPr>
          <w:p>
            <w:pPr>
              <w:pStyle w:val="Style24"/>
              <w:widowControl w:val="false"/>
              <w:ind w:left="0" w:right="0" w:hanging="0"/>
              <w:jc w:val="center"/>
              <w:rPr>
                <w:sz w:val="20"/>
                <w:szCs w:val="20"/>
              </w:rPr>
            </w:pPr>
            <w:r>
              <w:rPr/>
            </w:r>
          </w:p>
        </w:tc>
        <w:tc>
          <w:tcPr>
            <w:tcW w:w="1078" w:type="dxa"/>
            <w:tcBorders>
              <w:left w:val="single" w:sz="4" w:space="0" w:color="000000"/>
              <w:bottom w:val="single" w:sz="4" w:space="0" w:color="000000"/>
            </w:tcBorders>
          </w:tcPr>
          <w:p>
            <w:pPr>
              <w:pStyle w:val="Style24"/>
              <w:widowControl w:val="false"/>
              <w:ind w:left="0" w:right="0" w:hanging="0"/>
              <w:jc w:val="center"/>
              <w:rPr>
                <w:sz w:val="20"/>
                <w:szCs w:val="20"/>
              </w:rPr>
            </w:pPr>
            <w:r>
              <w:rPr/>
            </w:r>
          </w:p>
        </w:tc>
        <w:tc>
          <w:tcPr>
            <w:tcW w:w="913" w:type="dxa"/>
            <w:tcBorders>
              <w:left w:val="single" w:sz="4" w:space="0" w:color="000000"/>
              <w:bottom w:val="single" w:sz="4" w:space="0" w:color="000000"/>
            </w:tcBorders>
          </w:tcPr>
          <w:p>
            <w:pPr>
              <w:pStyle w:val="Style24"/>
              <w:widowControl w:val="false"/>
              <w:ind w:left="0" w:right="0" w:hanging="0"/>
              <w:rPr>
                <w:sz w:val="20"/>
                <w:szCs w:val="20"/>
              </w:rPr>
            </w:pPr>
            <w:r>
              <w:rPr/>
            </w:r>
          </w:p>
        </w:tc>
        <w:tc>
          <w:tcPr>
            <w:tcW w:w="1114" w:type="dxa"/>
            <w:tcBorders>
              <w:left w:val="single" w:sz="4" w:space="0" w:color="000000"/>
              <w:bottom w:val="single" w:sz="4" w:space="0" w:color="000000"/>
              <w:right w:val="single" w:sz="4" w:space="0" w:color="000000"/>
            </w:tcBorders>
          </w:tcPr>
          <w:p>
            <w:pPr>
              <w:pStyle w:val="Style24"/>
              <w:widowControl w:val="false"/>
              <w:ind w:left="0" w:right="0" w:hanging="0"/>
              <w:rPr>
                <w:sz w:val="20"/>
                <w:szCs w:val="20"/>
              </w:rPr>
            </w:pPr>
            <w:r>
              <w:rPr/>
            </w:r>
          </w:p>
        </w:tc>
      </w:tr>
      <w:tr>
        <w:trPr/>
        <w:tc>
          <w:tcPr>
            <w:tcW w:w="540" w:type="dxa"/>
            <w:tcBorders>
              <w:left w:val="single" w:sz="4" w:space="0" w:color="000000"/>
              <w:bottom w:val="single" w:sz="4" w:space="0" w:color="000000"/>
            </w:tcBorders>
          </w:tcPr>
          <w:p>
            <w:pPr>
              <w:pStyle w:val="Style24"/>
              <w:widowControl w:val="false"/>
              <w:rPr>
                <w:sz w:val="20"/>
                <w:szCs w:val="20"/>
              </w:rPr>
            </w:pPr>
            <w:r>
              <w:rPr>
                <w:sz w:val="20"/>
                <w:szCs w:val="20"/>
              </w:rPr>
            </w:r>
          </w:p>
        </w:tc>
        <w:tc>
          <w:tcPr>
            <w:tcW w:w="2353" w:type="dxa"/>
            <w:tcBorders>
              <w:left w:val="single" w:sz="4" w:space="0" w:color="000000"/>
              <w:bottom w:val="single" w:sz="4" w:space="0" w:color="000000"/>
            </w:tcBorders>
          </w:tcPr>
          <w:p>
            <w:pPr>
              <w:pStyle w:val="Normal"/>
              <w:widowControl w:val="false"/>
              <w:spacing w:lineRule="auto" w:line="240"/>
              <w:ind w:left="0" w:right="0" w:hanging="0"/>
              <w:jc w:val="left"/>
              <w:rPr>
                <w:rFonts w:ascii="Times New Roman" w:hAnsi="Times New Roman" w:eastAsia="Helvetica;Arial" w:cs="Times New Roman"/>
                <w:i w:val="false"/>
                <w:i w:val="false"/>
                <w:iCs w:val="false"/>
                <w:caps w:val="false"/>
                <w:smallCaps w:val="false"/>
                <w:color w:val="333333"/>
                <w:spacing w:val="0"/>
                <w:sz w:val="24"/>
                <w:szCs w:val="24"/>
                <w:shd w:fill="FFFFFF" w:val="clear"/>
              </w:rPr>
            </w:pPr>
            <w:r>
              <w:rPr/>
            </w:r>
          </w:p>
        </w:tc>
        <w:tc>
          <w:tcPr>
            <w:tcW w:w="4242" w:type="dxa"/>
            <w:tcBorders>
              <w:left w:val="single" w:sz="4" w:space="0" w:color="000000"/>
              <w:bottom w:val="single" w:sz="4" w:space="0" w:color="000000"/>
            </w:tcBorders>
          </w:tcPr>
          <w:p>
            <w:pPr>
              <w:pStyle w:val="Normal"/>
              <w:keepNext w:val="false"/>
              <w:keepLines w:val="false"/>
              <w:widowControl w:val="false"/>
              <w:shd w:val="clear" w:fill="F7F7F7"/>
              <w:spacing w:lineRule="atLeast" w:line="240"/>
              <w:ind w:left="0" w:right="0" w:hanging="0"/>
              <w:jc w:val="left"/>
              <w:rPr>
                <w:rFonts w:ascii="Times New Roman" w:hAnsi="Times New Roman" w:eastAsia="Helvetica;Arial" w:cs="Times New Roman"/>
                <w:i w:val="false"/>
                <w:i w:val="false"/>
                <w:iCs w:val="false"/>
                <w:caps w:val="false"/>
                <w:smallCaps w:val="false"/>
                <w:color w:val="000000"/>
                <w:spacing w:val="0"/>
                <w:kern w:val="0"/>
                <w:sz w:val="24"/>
                <w:szCs w:val="24"/>
                <w:shd w:fill="F7F7F7" w:val="clear"/>
                <w:lang w:val="en-US" w:eastAsia="zh-CN" w:bidi="ar-SA"/>
              </w:rPr>
            </w:pPr>
            <w:r>
              <w:rPr/>
            </w:r>
          </w:p>
        </w:tc>
        <w:tc>
          <w:tcPr>
            <w:tcW w:w="1479" w:type="dxa"/>
            <w:tcBorders>
              <w:left w:val="single" w:sz="4" w:space="0" w:color="000000"/>
              <w:bottom w:val="single" w:sz="4" w:space="0" w:color="000000"/>
            </w:tcBorders>
          </w:tcPr>
          <w:p>
            <w:pPr>
              <w:pStyle w:val="Style24"/>
              <w:widowControl w:val="false"/>
              <w:rPr>
                <w:sz w:val="20"/>
                <w:szCs w:val="20"/>
              </w:rPr>
            </w:pPr>
            <w:r>
              <w:rPr/>
            </w:r>
          </w:p>
        </w:tc>
        <w:tc>
          <w:tcPr>
            <w:tcW w:w="740"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r>
          </w:p>
        </w:tc>
        <w:tc>
          <w:tcPr>
            <w:tcW w:w="855" w:type="dxa"/>
            <w:tcBorders>
              <w:left w:val="single" w:sz="4" w:space="0" w:color="000000"/>
              <w:bottom w:val="single" w:sz="4" w:space="0" w:color="000000"/>
            </w:tcBorders>
          </w:tcPr>
          <w:p>
            <w:pPr>
              <w:pStyle w:val="Style24"/>
              <w:widowControl w:val="false"/>
              <w:suppressLineNumbers/>
              <w:suppressAutoHyphens w:val="true"/>
              <w:bidi w:val="0"/>
              <w:spacing w:lineRule="auto" w:line="360" w:before="0" w:after="0"/>
              <w:ind w:left="57" w:right="0" w:hanging="0"/>
              <w:jc w:val="center"/>
              <w:rPr>
                <w:sz w:val="20"/>
                <w:szCs w:val="20"/>
              </w:rPr>
            </w:pPr>
            <w:r>
              <w:rPr/>
            </w:r>
          </w:p>
        </w:tc>
        <w:tc>
          <w:tcPr>
            <w:tcW w:w="1253" w:type="dxa"/>
            <w:tcBorders>
              <w:left w:val="single" w:sz="4" w:space="0" w:color="000000"/>
              <w:bottom w:val="single" w:sz="4" w:space="0" w:color="000000"/>
            </w:tcBorders>
          </w:tcPr>
          <w:p>
            <w:pPr>
              <w:pStyle w:val="Style24"/>
              <w:widowControl w:val="false"/>
              <w:ind w:left="0" w:right="0" w:hanging="0"/>
              <w:jc w:val="center"/>
              <w:rPr>
                <w:sz w:val="20"/>
                <w:szCs w:val="20"/>
              </w:rPr>
            </w:pPr>
            <w:r>
              <w:rPr/>
            </w:r>
          </w:p>
        </w:tc>
        <w:tc>
          <w:tcPr>
            <w:tcW w:w="1078" w:type="dxa"/>
            <w:tcBorders>
              <w:left w:val="single" w:sz="4" w:space="0" w:color="000000"/>
              <w:bottom w:val="single" w:sz="4" w:space="0" w:color="000000"/>
            </w:tcBorders>
          </w:tcPr>
          <w:p>
            <w:pPr>
              <w:pStyle w:val="Style24"/>
              <w:widowControl w:val="false"/>
              <w:ind w:left="0" w:right="0" w:hanging="0"/>
              <w:jc w:val="center"/>
              <w:rPr>
                <w:sz w:val="20"/>
                <w:szCs w:val="20"/>
              </w:rPr>
            </w:pPr>
            <w:r>
              <w:rPr/>
            </w:r>
          </w:p>
        </w:tc>
        <w:tc>
          <w:tcPr>
            <w:tcW w:w="913" w:type="dxa"/>
            <w:tcBorders>
              <w:left w:val="single" w:sz="4" w:space="0" w:color="000000"/>
              <w:bottom w:val="single" w:sz="4" w:space="0" w:color="000000"/>
            </w:tcBorders>
          </w:tcPr>
          <w:p>
            <w:pPr>
              <w:pStyle w:val="Style24"/>
              <w:widowControl w:val="false"/>
              <w:ind w:left="0" w:right="0" w:hanging="0"/>
              <w:rPr>
                <w:sz w:val="20"/>
                <w:szCs w:val="20"/>
              </w:rPr>
            </w:pPr>
            <w:r>
              <w:rPr/>
            </w:r>
          </w:p>
        </w:tc>
        <w:tc>
          <w:tcPr>
            <w:tcW w:w="1114" w:type="dxa"/>
            <w:tcBorders>
              <w:left w:val="single" w:sz="4" w:space="0" w:color="000000"/>
              <w:bottom w:val="single" w:sz="4" w:space="0" w:color="000000"/>
              <w:right w:val="single" w:sz="4" w:space="0" w:color="000000"/>
            </w:tcBorders>
          </w:tcPr>
          <w:p>
            <w:pPr>
              <w:pStyle w:val="Style24"/>
              <w:widowControl w:val="false"/>
              <w:ind w:left="0" w:right="0" w:hanging="0"/>
              <w:rPr>
                <w:sz w:val="20"/>
                <w:szCs w:val="20"/>
              </w:rPr>
            </w:pPr>
            <w:r>
              <w:rPr/>
            </w:r>
          </w:p>
        </w:tc>
      </w:tr>
      <w:tr>
        <w:trPr/>
        <w:tc>
          <w:tcPr>
            <w:tcW w:w="11462" w:type="dxa"/>
            <w:gridSpan w:val="7"/>
            <w:tcBorders>
              <w:left w:val="single" w:sz="4" w:space="0" w:color="000000"/>
              <w:bottom w:val="single" w:sz="4" w:space="0" w:color="000000"/>
            </w:tcBorders>
          </w:tcPr>
          <w:p>
            <w:pPr>
              <w:pStyle w:val="Style24"/>
              <w:widowControl w:val="false"/>
              <w:jc w:val="right"/>
              <w:rPr>
                <w:b/>
                <w:bCs/>
                <w:sz w:val="20"/>
                <w:szCs w:val="20"/>
              </w:rPr>
            </w:pPr>
            <w:r>
              <w:rPr>
                <w:b/>
                <w:bCs/>
                <w:sz w:val="20"/>
                <w:szCs w:val="20"/>
              </w:rPr>
              <w:t>ИТОГО:</w:t>
            </w:r>
          </w:p>
        </w:tc>
        <w:tc>
          <w:tcPr>
            <w:tcW w:w="1078" w:type="dxa"/>
            <w:tcBorders>
              <w:left w:val="single" w:sz="4" w:space="0" w:color="000000"/>
              <w:bottom w:val="single" w:sz="4" w:space="0" w:color="000000"/>
            </w:tcBorders>
          </w:tcPr>
          <w:p>
            <w:pPr>
              <w:pStyle w:val="Style24"/>
              <w:widowControl w:val="false"/>
              <w:ind w:left="0" w:right="0" w:hanging="0"/>
              <w:jc w:val="center"/>
              <w:rPr>
                <w:b/>
                <w:bCs/>
                <w:sz w:val="20"/>
                <w:szCs w:val="20"/>
              </w:rPr>
            </w:pPr>
            <w:r>
              <w:rPr/>
            </w:r>
          </w:p>
        </w:tc>
        <w:tc>
          <w:tcPr>
            <w:tcW w:w="913" w:type="dxa"/>
            <w:tcBorders>
              <w:left w:val="single" w:sz="4" w:space="0" w:color="000000"/>
              <w:bottom w:val="single" w:sz="4" w:space="0" w:color="000000"/>
            </w:tcBorders>
          </w:tcPr>
          <w:p>
            <w:pPr>
              <w:pStyle w:val="Style24"/>
              <w:widowControl w:val="false"/>
              <w:ind w:left="0" w:right="0" w:hanging="0"/>
              <w:rPr>
                <w:b/>
                <w:bCs/>
                <w:sz w:val="20"/>
                <w:szCs w:val="20"/>
              </w:rPr>
            </w:pPr>
            <w:r>
              <w:rPr/>
            </w:r>
          </w:p>
        </w:tc>
        <w:tc>
          <w:tcPr>
            <w:tcW w:w="1114" w:type="dxa"/>
            <w:tcBorders>
              <w:left w:val="single" w:sz="4" w:space="0" w:color="000000"/>
              <w:bottom w:val="single" w:sz="4" w:space="0" w:color="000000"/>
              <w:right w:val="single" w:sz="4" w:space="0" w:color="000000"/>
            </w:tcBorders>
          </w:tcPr>
          <w:p>
            <w:pPr>
              <w:pStyle w:val="Style24"/>
              <w:widowControl w:val="false"/>
              <w:ind w:left="0" w:right="0" w:hanging="0"/>
              <w:rPr>
                <w:b/>
                <w:bCs/>
                <w:sz w:val="20"/>
                <w:szCs w:val="20"/>
              </w:rPr>
            </w:pPr>
            <w:r>
              <w:rPr/>
            </w:r>
          </w:p>
        </w:tc>
      </w:tr>
    </w:tbl>
    <w:p>
      <w:pPr>
        <w:pStyle w:val="Normal"/>
        <w:numPr>
          <w:ilvl w:val="0"/>
          <w:numId w:val="0"/>
        </w:numPr>
        <w:ind w:left="0" w:right="0" w:hanging="0"/>
        <w:jc w:val="center"/>
        <w:outlineLvl w:val="0"/>
        <w:rPr>
          <w:sz w:val="26"/>
          <w:szCs w:val="26"/>
        </w:rPr>
      </w:pPr>
      <w:r>
        <w:rPr/>
      </w:r>
    </w:p>
    <w:p>
      <w:pPr>
        <w:pStyle w:val="Normal"/>
        <w:numPr>
          <w:ilvl w:val="0"/>
          <w:numId w:val="0"/>
        </w:numPr>
        <w:ind w:left="0" w:right="0" w:hanging="0"/>
        <w:jc w:val="center"/>
        <w:outlineLvl w:val="0"/>
        <w:rPr>
          <w:sz w:val="26"/>
          <w:szCs w:val="26"/>
        </w:rPr>
      </w:pPr>
      <w:r>
        <w:rPr>
          <w:b/>
          <w:bCs/>
          <w:sz w:val="24"/>
          <w:szCs w:val="24"/>
        </w:rPr>
        <w:t>ПОДПИСИ СТОРОН:</w:t>
      </w:r>
    </w:p>
    <w:tbl>
      <w:tblPr>
        <w:tblW w:w="9814" w:type="dxa"/>
        <w:jc w:val="left"/>
        <w:tblInd w:w="-68" w:type="dxa"/>
        <w:tblLayout w:type="fixed"/>
        <w:tblCellMar>
          <w:top w:w="0" w:type="dxa"/>
          <w:left w:w="108" w:type="dxa"/>
          <w:bottom w:w="0" w:type="dxa"/>
          <w:right w:w="108" w:type="dxa"/>
        </w:tblCellMar>
      </w:tblPr>
      <w:tblGrid>
        <w:gridCol w:w="4995"/>
        <w:gridCol w:w="4818"/>
      </w:tblGrid>
      <w:tr>
        <w:trPr/>
        <w:tc>
          <w:tcPr>
            <w:tcW w:w="4995" w:type="dxa"/>
            <w:tcBorders/>
          </w:tcPr>
          <w:p>
            <w:pPr>
              <w:pStyle w:val="Normal"/>
              <w:widowControl w:val="false"/>
              <w:spacing w:lineRule="auto" w:line="240"/>
              <w:ind w:left="0" w:right="0" w:hanging="0"/>
              <w:jc w:val="left"/>
              <w:rPr>
                <w:sz w:val="24"/>
                <w:szCs w:val="24"/>
              </w:rPr>
            </w:pPr>
            <w:r>
              <w:rPr>
                <w:sz w:val="24"/>
                <w:szCs w:val="24"/>
              </w:rPr>
              <w:t>Генерал</w:t>
            </w:r>
          </w:p>
        </w:tc>
        <w:tc>
          <w:tcPr>
            <w:tcW w:w="4818" w:type="dxa"/>
            <w:tcBorders/>
          </w:tcPr>
          <w:p>
            <w:pPr>
              <w:pStyle w:val="Normal"/>
              <w:widowControl w:val="false"/>
              <w:tabs>
                <w:tab w:val="clear" w:pos="708"/>
                <w:tab w:val="left" w:pos="4530" w:leader="none"/>
              </w:tabs>
              <w:spacing w:lineRule="auto" w:line="240"/>
              <w:ind w:left="0" w:right="849" w:hanging="0"/>
              <w:jc w:val="left"/>
              <w:rPr>
                <w:sz w:val="26"/>
                <w:szCs w:val="26"/>
              </w:rPr>
            </w:pPr>
            <w:r>
              <w:rPr>
                <w:sz w:val="26"/>
                <w:szCs w:val="26"/>
                <w:lang w:val="en-US"/>
              </w:rPr>
              <w:t>Директор</w:t>
            </w:r>
            <w:r>
              <w:rPr>
                <w:sz w:val="26"/>
                <w:szCs w:val="26"/>
              </w:rPr>
              <w:t xml:space="preserve">  филиала</w:t>
            </w:r>
          </w:p>
          <w:p>
            <w:pPr>
              <w:pStyle w:val="Normal"/>
              <w:widowControl w:val="false"/>
              <w:tabs>
                <w:tab w:val="clear" w:pos="708"/>
                <w:tab w:val="left" w:pos="4530" w:leader="none"/>
              </w:tabs>
              <w:spacing w:lineRule="auto" w:line="240"/>
              <w:ind w:left="0" w:right="849" w:hanging="0"/>
              <w:rPr>
                <w:sz w:val="26"/>
                <w:szCs w:val="26"/>
              </w:rPr>
            </w:pPr>
            <w:r>
              <w:rPr>
                <w:sz w:val="26"/>
                <w:szCs w:val="26"/>
              </w:rPr>
              <w:t>ПАО «РусГидро» - «Зейская ГЭС»</w:t>
            </w:r>
          </w:p>
          <w:p>
            <w:pPr>
              <w:pStyle w:val="Normal"/>
              <w:widowControl w:val="false"/>
              <w:tabs>
                <w:tab w:val="clear" w:pos="708"/>
                <w:tab w:val="left" w:pos="4530" w:leader="none"/>
              </w:tabs>
              <w:spacing w:lineRule="auto" w:line="240"/>
              <w:ind w:left="0" w:right="0" w:hanging="0"/>
              <w:rPr>
                <w:sz w:val="26"/>
                <w:szCs w:val="26"/>
                <w:lang w:val="en-US"/>
              </w:rPr>
            </w:pPr>
            <w:r>
              <w:rPr>
                <w:sz w:val="26"/>
                <w:szCs w:val="26"/>
                <w:lang w:val="en-US"/>
              </w:rPr>
            </w:r>
          </w:p>
          <w:p>
            <w:pPr>
              <w:pStyle w:val="Normal"/>
              <w:widowControl w:val="false"/>
              <w:tabs>
                <w:tab w:val="clear" w:pos="708"/>
                <w:tab w:val="left" w:pos="4530" w:leader="none"/>
              </w:tabs>
              <w:spacing w:lineRule="auto" w:line="240"/>
              <w:ind w:left="0" w:right="0" w:hanging="0"/>
              <w:rPr>
                <w:sz w:val="26"/>
                <w:szCs w:val="26"/>
                <w:lang w:val="en-US"/>
              </w:rPr>
            </w:pPr>
            <w:r>
              <w:rPr>
                <w:sz w:val="26"/>
                <w:szCs w:val="26"/>
                <w:lang w:val="en-US"/>
              </w:rPr>
              <w:t>_____________М.А. Сухомесов</w:t>
            </w:r>
          </w:p>
        </w:tc>
      </w:tr>
    </w:tbl>
    <w:p>
      <w:pPr>
        <w:pStyle w:val="Normal"/>
        <w:suppressAutoHyphens w:val="true"/>
        <w:ind w:left="0" w:right="0" w:firstLine="4820"/>
        <w:rPr>
          <w:sz w:val="26"/>
          <w:szCs w:val="26"/>
        </w:rPr>
      </w:pPr>
      <w:r>
        <w:rPr/>
      </w:r>
    </w:p>
    <w:sectPr>
      <w:headerReference w:type="default" r:id="rId6"/>
      <w:headerReference w:type="first" r:id="rId7"/>
      <w:footnotePr>
        <w:numFmt w:val="decimal"/>
      </w:footnotePr>
      <w:type w:val="nextPage"/>
      <w:pgSz w:orient="landscape" w:w="16838" w:h="11906"/>
      <w:pgMar w:left="1134" w:right="1134" w:gutter="0" w:header="0" w:top="1134" w:footer="0" w:bottom="1134"/>
      <w:pgNumType w:start="1"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mbria">
    <w:charset w:val="01"/>
    <w:family w:val="roman"/>
    <w:pitch w:val="variable"/>
  </w:font>
  <w:font w:name="Calibri">
    <w:charset w:val="01"/>
    <w:family w:val="roman"/>
    <w:pitch w:val="variable"/>
  </w:font>
  <w:font w:name="Symbol">
    <w:charset w:val="01"/>
    <w:family w:val="roman"/>
    <w:pitch w:val="variable"/>
  </w:font>
  <w:font w:name="Courier New">
    <w:charset w:val="01"/>
    <w:family w:val="roman"/>
    <w:pitch w:val="variable"/>
  </w:font>
  <w:font w:name="Wingdings">
    <w:charset w:val="01"/>
    <w:family w:val="roman"/>
    <w:pitch w:val="variable"/>
  </w:font>
  <w:font w:name="Tahoma">
    <w:charset w:val="01"/>
    <w:family w:val="roman"/>
    <w:pitch w:val="variable"/>
  </w:font>
  <w:font w:name="Verdana">
    <w:charset w:val="01"/>
    <w:family w:val="roman"/>
    <w:pitch w:val="variable"/>
  </w:font>
  <w:font w:name="Arial">
    <w:charset w:val="01"/>
    <w:family w:val="roman"/>
    <w:pitch w:val="variable"/>
  </w:font>
  <w:font w:name="Symbol">
    <w:charset w:val="02"/>
    <w:family w:val="auto"/>
    <w:pitch w:val="default"/>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widowControl w:val="false"/>
        <w:suppressAutoHyphens w:val="true"/>
        <w:bidi w:val="0"/>
        <w:spacing w:lineRule="auto" w:line="240" w:before="0" w:after="0"/>
        <w:ind w:left="0" w:right="1701" w:hanging="0"/>
        <w:jc w:val="left"/>
        <w:rPr/>
      </w:pPr>
      <w:r>
        <w:rPr>
          <w:rStyle w:val="Style12"/>
        </w:rPr>
        <w:footnoteRef/>
      </w:r>
      <w:r>
        <w:rPr/>
        <w:t>Заполняется на основании заявки участника закупки</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18</w:t>
    </w:r>
    <w:r>
      <w:rPr/>
      <w:fldChar w:fldCharType="end"/>
    </w:r>
  </w:p>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pPr>
    <w:r>
      <w:rPr/>
      <w:fldChar w:fldCharType="begin"/>
    </w:r>
    <w:r>
      <w:rPr/>
      <w:instrText xml:space="preserve"> PAGE </w:instrText>
    </w:r>
    <w:r>
      <w:rPr/>
      <w:fldChar w:fldCharType="separate"/>
    </w:r>
    <w:r>
      <w:rPr/>
      <w:t>19</w:t>
    </w:r>
    <w:r>
      <w:rPr/>
      <w:fldChar w:fldCharType="end"/>
    </w:r>
  </w:p>
  <w:p>
    <w:pPr>
      <w:pStyle w:val="Header"/>
      <w:jc w:val="cent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4">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6">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7">
    <w:lvl w:ilvl="0">
      <w:start w:val="1"/>
      <w:numFmt w:val="bullet"/>
      <w:lvlText w:val=""/>
      <w:lvlJc w:val="left"/>
      <w:pPr>
        <w:tabs>
          <w:tab w:val="num" w:pos="0"/>
        </w:tabs>
        <w:ind w:left="1429" w:hanging="360"/>
      </w:pPr>
      <w:rPr>
        <w:rFonts w:ascii="Symbol" w:hAnsi="Symbol" w:cs="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8">
    <w:lvl w:ilvl="0">
      <w:start w:val="1"/>
      <w:numFmt w:val="decimal"/>
      <w:lvlText w:val="%1."/>
      <w:lvlJc w:val="left"/>
      <w:pPr>
        <w:tabs>
          <w:tab w:val="num" w:pos="0"/>
        </w:tabs>
        <w:ind w:left="927" w:hanging="360"/>
      </w:pPr>
      <w:rPr/>
    </w:lvl>
    <w:lvl w:ilvl="1">
      <w:start w:val="1"/>
      <w:numFmt w:val="lowerLetter"/>
      <w:lvlText w:val="%2."/>
      <w:lvlJc w:val="left"/>
      <w:pPr>
        <w:tabs>
          <w:tab w:val="num" w:pos="0"/>
        </w:tabs>
        <w:ind w:left="1647" w:hanging="360"/>
      </w:pPr>
      <w:rPr/>
    </w:lvl>
    <w:lvl w:ilvl="2">
      <w:start w:val="1"/>
      <w:numFmt w:val="lowerRoman"/>
      <w:lvlText w:val="%3."/>
      <w:lvlJc w:val="right"/>
      <w:pPr>
        <w:tabs>
          <w:tab w:val="num" w:pos="0"/>
        </w:tabs>
        <w:ind w:left="2367" w:hanging="180"/>
      </w:pPr>
      <w:rPr/>
    </w:lvl>
    <w:lvl w:ilvl="3">
      <w:start w:val="1"/>
      <w:numFmt w:val="decimal"/>
      <w:lvlText w:val="%4."/>
      <w:lvlJc w:val="left"/>
      <w:pPr>
        <w:tabs>
          <w:tab w:val="num" w:pos="0"/>
        </w:tabs>
        <w:ind w:left="3087" w:hanging="360"/>
      </w:pPr>
      <w:rPr/>
    </w:lvl>
    <w:lvl w:ilvl="4">
      <w:start w:val="1"/>
      <w:numFmt w:val="lowerLetter"/>
      <w:lvlText w:val="%5."/>
      <w:lvlJc w:val="left"/>
      <w:pPr>
        <w:tabs>
          <w:tab w:val="num" w:pos="0"/>
        </w:tabs>
        <w:ind w:left="3807" w:hanging="360"/>
      </w:pPr>
      <w:rPr/>
    </w:lvl>
    <w:lvl w:ilvl="5">
      <w:start w:val="1"/>
      <w:numFmt w:val="lowerRoman"/>
      <w:lvlText w:val="%6."/>
      <w:lvlJc w:val="right"/>
      <w:pPr>
        <w:tabs>
          <w:tab w:val="num" w:pos="0"/>
        </w:tabs>
        <w:ind w:left="4527" w:hanging="180"/>
      </w:pPr>
      <w:rPr/>
    </w:lvl>
    <w:lvl w:ilvl="6">
      <w:start w:val="1"/>
      <w:numFmt w:val="decimal"/>
      <w:lvlText w:val="%7."/>
      <w:lvlJc w:val="left"/>
      <w:pPr>
        <w:tabs>
          <w:tab w:val="num" w:pos="0"/>
        </w:tabs>
        <w:ind w:left="5247" w:hanging="360"/>
      </w:pPr>
      <w:rPr/>
    </w:lvl>
    <w:lvl w:ilvl="7">
      <w:start w:val="1"/>
      <w:numFmt w:val="lowerLetter"/>
      <w:lvlText w:val="%8."/>
      <w:lvlJc w:val="left"/>
      <w:pPr>
        <w:tabs>
          <w:tab w:val="num" w:pos="0"/>
        </w:tabs>
        <w:ind w:left="5967" w:hanging="360"/>
      </w:pPr>
      <w:rPr/>
    </w:lvl>
    <w:lvl w:ilvl="8">
      <w:start w:val="1"/>
      <w:numFmt w:val="lowerRoman"/>
      <w:lvlText w:val="%9."/>
      <w:lvlJc w:val="right"/>
      <w:pPr>
        <w:tabs>
          <w:tab w:val="num" w:pos="0"/>
        </w:tabs>
        <w:ind w:left="6687"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360" w:before="0" w:after="0"/>
      <w:ind w:left="0" w:right="0" w:firstLine="567"/>
      <w:jc w:val="both"/>
    </w:pPr>
    <w:rPr>
      <w:rFonts w:ascii="Times New Roman" w:hAnsi="Times New Roman" w:eastAsia="Times New Roman" w:cs="Times New Roman"/>
      <w:color w:val="auto"/>
      <w:kern w:val="0"/>
      <w:sz w:val="28"/>
      <w:szCs w:val="20"/>
      <w:lang w:val="ru-RU" w:eastAsia="zh-CN" w:bidi="ar-SA"/>
    </w:rPr>
  </w:style>
  <w:style w:type="paragraph" w:styleId="Heading1">
    <w:name w:val="Heading 1"/>
    <w:basedOn w:val="Normal"/>
    <w:next w:val="Normal"/>
    <w:qFormat/>
    <w:pPr>
      <w:keepNext w:val="true"/>
      <w:numPr>
        <w:ilvl w:val="0"/>
        <w:numId w:val="2"/>
      </w:numPr>
      <w:tabs>
        <w:tab w:val="clear" w:pos="708"/>
        <w:tab w:val="left" w:pos="900" w:leader="none"/>
      </w:tabs>
      <w:spacing w:lineRule="auto" w:line="240"/>
      <w:ind w:left="0" w:right="0" w:hanging="0"/>
      <w:outlineLvl w:val="0"/>
    </w:pPr>
    <w:rPr>
      <w:color w:val="000000"/>
      <w:szCs w:val="24"/>
    </w:rPr>
  </w:style>
  <w:style w:type="paragraph" w:styleId="Heading3">
    <w:name w:val="Heading 3"/>
    <w:basedOn w:val="Normal"/>
    <w:next w:val="Normal"/>
    <w:qFormat/>
    <w:pPr>
      <w:keepNext w:val="true"/>
      <w:numPr>
        <w:ilvl w:val="2"/>
        <w:numId w:val="2"/>
      </w:numPr>
      <w:spacing w:before="240" w:after="60"/>
      <w:outlineLvl w:val="2"/>
    </w:pPr>
    <w:rPr>
      <w:rFonts w:ascii="Cambria" w:hAnsi="Cambria" w:eastAsia="Times New Roman" w:cs="Times New Roman"/>
      <w:b/>
      <w:bCs/>
      <w:sz w:val="26"/>
      <w:szCs w:val="26"/>
    </w:rPr>
  </w:style>
  <w:style w:type="paragraph" w:styleId="Heading4">
    <w:name w:val="Heading 4"/>
    <w:basedOn w:val="Normal"/>
    <w:next w:val="Normal"/>
    <w:qFormat/>
    <w:pPr>
      <w:keepNext w:val="true"/>
      <w:numPr>
        <w:ilvl w:val="3"/>
        <w:numId w:val="2"/>
      </w:numPr>
      <w:spacing w:before="240" w:after="60"/>
      <w:outlineLvl w:val="3"/>
    </w:pPr>
    <w:rPr>
      <w:rFonts w:ascii="Calibri" w:hAnsi="Calibri" w:eastAsia="Times New Roman" w:cs="Times New Roman"/>
      <w:b/>
      <w:bCs/>
      <w:szCs w:val="28"/>
    </w:rPr>
  </w:style>
  <w:style w:type="paragraph" w:styleId="Heading5">
    <w:name w:val="Heading 5"/>
    <w:basedOn w:val="Normal"/>
    <w:next w:val="Normal"/>
    <w:qFormat/>
    <w:pPr>
      <w:numPr>
        <w:ilvl w:val="4"/>
        <w:numId w:val="2"/>
      </w:numPr>
      <w:spacing w:lineRule="auto" w:line="240" w:before="240" w:after="60"/>
      <w:ind w:left="0" w:right="0" w:hanging="0"/>
      <w:jc w:val="left"/>
      <w:outlineLvl w:val="4"/>
    </w:pPr>
    <w:rPr>
      <w:b/>
      <w:bCs/>
      <w:i/>
      <w:iCs/>
      <w:sz w:val="26"/>
      <w:szCs w:val="26"/>
    </w:rPr>
  </w:style>
  <w:style w:type="character" w:styleId="WW8Num2z0">
    <w:name w:val="WW8Num2z0"/>
    <w:qFormat/>
    <w:rPr>
      <w:rFonts w:ascii="Symbol" w:hAnsi="Symbol" w:cs="Symbol"/>
    </w:rPr>
  </w:style>
  <w:style w:type="character" w:styleId="WW8Num3z0">
    <w:name w:val="WW8Num3z0"/>
    <w:qFormat/>
    <w:rPr>
      <w:rFonts w:ascii="Symbol" w:hAnsi="Symbol" w:cs="Symbol"/>
    </w:rPr>
  </w:style>
  <w:style w:type="character" w:styleId="WW8Num4z0">
    <w:name w:val="WW8Num4z0"/>
    <w:qFormat/>
    <w:rPr>
      <w:rFonts w:ascii="Symbol" w:hAnsi="Symbol" w:cs="Symbol"/>
    </w:rPr>
  </w:style>
  <w:style w:type="character" w:styleId="WW8Num5z0">
    <w:name w:val="WW8Num5z0"/>
    <w:qFormat/>
    <w:rPr>
      <w:rFonts w:ascii="Times New Roman" w:hAnsi="Times New Roman" w:cs="Times New Roman"/>
    </w:rPr>
  </w:style>
  <w:style w:type="character" w:styleId="WW8Num6z0">
    <w:name w:val="WW8Num6z0"/>
    <w:qFormat/>
    <w:rPr>
      <w:rFonts w:ascii="Symbol" w:hAnsi="Symbol" w:cs="Symbol"/>
    </w:rPr>
  </w:style>
  <w:style w:type="character" w:styleId="WW8Num7z0">
    <w:name w:val="WW8Num7z0"/>
    <w:qFormat/>
    <w:rPr/>
  </w:style>
  <w:style w:type="character" w:styleId="WW8Num8z0">
    <w:name w:val="WW8Num8z0"/>
    <w:qFormat/>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4z1">
    <w:name w:val="WW8Num4z1"/>
    <w:qFormat/>
    <w:rPr>
      <w:rFonts w:ascii="Times New Roman" w:hAnsi="Times New Roman" w:cs="Times New Roman"/>
      <w:sz w:val="28"/>
      <w:szCs w:val="28"/>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5z3">
    <w:name w:val="WW8Num5z3"/>
    <w:qFormat/>
    <w:rPr>
      <w:rFonts w:ascii="Symbol" w:hAnsi="Symbol" w:cs="Symbol"/>
    </w:rPr>
  </w:style>
  <w:style w:type="character" w:styleId="WW8Num9z0">
    <w:name w:val="WW8Num9z0"/>
    <w:qFormat/>
    <w:rPr>
      <w:rFonts w:ascii="Symbol" w:hAnsi="Symbol" w:cs="Symbol"/>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10z0">
    <w:name w:val="WW8Num10z0"/>
    <w:qFormat/>
    <w:rPr/>
  </w:style>
  <w:style w:type="character" w:styleId="WW8Num12z0">
    <w:name w:val="WW8Num12z0"/>
    <w:qFormat/>
    <w:rPr/>
  </w:style>
  <w:style w:type="character" w:styleId="WW8Num13z0">
    <w:name w:val="WW8Num13z0"/>
    <w:qFormat/>
    <w:rPr/>
  </w:style>
  <w:style w:type="character" w:styleId="WW8Num14z0">
    <w:name w:val="WW8Num14z0"/>
    <w:qFormat/>
    <w:rPr>
      <w:rFonts w:ascii="Symbol" w:hAnsi="Symbol" w:cs="Symbol"/>
    </w:rPr>
  </w:style>
  <w:style w:type="character" w:styleId="WW8Num14z1">
    <w:name w:val="WW8Num14z1"/>
    <w:qFormat/>
    <w:rPr>
      <w:rFonts w:ascii="Courier New" w:hAnsi="Courier New" w:cs="Courier New"/>
    </w:rPr>
  </w:style>
  <w:style w:type="character" w:styleId="WW8Num14z2">
    <w:name w:val="WW8Num14z2"/>
    <w:qFormat/>
    <w:rPr>
      <w:rFonts w:ascii="Wingdings" w:hAnsi="Wingdings" w:cs="Wingdings"/>
    </w:rPr>
  </w:style>
  <w:style w:type="character" w:styleId="WW8Num15z0">
    <w:name w:val="WW8Num15z0"/>
    <w:qFormat/>
    <w:rPr/>
  </w:style>
  <w:style w:type="character" w:styleId="WW8Num16z0">
    <w:name w:val="WW8Num16z0"/>
    <w:qFormat/>
    <w:rPr/>
  </w:style>
  <w:style w:type="character" w:styleId="WW8Num16z1">
    <w:name w:val="WW8Num16z1"/>
    <w:qFormat/>
    <w:rPr>
      <w:b w:val="false"/>
    </w:rPr>
  </w:style>
  <w:style w:type="character" w:styleId="WW8Num17z0">
    <w:name w:val="WW8Num17z0"/>
    <w:qFormat/>
    <w:rPr>
      <w:rFonts w:ascii="Symbol" w:hAnsi="Symbol" w:cs="Symbol"/>
      <w:color w:val="000000"/>
    </w:rPr>
  </w:style>
  <w:style w:type="character" w:styleId="WW8Num18z0">
    <w:name w:val="WW8Num18z0"/>
    <w:qFormat/>
    <w:rPr/>
  </w:style>
  <w:style w:type="character" w:styleId="WW8Num19z0">
    <w:name w:val="WW8Num19z0"/>
    <w:qFormat/>
    <w:rPr>
      <w:rFonts w:ascii="Symbol" w:hAnsi="Symbol" w:cs="Symbol"/>
    </w:rPr>
  </w:style>
  <w:style w:type="character" w:styleId="WW8Num19z1">
    <w:name w:val="WW8Num19z1"/>
    <w:qFormat/>
    <w:rPr>
      <w:rFonts w:ascii="Courier New" w:hAnsi="Courier New" w:cs="Courier New"/>
    </w:rPr>
  </w:style>
  <w:style w:type="character" w:styleId="WW8Num19z2">
    <w:name w:val="WW8Num19z2"/>
    <w:qFormat/>
    <w:rPr>
      <w:rFonts w:ascii="Wingdings" w:hAnsi="Wingdings" w:cs="Wingdings"/>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b w:val="false"/>
    </w:rPr>
  </w:style>
  <w:style w:type="character" w:styleId="WW8Num22z0">
    <w:name w:val="WW8Num22z0"/>
    <w:qFormat/>
    <w:rPr>
      <w:rFonts w:ascii="Times New Roman" w:hAnsi="Times New Roman" w:cs="Times New Roman"/>
    </w:rPr>
  </w:style>
  <w:style w:type="character" w:styleId="WW8Num22z1">
    <w:name w:val="WW8Num22z1"/>
    <w:qFormat/>
    <w:rPr>
      <w:rFonts w:ascii="Courier New" w:hAnsi="Courier New" w:cs="Courier New"/>
    </w:rPr>
  </w:style>
  <w:style w:type="character" w:styleId="WW8Num22z2">
    <w:name w:val="WW8Num22z2"/>
    <w:qFormat/>
    <w:rPr>
      <w:rFonts w:ascii="Wingdings" w:hAnsi="Wingdings" w:cs="Wingdings"/>
    </w:rPr>
  </w:style>
  <w:style w:type="character" w:styleId="WW8Num22z3">
    <w:name w:val="WW8Num22z3"/>
    <w:qFormat/>
    <w:rPr>
      <w:rFonts w:ascii="Symbol" w:hAnsi="Symbol" w:cs="Symbol"/>
    </w:rPr>
  </w:style>
  <w:style w:type="character" w:styleId="WW8Num23z0">
    <w:name w:val="WW8Num23z0"/>
    <w:qFormat/>
    <w:rPr/>
  </w:style>
  <w:style w:type="character" w:styleId="WW8Num24z0">
    <w:name w:val="WW8Num24z0"/>
    <w:qFormat/>
    <w:rPr/>
  </w:style>
  <w:style w:type="character" w:styleId="WW8Num24z1">
    <w:name w:val="WW8Num24z1"/>
    <w:qFormat/>
    <w:rPr>
      <w:b w:val="false"/>
      <w:sz w:val="28"/>
      <w:szCs w:val="28"/>
    </w:rPr>
  </w:style>
  <w:style w:type="character" w:styleId="WW8Num25z0">
    <w:name w:val="WW8Num25z0"/>
    <w:qFormat/>
    <w:rPr/>
  </w:style>
  <w:style w:type="character" w:styleId="WW8Num26z0">
    <w:name w:val="WW8Num26z0"/>
    <w:qFormat/>
    <w:rPr>
      <w:rFonts w:ascii="Symbol" w:hAnsi="Symbol" w:cs="Symbol"/>
    </w:rPr>
  </w:style>
  <w:style w:type="character" w:styleId="WW8Num26z1">
    <w:name w:val="WW8Num26z1"/>
    <w:qFormat/>
    <w:rPr>
      <w:rFonts w:ascii="Courier New" w:hAnsi="Courier New" w:cs="Courier New"/>
    </w:rPr>
  </w:style>
  <w:style w:type="character" w:styleId="WW8Num26z2">
    <w:name w:val="WW8Num26z2"/>
    <w:qFormat/>
    <w:rPr>
      <w:rFonts w:ascii="Wingdings" w:hAnsi="Wingdings" w:cs="Wingdings"/>
    </w:rPr>
  </w:style>
  <w:style w:type="character" w:styleId="WW8Num27z0">
    <w:name w:val="WW8Num27z0"/>
    <w:qFormat/>
    <w:rPr/>
  </w:style>
  <w:style w:type="character" w:styleId="WW8Num28z0">
    <w:name w:val="WW8Num28z0"/>
    <w:qFormat/>
    <w:rPr/>
  </w:style>
  <w:style w:type="character" w:styleId="WW8Num29z0">
    <w:name w:val="WW8Num29z0"/>
    <w:qFormat/>
    <w:rPr/>
  </w:style>
  <w:style w:type="character" w:styleId="WW8Num30z0">
    <w:name w:val="WW8Num30z0"/>
    <w:qFormat/>
    <w:rPr>
      <w:color w:val="000000"/>
    </w:rPr>
  </w:style>
  <w:style w:type="character" w:styleId="WW8Num31z0">
    <w:name w:val="WW8Num31z0"/>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Times New Roman" w:hAnsi="Times New Roman" w:eastAsia="Times New Roman" w:cs="Times New Roman"/>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3z3">
    <w:name w:val="WW8Num33z3"/>
    <w:qFormat/>
    <w:rPr>
      <w:rFonts w:ascii="Symbol" w:hAnsi="Symbol" w:cs="Symbol"/>
    </w:rPr>
  </w:style>
  <w:style w:type="character" w:styleId="Style5">
    <w:name w:val="Основной шрифт абзаца"/>
    <w:qFormat/>
    <w:rPr/>
  </w:style>
  <w:style w:type="character" w:styleId="Style6">
    <w:name w:val="комментарий"/>
    <w:qFormat/>
    <w:rPr>
      <w:b/>
      <w:i/>
      <w:shd w:fill="FFFF99" w:val="clear"/>
    </w:rPr>
  </w:style>
  <w:style w:type="character" w:styleId="Style7">
    <w:name w:val="Текст выноски Знак"/>
    <w:qFormat/>
    <w:rPr>
      <w:rFonts w:ascii="Tahoma" w:hAnsi="Tahoma" w:cs="Tahoma"/>
      <w:sz w:val="16"/>
      <w:szCs w:val="16"/>
    </w:rPr>
  </w:style>
  <w:style w:type="character" w:styleId="4">
    <w:name w:val="Заголовок 4 Знак"/>
    <w:qFormat/>
    <w:rPr>
      <w:rFonts w:ascii="Calibri" w:hAnsi="Calibri" w:eastAsia="Times New Roman" w:cs="Times New Roman"/>
      <w:b/>
      <w:bCs/>
      <w:sz w:val="28"/>
      <w:szCs w:val="28"/>
    </w:rPr>
  </w:style>
  <w:style w:type="character" w:styleId="Style8">
    <w:name w:val="Основной текст Знак"/>
    <w:qFormat/>
    <w:rPr>
      <w:sz w:val="28"/>
      <w:szCs w:val="28"/>
    </w:rPr>
  </w:style>
  <w:style w:type="character" w:styleId="Hyperlink">
    <w:name w:val="Hyperlink"/>
    <w:rPr>
      <w:color w:val="0000FF"/>
      <w:u w:val="single"/>
    </w:rPr>
  </w:style>
  <w:style w:type="character" w:styleId="5">
    <w:name w:val="Заголовок 5 Знак"/>
    <w:qFormat/>
    <w:rPr>
      <w:b/>
      <w:bCs/>
      <w:i/>
      <w:iCs/>
      <w:sz w:val="26"/>
      <w:szCs w:val="26"/>
    </w:rPr>
  </w:style>
  <w:style w:type="character" w:styleId="Style9">
    <w:name w:val="Нижний колонтитул Знак"/>
    <w:qFormat/>
    <w:rPr>
      <w:sz w:val="28"/>
    </w:rPr>
  </w:style>
  <w:style w:type="character" w:styleId="Style10">
    <w:name w:val="Верхний колонтитул Знак"/>
    <w:qFormat/>
    <w:rPr>
      <w:sz w:val="24"/>
      <w:szCs w:val="24"/>
    </w:rPr>
  </w:style>
  <w:style w:type="character" w:styleId="3">
    <w:name w:val="Заголовок 3 Знак"/>
    <w:qFormat/>
    <w:rPr>
      <w:rFonts w:ascii="Cambria" w:hAnsi="Cambria" w:eastAsia="Times New Roman" w:cs="Times New Roman"/>
      <w:b/>
      <w:bCs/>
      <w:sz w:val="26"/>
      <w:szCs w:val="26"/>
    </w:rPr>
  </w:style>
  <w:style w:type="character" w:styleId="Style11">
    <w:name w:val="Текст сноски Знак"/>
    <w:basedOn w:val="Style5"/>
    <w:qFormat/>
    <w:rPr/>
  </w:style>
  <w:style w:type="character" w:styleId="Style12">
    <w:name w:val="Символ сноски"/>
    <w:qFormat/>
    <w:rPr>
      <w:vertAlign w:val="superscript"/>
    </w:rPr>
  </w:style>
  <w:style w:type="character" w:styleId="FootnoteReference">
    <w:name w:val="Footnote Reference"/>
    <w:rPr>
      <w:vertAlign w:val="superscript"/>
    </w:rPr>
  </w:style>
  <w:style w:type="character" w:styleId="EndnoteReference">
    <w:name w:val="Endnote Reference"/>
    <w:rPr>
      <w:vertAlign w:val="superscript"/>
    </w:rPr>
  </w:style>
  <w:style w:type="character" w:styleId="Style13">
    <w:name w:val="Символ концевой сноски"/>
    <w:qFormat/>
    <w:rPr/>
  </w:style>
  <w:style w:type="paragraph" w:styleId="Style14">
    <w:name w:val="Заголовок"/>
    <w:basedOn w:val="Normal"/>
    <w:next w:val="BodyText"/>
    <w:qFormat/>
    <w:pPr>
      <w:spacing w:lineRule="auto" w:line="240"/>
      <w:ind w:left="0" w:right="0" w:hanging="0"/>
      <w:jc w:val="center"/>
    </w:pPr>
    <w:rPr/>
  </w:style>
  <w:style w:type="paragraph" w:styleId="BodyText">
    <w:name w:val="Body Text"/>
    <w:basedOn w:val="Normal"/>
    <w:pPr>
      <w:spacing w:lineRule="auto" w:line="240" w:before="0" w:after="120"/>
      <w:ind w:left="0" w:right="0" w:hanging="0"/>
      <w:jc w:val="left"/>
    </w:pPr>
    <w:rPr>
      <w:szCs w:val="28"/>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5">
    <w:name w:val="Указатель"/>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Caption11">
    <w:name w:val="Caption11"/>
    <w:basedOn w:val="Normal"/>
    <w:qFormat/>
    <w:pPr>
      <w:suppressLineNumbers/>
      <w:spacing w:before="120" w:after="120"/>
    </w:pPr>
    <w:rPr>
      <w:rFonts w:cs="Arial Unicode MS"/>
      <w:i/>
      <w:iCs/>
      <w:sz w:val="24"/>
      <w:szCs w:val="24"/>
    </w:rPr>
  </w:style>
  <w:style w:type="paragraph" w:styleId="Caption111">
    <w:name w:val="Caption111"/>
    <w:basedOn w:val="Normal"/>
    <w:qFormat/>
    <w:pPr>
      <w:suppressLineNumbers/>
      <w:spacing w:before="120" w:after="120"/>
    </w:pPr>
    <w:rPr>
      <w:rFonts w:cs="Arial Unicode MS"/>
      <w:i/>
      <w:iCs/>
      <w:sz w:val="24"/>
      <w:szCs w:val="24"/>
    </w:rPr>
  </w:style>
  <w:style w:type="paragraph" w:styleId="Caption1111">
    <w:name w:val="Caption1111"/>
    <w:basedOn w:val="Normal"/>
    <w:qFormat/>
    <w:pPr>
      <w:suppressLineNumbers/>
      <w:spacing w:before="120" w:after="120"/>
    </w:pPr>
    <w:rPr>
      <w:rFonts w:cs="Arial Unicode MS"/>
      <w:i/>
      <w:iCs/>
      <w:sz w:val="24"/>
      <w:szCs w:val="24"/>
    </w:rPr>
  </w:style>
  <w:style w:type="paragraph" w:styleId="Style16">
    <w:name w:val="Нумерованный список"/>
    <w:basedOn w:val="Normal"/>
    <w:qFormat/>
    <w:pPr>
      <w:spacing w:before="60" w:after="0"/>
      <w:ind w:left="0" w:right="0" w:hanging="0"/>
    </w:pPr>
    <w:rPr>
      <w:szCs w:val="24"/>
    </w:rPr>
  </w:style>
  <w:style w:type="paragraph" w:styleId="Style17">
    <w:name w:val="Колонтитул"/>
    <w:basedOn w:val="Normal"/>
    <w:qFormat/>
    <w:pPr>
      <w:suppressLineNumbers/>
      <w:tabs>
        <w:tab w:val="clear" w:pos="708"/>
        <w:tab w:val="center" w:pos="4819" w:leader="none"/>
        <w:tab w:val="right" w:pos="9638" w:leader="none"/>
      </w:tabs>
    </w:pPr>
    <w:rPr/>
  </w:style>
  <w:style w:type="paragraph" w:styleId="Header">
    <w:name w:val="Header"/>
    <w:basedOn w:val="Normal"/>
    <w:pPr>
      <w:tabs>
        <w:tab w:val="clear" w:pos="708"/>
        <w:tab w:val="center" w:pos="4677" w:leader="none"/>
        <w:tab w:val="right" w:pos="9355" w:leader="none"/>
      </w:tabs>
      <w:spacing w:lineRule="auto" w:line="240"/>
      <w:ind w:left="0" w:right="0" w:hanging="0"/>
      <w:jc w:val="left"/>
    </w:pPr>
    <w:rPr>
      <w:sz w:val="24"/>
      <w:szCs w:val="24"/>
    </w:rPr>
  </w:style>
  <w:style w:type="paragraph" w:styleId="BodyTextIndent">
    <w:name w:val="Body Text Indent"/>
    <w:basedOn w:val="Normal"/>
    <w:pPr>
      <w:spacing w:lineRule="auto" w:line="240" w:before="0" w:after="120"/>
      <w:ind w:left="283" w:right="0" w:hanging="0"/>
      <w:jc w:val="left"/>
    </w:pPr>
    <w:rPr>
      <w:szCs w:val="28"/>
    </w:rPr>
  </w:style>
  <w:style w:type="paragraph" w:styleId="1">
    <w:name w:val="Обычный1"/>
    <w:qFormat/>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zh-CN" w:bidi="ar-SA"/>
    </w:rPr>
  </w:style>
  <w:style w:type="paragraph" w:styleId="Style18">
    <w:name w:val="Таблица шапка"/>
    <w:basedOn w:val="Normal"/>
    <w:qFormat/>
    <w:pPr>
      <w:keepNext w:val="true"/>
      <w:spacing w:lineRule="auto" w:line="240" w:before="40" w:after="40"/>
      <w:ind w:left="57" w:right="57" w:hanging="0"/>
      <w:jc w:val="left"/>
    </w:pPr>
    <w:rPr>
      <w:sz w:val="22"/>
    </w:rPr>
  </w:style>
  <w:style w:type="paragraph" w:styleId="2">
    <w:name w:val=" Знак2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Style19">
    <w:name w:val="Пункт договора"/>
    <w:basedOn w:val="Normal"/>
    <w:qFormat/>
    <w:pPr>
      <w:widowControl w:val="false"/>
      <w:spacing w:lineRule="auto" w:line="240"/>
      <w:ind w:left="0" w:right="0" w:hanging="0"/>
    </w:pPr>
    <w:rPr>
      <w:rFonts w:ascii="Arial" w:hAnsi="Arial" w:cs="Arial"/>
      <w:sz w:val="20"/>
    </w:rPr>
  </w:style>
  <w:style w:type="paragraph" w:styleId="21">
    <w:name w:val=" Знак2 Знак Знак Знак Знак Знак Знак Знак Знак Знак Знак Знак Знак Знак Знак Знак Знак Знак Знак Знак Знак1 Знак Знак Знак"/>
    <w:basedOn w:val="Normal"/>
    <w:qFormat/>
    <w:pPr>
      <w:spacing w:lineRule="exact" w:line="240" w:before="0" w:after="160"/>
      <w:ind w:left="0" w:right="0" w:hanging="0"/>
      <w:jc w:val="left"/>
    </w:pPr>
    <w:rPr>
      <w:rFonts w:ascii="Verdana" w:hAnsi="Verdana" w:cs="Verdana"/>
      <w:sz w:val="20"/>
      <w:lang w:val="en-US"/>
    </w:rPr>
  </w:style>
  <w:style w:type="paragraph" w:styleId="211">
    <w:name w:val="Основной текст 21"/>
    <w:basedOn w:val="Normal"/>
    <w:qFormat/>
    <w:pPr>
      <w:suppressAutoHyphens w:val="true"/>
      <w:spacing w:lineRule="auto" w:line="240"/>
      <w:ind w:left="0" w:right="0" w:hanging="0"/>
      <w:jc w:val="right"/>
    </w:pPr>
    <w:rPr>
      <w:i/>
      <w:sz w:val="26"/>
    </w:rPr>
  </w:style>
  <w:style w:type="paragraph" w:styleId="-">
    <w:name w:val="Контракт-пункт"/>
    <w:basedOn w:val="Normal"/>
    <w:qFormat/>
    <w:pPr>
      <w:tabs>
        <w:tab w:val="clear" w:pos="708"/>
        <w:tab w:val="left" w:pos="851" w:leader="none"/>
      </w:tabs>
      <w:ind w:left="851" w:right="0" w:hanging="851"/>
    </w:pPr>
    <w:rPr>
      <w:rFonts w:eastAsia="Calibri"/>
      <w:szCs w:val="28"/>
    </w:rPr>
  </w:style>
  <w:style w:type="paragraph" w:styleId="ConsNormal">
    <w:name w:val="ConsNormal"/>
    <w:qFormat/>
    <w:pPr>
      <w:widowControl/>
      <w:suppressAutoHyphens w:val="true"/>
      <w:bidi w:val="0"/>
      <w:spacing w:before="0" w:after="0"/>
      <w:ind w:left="0" w:right="19772" w:firstLine="720"/>
      <w:jc w:val="left"/>
    </w:pPr>
    <w:rPr>
      <w:rFonts w:ascii="Arial" w:hAnsi="Arial" w:eastAsia="Times New Roman" w:cs="Arial"/>
      <w:color w:val="auto"/>
      <w:kern w:val="0"/>
      <w:sz w:val="32"/>
      <w:szCs w:val="20"/>
      <w:lang w:val="ru-RU" w:eastAsia="zh-CN" w:bidi="ar-SA"/>
    </w:rPr>
  </w:style>
  <w:style w:type="paragraph" w:styleId="Style20">
    <w:name w:val="Абзац списка"/>
    <w:basedOn w:val="Normal"/>
    <w:qFormat/>
    <w:pPr>
      <w:widowControl w:val="false"/>
      <w:spacing w:lineRule="auto" w:line="240" w:before="0" w:after="0"/>
      <w:ind w:left="720" w:right="0" w:hanging="0"/>
      <w:contextualSpacing/>
      <w:jc w:val="left"/>
    </w:pPr>
    <w:rPr>
      <w:sz w:val="20"/>
    </w:rPr>
  </w:style>
  <w:style w:type="paragraph" w:styleId="Style21">
    <w:name w:val="Текст выноски"/>
    <w:basedOn w:val="Normal"/>
    <w:qFormat/>
    <w:pPr>
      <w:spacing w:lineRule="auto" w:line="240"/>
    </w:pPr>
    <w:rPr>
      <w:rFonts w:ascii="Tahoma" w:hAnsi="Tahoma" w:cs="Tahoma"/>
      <w:sz w:val="16"/>
      <w:szCs w:val="16"/>
    </w:rPr>
  </w:style>
  <w:style w:type="paragraph" w:styleId="Footer">
    <w:name w:val="Footer"/>
    <w:basedOn w:val="Normal"/>
    <w:pPr>
      <w:tabs>
        <w:tab w:val="clear" w:pos="708"/>
        <w:tab w:val="center" w:pos="4677" w:leader="none"/>
        <w:tab w:val="right" w:pos="9355" w:leader="none"/>
      </w:tabs>
    </w:pPr>
    <w:rPr/>
  </w:style>
  <w:style w:type="paragraph" w:styleId="FootnoteText">
    <w:name w:val="Footnote Text"/>
    <w:basedOn w:val="Normal"/>
    <w:pPr>
      <w:widowControl w:val="false"/>
      <w:spacing w:lineRule="auto" w:line="240"/>
      <w:ind w:left="0" w:right="0" w:hanging="0"/>
      <w:jc w:val="left"/>
    </w:pPr>
    <w:rPr>
      <w:sz w:val="20"/>
    </w:rPr>
  </w:style>
  <w:style w:type="paragraph" w:styleId="Style22">
    <w:name w:val=" 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23">
    <w:name w:val="Знак Знак Знак Знак Знак Знак Знак Знак Знак"/>
    <w:basedOn w:val="Normal"/>
    <w:qFormat/>
    <w:pPr>
      <w:spacing w:lineRule="exact" w:line="240" w:before="0" w:after="160"/>
      <w:ind w:left="0" w:right="0" w:hanging="0"/>
    </w:pPr>
    <w:rPr>
      <w:rFonts w:ascii="Verdana" w:hAnsi="Verdana" w:cs="Verdana"/>
      <w:sz w:val="22"/>
      <w:lang w:val="en-US"/>
    </w:rPr>
  </w:style>
  <w:style w:type="paragraph" w:styleId="Style24">
    <w:name w:val="Содержимое таблицы"/>
    <w:basedOn w:val="Normal"/>
    <w:qFormat/>
    <w:pPr>
      <w:widowControl w:val="false"/>
      <w:suppressLineNumbers/>
    </w:pPr>
    <w:rPr/>
  </w:style>
  <w:style w:type="paragraph" w:styleId="Style25">
    <w:name w:val="Заголовок таблицы"/>
    <w:basedOn w:val="Style24"/>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rushydro.ru/"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header" Target="header5.xml"/><Relationship Id="rId8" Type="http://schemas.openxmlformats.org/officeDocument/2006/relationships/footnotes" Target="footnotes.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Normal_x005F_x0000_</Template>
  <TotalTime>837</TotalTime>
  <Application>AlterOffice/3.4.0.9$Linux_X86_64 LibreOffice_project/b8daf9e823b1a5463a2f48435ddc2e8696e7d4fc</Application>
  <AppVersion>15.0000</AppVersion>
  <Pages>21</Pages>
  <Words>6223</Words>
  <Characters>43663</Characters>
  <CharactersWithSpaces>49829</CharactersWithSpaces>
  <Paragraphs>272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2025-08-13T10:13:00Z</dcterms:created>
  <dc:creator>GuzarKI</dc:creator>
  <dc:description/>
  <dc:language>ru-RU</dc:language>
  <cp:lastModifiedBy>klepikovasv@corp.gidroogk.com</cp:lastModifiedBy>
  <cp:lastPrinted>2019-01-28T11:27:00Z</cp:lastPrinted>
  <dcterms:modified xsi:type="dcterms:W3CDTF">2026-08-13T11:23:52Z</dcterms:modified>
  <cp:revision>24</cp:revision>
  <dc:subject/>
  <dc:title>СУЩЕСТВЕННЫЕ УСЛОВИЯ ДОГОВОРА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ies>
</file>