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  <w:iCs/>
        </w:rPr>
        <w:t>ОКПД2: 86.90.15 Оказание услуг по проведению химико-токсикологических исследований в п. Талакан и п. Новобурейский для нужд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9921" w:leader="dot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1.3. Существующее положение……………………………………………………………………………………………...3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</w:r>
          </w:hyperlink>
          <w:r>
            <w:rPr/>
            <w:t xml:space="preserve"> </w:t>
          </w:r>
          <w:hyperlink w:anchor="__RefHeading___Toc1062_2924392234">
            <w:r>
              <w:rPr>
                <w:rStyle w:val="Style14"/>
              </w:rPr>
              <w:t>Наименование услуг/этапа услуг: ОКПД2: 86.90.15 Оказание услуг по проведению химико-токсикологических исследований в п. Талакан и п. Новобурейский для нужд Дальневосточного филиала АО "ТК РусГидро"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54643694"/>
      <w:bookmarkStart w:id="2" w:name="_Toc135150390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54643696"/>
      <w:bookmarkStart w:id="5" w:name="_Toc135150391"/>
      <w:bookmarkStart w:id="6" w:name="_Toc4674350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ОКПД2: 86.90.15 Оказание услуг по проведению химико-токсикологических исследований в п. Талакан и п. Новобурейский для нужд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не менее двух раз в год в очной форме химико-токсикологических исследований наличия (отсутствия) в организме человека наркотических средств, психотропных веществ и их метаболитов. 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135150395"/>
      <w:bookmarkStart w:id="13" w:name="_Toc129097754"/>
      <w:bookmarkStart w:id="14" w:name="_Toc54643699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ОКПД2: 86.90.15 Оказание услуг по проведению химико-токсикологических исследований в п. Талакан и п. Новобурейский для нужд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Проведение осмотров осуществляется в   </w:t>
            </w:r>
            <w:r>
              <w:rPr>
                <w:iCs/>
                <w:sz w:val="24"/>
                <w:szCs w:val="24"/>
                <w:lang w:val="ru-RU"/>
              </w:rPr>
              <w:t>п. Новобурейский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4643702"/>
      <w:bookmarkStart w:id="17" w:name="_Toc135150396"/>
      <w:bookmarkStart w:id="18" w:name="_Toc51339693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135150397"/>
      <w:bookmarkStart w:id="21" w:name="_Toc54643703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54643704"/>
      <w:bookmarkStart w:id="24" w:name="_Toc135150398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135150399"/>
      <w:bookmarkStart w:id="27" w:name="_Toc54643705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2"/>
        <w:gridCol w:w="4854"/>
        <w:gridCol w:w="1997"/>
        <w:gridCol w:w="2116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Химико-токсикологические исследования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  <w:lang w:val="ru-RU"/>
              </w:rPr>
              <w:t>52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54643706"/>
      <w:bookmarkStart w:id="31" w:name="_Toc135150400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54643707"/>
      <w:bookmarkStart w:id="35" w:name="_Toc135150401"/>
      <w:bookmarkStart w:id="36" w:name="_Toc51339697"/>
      <w:bookmarkStart w:id="37" w:name="_Toc5012512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ОКПД2: 86.90.15 Оказание услуг по проведению химико-токсикологических исследований в п. Талакан и п. Новобурейский для нужд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31.12.2027 г.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54643708"/>
      <w:bookmarkStart w:id="45" w:name="_Toc135150402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ОКПД2: 86.90.15 Оказание услуг по проведению химико-токсикологических исследований в п. Талакан и п. Новобурейский для нужд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В соответствии с п. 11 Приказа Минздрава России от 30.05.2023 N 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исследований": При проведении предсменных, предрейсовых, послесменных, послерейсовых медицинских осмотров, медицинских осмотров в течение рабочего дня (смены) с использованием медицинских изделий, в отношении работника, индивидуального предпринимателя и физического лица, указанных в пункте 3 настоящего Порядка, не менее двух раз в год проводятся в очной форме химико-токсикологические исследования наличия (отсутствия) в организме человека наркотических средств, психотропных веществ и их метаболитов.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0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-117" w:hanging="0"/>
              <w:contextualSpacing/>
              <w:rPr>
                <w:rFonts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 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1.1.1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осмотров осуществляется в </w:t>
            </w:r>
            <w:r>
              <w:rPr>
                <w:sz w:val="24"/>
                <w:szCs w:val="24"/>
                <w:shd w:fill="auto" w:val="clear"/>
              </w:rPr>
              <w:t>п. Новобурейский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  <w:lang w:val="ru-RU"/>
              </w:rPr>
              <w:t>Проведение не менее двух раз в год в очной форме химико-токсикологических исследований наличия (отсутствия) в организме человека наркотических средств, психотропных веществ и их метаболитов.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отобранных проб биологических объектов проводятся в месте отбора биологической пробы, в клинико-диагностических или химико-токсикологических лабораториях наркологических диспансеров (наркологических больниц) или иных медицинских организаций, имеющих лицензии на осуществление медицинской деятельности, предусматривающей выполнение работ (услуг) по клинической лабораторной диагностике или судебно-медицинской экспертизе 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пробы биологического объекта при медицинском освидетельствовании в обязательном порядке проводятся на следующие химические вещества, включая их производные, метаболиты и аналоги: опиаты, растительные и синтетические каннабиноиды, фенилалкиламины (амфетамин, метамфетамин), синтетические катиноны, кокаин, метадон, бензодиазепины, барбитураты, этанол и его суррогаты.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Оборудование, применяемое для проведения медицинского осмотра должно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val="ru-RU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приборы, оборудование и материалы для оказания услуг, должны быть сертифицированы для применения на территории РФ, своевременно проходить все необходимые поверки, и применяться в соответствии с инструкцией по эксплуатации.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bCs/>
                <w:color w:val="202124"/>
                <w:sz w:val="24"/>
                <w:szCs w:val="24"/>
                <w:shd w:fill="FFFFFF" w:val="clear"/>
                <w:lang w:val="ru-RU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должны проводятся медицинскими организациями любой формы собственности, имеющих лицензию на осуществление медицинской деятельности, с привлечением медицинского работника, прошедшего специальное обучение (врач, фельдшер, медицинская сестра)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При получении по результатам подтверждающих исследований пробы биологического объекта (мочи, крови) отрицательного результата выносится заключение об отсутствии в исследованной пробе биологического объекта (моче, крови) вызывающих опьянение средств (веществ).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При обнаружении в ходе подтверждающих исследований в пробе биологического объекта (мочи, крови) наркотических средств, психотропных веществ, новых потенциально опасных психоактивных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или аналогов указанных средств и веществ выносится заключение об обнаружении в биологическом объекте (моче, крови) вызывающих опьянение средств (веществ) с указанием выявленного средства (вещества).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119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лаборатории обеспечивается хранение проб биологических объектов (мочи, крови) в течение трех месяцев с момента проведения подтверждающих химико-токсикологических исследований, а полученных масс-спектров на электронных носителях - в течение пяти лет.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color w:val="000000"/>
                <w:spacing w:val="7"/>
                <w:sz w:val="24"/>
                <w:szCs w:val="24"/>
                <w:lang w:val="ru-RU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Услуги по проведению химико-токсикологических исследований должны быть безопасны и должны исключать возможность причинения вреда здоровью работникам Заказчика.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Результаты химико-токсикологических исследований отражаются в справке о результатах химико-токсикологических исследований (учетная форма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454/у-06), которая оформляется по форме и в порядке, утвержденным приказом Министерства здравоохранения и социального развития Российской Федерации от 27 января 2006 г.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7544), и представляется в медицинскую организацию, направившую в лабораторию пробу биологического объекта (мочи, крови).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желанию освидетельствуемого в организации, проводившей медицинское освидетельствование, ему выдается копия справки о результатах химико-токсикологических исследований.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проводить химико-токсикологические исследования для водителей транспортных средств Заказчика в соответствии с обязательными требованиями и правилами, установленными действующим законодательством в РФ.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предусмотренных законодательством РФ за качество проведенного исследования и выдачу заключения о допуске водителей к управлению транспортным средством.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/>
      </w:pPr>
      <w:bookmarkStart w:id="51" w:name="__RefHeading___Toc5450_315841478"/>
      <w:bookmarkStart w:id="52" w:name="_Toc135150404"/>
      <w:bookmarkStart w:id="53" w:name="_Toc54643710"/>
      <w:bookmarkStart w:id="54" w:name="_Toc53395937"/>
      <w:bookmarkStart w:id="55" w:name="_Toc53393312"/>
      <w:bookmarkEnd w:id="51"/>
      <w:r>
        <w:rPr>
          <w:sz w:val="28"/>
          <w:szCs w:val="28"/>
        </w:rPr>
        <w:t>Требования к документации по ценообразованию</w:t>
      </w:r>
      <w:bookmarkEnd w:id="54"/>
      <w:bookmarkEnd w:id="55"/>
      <w:r>
        <w:rPr>
          <w:sz w:val="28"/>
          <w:szCs w:val="28"/>
        </w:rPr>
        <w:t xml:space="preserve"> на этапе </w:t>
      </w:r>
      <w:bookmarkEnd w:id="52"/>
      <w:bookmarkEnd w:id="53"/>
      <w:r>
        <w:rPr>
          <w:sz w:val="28"/>
          <w:szCs w:val="28"/>
        </w:rPr>
        <w:t>заключения (исполнения) договора.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3.1. Стоимость за единицу услуги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snapToGrid w:val="false"/>
        <w:jc w:val="both"/>
        <w:rPr/>
      </w:pPr>
      <w:r>
        <w:rPr/>
      </w:r>
      <w:bookmarkStart w:id="56" w:name="_Ref40301253"/>
      <w:bookmarkStart w:id="57" w:name="_Ref40301253"/>
      <w:bookmarkEnd w:id="57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Application>AlterOffice/3.4.0.9$Linux_X86_64 LibreOffice_project/b8daf9e823b1a5463a2f48435ddc2e8696e7d4fc</Application>
  <AppVersion>15.0000</AppVersion>
  <Pages>9</Pages>
  <Words>1312</Words>
  <Characters>9639</Characters>
  <CharactersWithSpaces>10825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2026-05-14T09:16:32Z</cp:lastPrinted>
  <dcterms:modified xsi:type="dcterms:W3CDTF">2026-08-13T15:16:41Z</dcterms:modified>
  <cp:revision>179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