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  <w:iCs/>
        </w:rPr>
        <w:t>ОКПД2: 86.90.15 Оказание услуг по проведению химико-токсикологических исследований в г. Хабаровск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/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</w:r>
          </w:hyperlink>
          <w:r>
            <w:rPr/>
            <w:t xml:space="preserve"> </w:t>
          </w:r>
          <w:hyperlink w:anchor="__RefHeading___Toc1062_2924392234">
            <w:r>
              <w:rPr>
                <w:rStyle w:val="Style14"/>
              </w:rPr>
              <w:t>Наименование услуг/этапа услуг: ОКПД2: 86.90.15 Оказание услуг по проведению химико-токсикологических исследований в г. Хабаровск для нужд Дальневосточного филиала АО "ТК РусГидро"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135150390"/>
      <w:bookmarkStart w:id="2" w:name="_Toc54643694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46743506"/>
      <w:bookmarkStart w:id="5" w:name="_Toc135150391"/>
      <w:bookmarkStart w:id="6" w:name="_Toc5464369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ОКПД2: 86.90.15 Оказание услуг по проведению химико-токсикологических исследований в г. Хабаровск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 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54643699"/>
      <w:bookmarkStart w:id="13" w:name="_Toc129097754"/>
      <w:bookmarkStart w:id="14" w:name="_Toc135150395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г. Хабаровск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Проведение осмотров осуществляется в   г. Хабарвоск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1339693"/>
      <w:bookmarkStart w:id="17" w:name="_Toc135150396"/>
      <w:bookmarkStart w:id="18" w:name="_Toc54643702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54643703"/>
      <w:bookmarkStart w:id="21" w:name="_Toc135150397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135150398"/>
      <w:bookmarkStart w:id="24" w:name="_Toc54643704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54643705"/>
      <w:bookmarkStart w:id="27" w:name="_Toc135150399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3"/>
        <w:gridCol w:w="4853"/>
        <w:gridCol w:w="1997"/>
        <w:gridCol w:w="2116"/>
      </w:tblGrid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Химико-токсикологические исследования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  <w:lang w:val="ru-RU"/>
              </w:rPr>
              <w:t>164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135150400"/>
      <w:bookmarkStart w:id="31" w:name="_Toc54643706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135150401"/>
      <w:bookmarkStart w:id="35" w:name="_Toc54643707"/>
      <w:bookmarkStart w:id="36" w:name="_Toc50125127"/>
      <w:bookmarkStart w:id="37" w:name="_Toc5133969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г. Хабаровск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01.06.202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135150402"/>
      <w:bookmarkStart w:id="45" w:name="_Toc54643708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ОКПД2: 86.90.15 Оказание услуг по проведению химико-токсикологических исследований в г. Хабаровск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В соответствии с п. 11 Приказа Минздрава России от 30.05.2023 N 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исследований": При проведении предсменных, предрейсовых, послесменных, послерейсовых медицинских осмотров, медицинских осмотров в течение рабочего дня (смены) с использованием медицинских изделий, в отношении работника, индивидуального предпринимателя и физического лица, указанных в пункте 3 настоящего Порядка, не менее двух раз в год проводятся в очной форме химико-токсикологические исследования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0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-117" w:hanging="0"/>
              <w:contextualSpacing/>
              <w:rPr>
                <w:rFonts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1.1.1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Проведение осмотров осуществляется в г. Хабаровск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  <w:lang w:val="ru-RU"/>
              </w:rPr>
              <w:t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отобранных проб биологических объектов проводятся в месте отбора биологической пробы, в клинико-диагностических или химико-токсикологических лабораториях наркологических диспансеров (наркологических больниц) или иных медицинских организаций, имеющих лицензии на осуществление медицинской деятельности, предусматривающей выполнение работ (услуг) по клинической лабораторной диагностике или 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пробы биологического объекта при медицинском освидетельствовании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Оборудование, применяемое для проведения медицинского осмотра должно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приборы, оборудование и материалы для оказания услуг, должны быть сертифицированы для применения на территории РФ, своевременно проходить все необходимые поверки, и применяться в соответствии с инструкцией по эксплуатации.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bCs/>
                <w:color w:val="202124"/>
                <w:sz w:val="24"/>
                <w:szCs w:val="24"/>
                <w:shd w:fill="FFFFFF" w:val="clear"/>
                <w:lang w:val="ru-RU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должны проводятся медицинскими организациями любой формы собственности, имеющих лицензию на осуществление медицинской деятельности, с привлечением медицинского работника, прошедшего специальное обучение (врач, фельдшер, медицинская сестра)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получении по результатам подтверждающих исследований пробы биологического объекта (мочи, крови) отрицательного результата выносится заключение об отсутствии в исследованной пробе биологического объекта (моче, крови) вызывающих опьянение средств (веществ).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обнаружении в ходе подтверждающих исследований в пробе биологического объекта (мочи, крови) наркотических средств, психотропных веществ,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или аналогов указанных средств и веществ выносится заключение об обнаружении в биологическом объекте (моче, крови) вызывающих опьянение средств (веществ) с указанием выявленного средства (вещества).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119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лаборатории обеспечивается хранение проб биологических объектов (мочи, крови) в течение трех месяцев с момента проведения подтверждающих химико-токсикологических исследований, а полученных масс-спектров на электронных носителях - в течение пяти лет.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color w:val="000000"/>
                <w:spacing w:val="7"/>
                <w:sz w:val="24"/>
                <w:szCs w:val="24"/>
                <w:lang w:val="ru-RU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Услуги по проведению химико-токсикологических исследований должны быть безопасны и должны исключать возможность причинения вреда здоровью работникам Заказчика.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Результаты химико-токсикологических исследований отражаются в справке о результатах химико-токсикологических исследований (учетная форма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454/у-06), которая оформляется по форме и в порядке, утвержденным приказом Министерства здравоохранения и социального развития Российской Федерации от 27 января 2006 г.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7544), и представляется в медицинскую организацию, направившую в лабораторию пробу биологического объекта (мочи, крови).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желанию освидетельствуемого в организации, проводившей медицинское освидетельствование, ему выдается копия справки о результатах химико-токсикологических исследований.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проводить химико-токсикологические исследования для водителей транспортных средств Заказчика в соответствии с обязательными требованиями и правилами, установленными действующим законодательством в РФ.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предусмотренных законодательством РФ за качество проведенного исследования и выдачу заключения о допуске водителей к управлению транспортным средством.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/>
      </w:pPr>
      <w:bookmarkStart w:id="51" w:name="__RefHeading___Toc5450_315841478"/>
      <w:bookmarkStart w:id="52" w:name="_Toc54643710"/>
      <w:bookmarkStart w:id="53" w:name="_Toc135150404"/>
      <w:bookmarkStart w:id="54" w:name="_Toc53393312"/>
      <w:bookmarkStart w:id="55" w:name="_Toc53395937"/>
      <w:bookmarkEnd w:id="51"/>
      <w:r>
        <w:rPr>
          <w:sz w:val="28"/>
          <w:szCs w:val="28"/>
        </w:rPr>
        <w:t>Требования к документации по ценообразованию</w:t>
      </w:r>
      <w:bookmarkEnd w:id="54"/>
      <w:bookmarkEnd w:id="55"/>
      <w:r>
        <w:rPr>
          <w:sz w:val="28"/>
          <w:szCs w:val="28"/>
        </w:rPr>
        <w:t xml:space="preserve"> на этапе </w:t>
      </w:r>
      <w:bookmarkEnd w:id="52"/>
      <w:bookmarkEnd w:id="53"/>
      <w:r>
        <w:rPr>
          <w:sz w:val="28"/>
          <w:szCs w:val="28"/>
        </w:rPr>
        <w:t>заключения (исполнения) договора.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3.1. Стоимость за единицу услуги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snapToGrid w:val="false"/>
        <w:jc w:val="both"/>
        <w:rPr/>
      </w:pPr>
      <w:r>
        <w:rPr/>
      </w:r>
      <w:bookmarkStart w:id="56" w:name="_Ref40301253"/>
      <w:bookmarkStart w:id="57" w:name="_Ref40301253"/>
      <w:bookmarkEnd w:id="57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Application>AlterOffice/3.4.0.9$Linux_X86_64 LibreOffice_project/b8daf9e823b1a5463a2f48435ddc2e8696e7d4fc</Application>
  <AppVersion>15.0000</AppVersion>
  <Pages>9</Pages>
  <Words>1294</Words>
  <Characters>9548</Characters>
  <CharactersWithSpaces>10716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2026-05-14T09:16:32Z</cp:lastPrinted>
  <dcterms:modified xsi:type="dcterms:W3CDTF">2026-08-13T15:14:56Z</dcterms:modified>
  <cp:revision>177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