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Технические требования </w:t>
      </w:r>
    </w:p>
    <w:p>
      <w:pPr>
        <w:pStyle w:val="BodyTextIndent3"/>
        <w:spacing w:before="0" w:after="0"/>
        <w:ind w:left="284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«ОКПД2 71.12.19.100.</w:t>
      </w:r>
      <w:r>
        <w:rPr>
          <w:rFonts w:eastAsia="Times New Roman" w:cs="Times New Roman"/>
          <w:b/>
          <w:color w:val="auto"/>
          <w:kern w:val="0"/>
          <w:sz w:val="32"/>
          <w:szCs w:val="32"/>
          <w:lang w:val="ru-RU" w:eastAsia="ru-RU" w:bidi="ar-SA"/>
        </w:rPr>
        <w:t xml:space="preserve"> </w:t>
      </w:r>
      <w:r>
        <w:rPr>
          <w:b/>
          <w:sz w:val="32"/>
          <w:szCs w:val="32"/>
        </w:rPr>
        <w:t xml:space="preserve">Разработка проектной документации </w:t>
      </w:r>
    </w:p>
    <w:p>
      <w:pPr>
        <w:pStyle w:val="BodyTextIndent3"/>
        <w:spacing w:before="0" w:after="0"/>
        <w:ind w:left="284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системы автоматической пожарной сигнализации и системы оповещения и управления эвакуацией Чебоксарской ГЭС </w:t>
      </w:r>
    </w:p>
    <w:p>
      <w:pPr>
        <w:pStyle w:val="BodyTextIndent3"/>
        <w:spacing w:before="0" w:after="0"/>
        <w:ind w:left="284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(очередь 2)»</w:t>
      </w:r>
    </w:p>
    <w:p>
      <w:pPr>
        <w:pStyle w:val="BodyTextIndent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СОДЕРЖАНИЕ</w:t>
      </w:r>
    </w:p>
    <w:sdt>
      <w:sdtPr>
        <w:docPartObj>
          <w:docPartGallery w:val="Table of Contents"/>
          <w:docPartUnique w:val="true"/>
        </w:docPartObj>
        <w:id w:val="801290635"/>
      </w:sdtPr>
      <w:sdtContent>
        <w:p>
          <w:pPr>
            <w:pStyle w:val="TOCHeading"/>
            <w:rPr/>
          </w:pPr>
          <w:r>
            <w:rPr/>
          </w:r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r>
            <w:fldChar w:fldCharType="begin"/>
          </w:r>
          <w:r>
            <w:rPr>
              <w:rStyle w:val="Style21"/>
            </w:rPr>
            <w:instrText xml:space="preserve"> TOC \o "1-2" \h</w:instrText>
          </w:r>
          <w:r>
            <w:rPr>
              <w:rStyle w:val="Style21"/>
            </w:rPr>
            <w:fldChar w:fldCharType="separate"/>
          </w:r>
          <w:hyperlink w:anchor="__RefHeading___Toc18829_4283400736">
            <w:r>
              <w:rPr>
                <w:rStyle w:val="Style21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31_4283400736">
            <w:r>
              <w:rPr>
                <w:rStyle w:val="Style21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33_4283400736">
            <w:r>
              <w:rPr>
                <w:rStyle w:val="Style21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35_4283400736">
            <w:r>
              <w:rPr>
                <w:rStyle w:val="Style21"/>
              </w:rPr>
              <w:t>1.3. Цели использования закупаемой продукции</w:t>
              <w:tab/>
              <w:t>4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37_4283400736">
            <w:r>
              <w:rPr>
                <w:rStyle w:val="Style21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hyperlink w:anchor="__RefHeading___Toc31125_2708575354">
            <w:r>
              <w:rPr>
                <w:rStyle w:val="Style21"/>
              </w:rPr>
              <w:t>Таблица 1. Перечень объектов Заказчика</w:t>
              <w:tab/>
              <w:t>5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39_4283400736">
            <w:r>
              <w:rPr>
                <w:rStyle w:val="Style21"/>
              </w:rPr>
              <w:t>1.5. Иные требования и сведения общего характера.</w:t>
              <w:tab/>
              <w:t>5</w:t>
            </w:r>
          </w:hyperlink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hyperlink w:anchor="__RefHeading___Toc18841_4283400736">
            <w:r>
              <w:rPr>
                <w:rStyle w:val="Style21"/>
              </w:rPr>
              <w:t>2. Требования к продукции</w:t>
              <w:tab/>
              <w:t>6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43_4283400736">
            <w:r>
              <w:rPr>
                <w:rStyle w:val="Style21"/>
              </w:rPr>
              <w:t>2.1.  Требования по объемам и срокам</w:t>
              <w:tab/>
              <w:t>6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45_4283400736">
            <w:r>
              <w:rPr>
                <w:rStyle w:val="Style21"/>
              </w:rPr>
              <w:t>2.1.1. Требования к видам и объемам работ</w:t>
              <w:tab/>
              <w:t>6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47_4283400736">
            <w:r>
              <w:rPr>
                <w:rStyle w:val="Style21"/>
              </w:rPr>
              <w:t>2.1.2. Требования к срокам выполнения работ</w:t>
              <w:tab/>
              <w:t>6</w:t>
            </w:r>
          </w:hyperlink>
        </w:p>
        <w:p>
          <w:pPr>
            <w:pStyle w:val="TOC2"/>
            <w:tabs>
              <w:tab w:val="clear" w:pos="1120"/>
              <w:tab w:val="clear" w:pos="9344"/>
              <w:tab w:val="right" w:pos="9638" w:leader="dot"/>
            </w:tabs>
            <w:rPr/>
          </w:pPr>
          <w:hyperlink w:anchor="__RefHeading___Toc18849_4283400736">
            <w:r>
              <w:rPr>
                <w:rStyle w:val="Style21"/>
              </w:rPr>
              <w:t>2.2. Требования к качеству продукции</w:t>
              <w:tab/>
              <w:t>7</w:t>
            </w:r>
          </w:hyperlink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hyperlink w:anchor="__RefHeading___Toc31145_2708575354">
            <w:r>
              <w:rPr>
                <w:rStyle w:val="Style21"/>
              </w:rPr>
              <w:t>Таблица 3. Требования к качеству продукции</w:t>
              <w:tab/>
              <w:t>7</w:t>
            </w:r>
          </w:hyperlink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hyperlink w:anchor="__RefHeading___Toc18851_4283400736">
            <w:r>
              <w:rPr>
                <w:rStyle w:val="Style21"/>
              </w:rPr>
              <w:t>3. Требования к документации по ценообразованию на этапе закупки</w:t>
              <w:tab/>
              <w:t>22</w:t>
            </w:r>
          </w:hyperlink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hyperlink w:anchor="__RefHeading___Toc18853_4283400736">
            <w:r>
              <w:rPr>
                <w:rStyle w:val="Style21"/>
              </w:rPr>
              <w:t>4. Требования к документации по ценообразованию на этапе заключения (исполнения) договора</w:t>
              <w:tab/>
              <w:t>23</w:t>
            </w:r>
          </w:hyperlink>
        </w:p>
        <w:p>
          <w:pPr>
            <w:pStyle w:val="TOC1"/>
            <w:tabs>
              <w:tab w:val="clear" w:pos="560"/>
              <w:tab w:val="clear" w:pos="9344"/>
              <w:tab w:val="clear" w:pos="9911"/>
              <w:tab w:val="right" w:pos="9638" w:leader="dot"/>
            </w:tabs>
            <w:rPr/>
          </w:pPr>
          <w:hyperlink w:anchor="__RefHeading___Toc18855_4283400736">
            <w:r>
              <w:rPr>
                <w:rStyle w:val="Style21"/>
              </w:rPr>
              <w:t>5. Приложения</w:t>
              <w:tab/>
              <w:t>24</w:t>
            </w:r>
          </w:hyperlink>
          <w:r>
            <w:rPr>
              <w:rStyle w:val="Style21"/>
            </w:rPr>
            <w:fldChar w:fldCharType="end"/>
          </w:r>
        </w:p>
      </w:sdtContent>
    </w:sdt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370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4"/>
        <w:rPr>
          <w:sz w:val="26"/>
          <w:szCs w:val="26"/>
        </w:rPr>
      </w:pPr>
      <w:r>
        <w:rPr>
          <w:sz w:val="26"/>
          <w:szCs w:val="26"/>
        </w:rPr>
      </w:r>
      <w:bookmarkStart w:id="0" w:name="_Toc361660480"/>
      <w:bookmarkStart w:id="1" w:name="_Toc361660480"/>
      <w:bookmarkEnd w:id="1"/>
      <w:r>
        <w:br w:type="page"/>
      </w:r>
    </w:p>
    <w:p>
      <w:pPr>
        <w:pStyle w:val="14"/>
        <w:numPr>
          <w:ilvl w:val="0"/>
          <w:numId w:val="14"/>
        </w:numPr>
        <w:tabs>
          <w:tab w:val="clear" w:pos="360"/>
          <w:tab w:val="clear" w:pos="900"/>
          <w:tab w:val="left" w:pos="851" w:leader="none"/>
        </w:tabs>
        <w:spacing w:before="240" w:after="0"/>
        <w:jc w:val="center"/>
        <w:outlineLvl w:val="0"/>
        <w:rPr>
          <w:sz w:val="28"/>
        </w:rPr>
      </w:pPr>
      <w:bookmarkStart w:id="2" w:name="__RefHeading___Toc18829_4283400736"/>
      <w:bookmarkStart w:id="3" w:name="_Toc179983647"/>
      <w:bookmarkStart w:id="4" w:name="_Toc135142137"/>
      <w:bookmarkEnd w:id="2"/>
      <w:r>
        <w:rPr>
          <w:sz w:val="28"/>
          <w:lang w:val="en-US"/>
        </w:rPr>
        <w:t>Общие сведения</w:t>
      </w:r>
      <w:bookmarkEnd w:id="3"/>
      <w:bookmarkEnd w:id="4"/>
    </w:p>
    <w:p>
      <w:pPr>
        <w:pStyle w:val="14"/>
        <w:numPr>
          <w:ilvl w:val="0"/>
          <w:numId w:val="4"/>
        </w:numPr>
        <w:tabs>
          <w:tab w:val="clear" w:pos="360"/>
          <w:tab w:val="clear" w:pos="900"/>
          <w:tab w:val="left" w:pos="851" w:leader="none"/>
        </w:tabs>
        <w:spacing w:before="120" w:after="120"/>
        <w:ind w:left="0" w:hanging="0"/>
        <w:jc w:val="left"/>
        <w:outlineLvl w:val="1"/>
        <w:rPr>
          <w:sz w:val="26"/>
          <w:szCs w:val="26"/>
        </w:rPr>
      </w:pPr>
      <w:bookmarkStart w:id="5" w:name="__RefHeading___Toc18831_4283400736"/>
      <w:bookmarkStart w:id="6" w:name="_Toc179983648"/>
      <w:bookmarkStart w:id="7" w:name="_Toc135142138"/>
      <w:bookmarkEnd w:id="5"/>
      <w:r>
        <w:rPr>
          <w:bCs/>
        </w:rPr>
        <w:t>Обозначения</w:t>
      </w:r>
      <w:r>
        <w:rPr>
          <w:lang w:val="en-US"/>
        </w:rPr>
        <w:t xml:space="preserve"> и сокращения</w:t>
      </w:r>
      <w:bookmarkEnd w:id="6"/>
      <w:bookmarkEnd w:id="7"/>
    </w:p>
    <w:tbl>
      <w:tblPr>
        <w:tblW w:w="942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28"/>
        <w:gridCol w:w="7997"/>
      </w:tblGrid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bookmarkStart w:id="8" w:name="_Toc4739525"/>
            <w:bookmarkStart w:id="9" w:name="_Toc427935030"/>
            <w:bookmarkStart w:id="10" w:name="_Toc427935029"/>
            <w:bookmarkStart w:id="11" w:name="_Toc427926829"/>
            <w:bookmarkStart w:id="12" w:name="_Toc427926828"/>
            <w:bookmarkEnd w:id="8"/>
            <w:bookmarkEnd w:id="9"/>
            <w:bookmarkEnd w:id="10"/>
            <w:bookmarkEnd w:id="11"/>
            <w:bookmarkEnd w:id="12"/>
            <w:r>
              <w:rPr>
                <w:rFonts w:ascii="Times New Roman" w:hAnsi="Times New Roman"/>
                <w:sz w:val="24"/>
                <w:szCs w:val="24"/>
              </w:rPr>
              <w:t>АПС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пожарная сигнализация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АПТ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система пожаротушения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АСУТП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автоматизированная система управления технологическими процессами объекта электроэнергетики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верхний уровень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ПАО «РусГидро»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запасные изделия и приспособления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АСУТП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верхний уровень автоматизированной системы управления технологическими процессами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материально-техническое обеспечение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материально-технические ресурсы, включая материалы и оборудование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смены машзала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НСС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смены станции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нормативно-технические документы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ОКЛ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>
                <w:lang w:val="en-US"/>
              </w:rPr>
            </w:pPr>
            <w:r>
              <w:rPr>
                <w:lang w:val="en-US"/>
              </w:rPr>
              <w:t>Огнестойкая кабельная линия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ОС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Оперативная служба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>
                <w:lang w:val="en-US"/>
              </w:rPr>
              <w:t>п</w:t>
            </w:r>
            <w:r>
              <w:rPr/>
              <w:t>убличное акционерное общество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проектная документация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ПНР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пуско-наладочные работы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программное обеспечение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ППКОП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прибор приемно-контрольный, охранно-пожарный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СОПТ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система оперативного постоянного тока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rPr/>
            </w:pPr>
            <w:r>
              <w:rPr/>
              <w:t>система оповещения и управления эвакуацией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rPr/>
            </w:pPr>
            <w:r>
              <w:rPr/>
              <w:t>Служебно-производственный корпус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стандарт организации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ТСПД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технологическая сеть передачи данных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ЩСН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Щит собственных нужд</w:t>
            </w:r>
          </w:p>
        </w:tc>
      </w:tr>
      <w:tr>
        <w:trPr>
          <w:trHeight w:val="479" w:hRule="atLeast"/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Подрядчик, Участник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0" w:hanging="0"/>
              <w:jc w:val="left"/>
              <w:rPr/>
            </w:pPr>
            <w:r>
              <w:rPr/>
              <w:t>Подрядная организация, Контрагент</w:t>
            </w:r>
          </w:p>
        </w:tc>
      </w:tr>
    </w:tbl>
    <w:p>
      <w:pPr>
        <w:pStyle w:val="14"/>
        <w:numPr>
          <w:ilvl w:val="0"/>
          <w:numId w:val="4"/>
        </w:numPr>
        <w:tabs>
          <w:tab w:val="clear" w:pos="360"/>
          <w:tab w:val="clear" w:pos="900"/>
          <w:tab w:val="left" w:pos="851" w:leader="none"/>
        </w:tabs>
        <w:ind w:left="0" w:hanging="0"/>
        <w:jc w:val="left"/>
        <w:outlineLvl w:val="1"/>
        <w:rPr>
          <w:bCs/>
        </w:rPr>
      </w:pPr>
      <w:bookmarkStart w:id="13" w:name="__RefHeading___Toc18833_4283400736"/>
      <w:bookmarkStart w:id="14" w:name="_Toc135142139"/>
      <w:bookmarkStart w:id="15" w:name="_Toc179983649"/>
      <w:bookmarkStart w:id="16" w:name="_Toc4739534"/>
      <w:bookmarkEnd w:id="13"/>
      <w:r>
        <w:rPr>
          <w:bCs/>
        </w:rPr>
        <w:t xml:space="preserve">Наименование закупаемой </w:t>
      </w:r>
      <w:bookmarkEnd w:id="16"/>
      <w:r>
        <w:rPr>
          <w:bCs/>
        </w:rPr>
        <w:t>прод</w:t>
      </w:r>
      <w:r>
        <w:rPr>
          <w:bCs/>
          <w:lang w:val="en-US"/>
        </w:rPr>
        <w:t>укции</w:t>
      </w:r>
      <w:bookmarkEnd w:id="14"/>
      <w:bookmarkEnd w:id="15"/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/>
      </w:pPr>
      <w:r>
        <w:rPr>
          <w:b w:val="false"/>
          <w:bCs/>
        </w:rPr>
        <w:t>ОКПД2 71.12.19.100. Разработка проектной документации системы автоматической пожарной сигнализации и системы оповещения и управления эвакуацией Чебоксарской ГЭС (очередь 2)</w:t>
      </w:r>
      <w:r>
        <w:rPr>
          <w:b w:val="false"/>
        </w:rPr>
        <w:t>.</w:t>
      </w:r>
    </w:p>
    <w:p>
      <w:pPr>
        <w:pStyle w:val="14"/>
        <w:numPr>
          <w:ilvl w:val="0"/>
          <w:numId w:val="4"/>
        </w:numPr>
        <w:tabs>
          <w:tab w:val="clear" w:pos="360"/>
          <w:tab w:val="clear" w:pos="900"/>
          <w:tab w:val="left" w:pos="851" w:leader="none"/>
        </w:tabs>
        <w:spacing w:before="120" w:after="0"/>
        <w:ind w:left="0" w:hanging="0"/>
        <w:jc w:val="left"/>
        <w:outlineLvl w:val="1"/>
        <w:rPr>
          <w:bCs/>
        </w:rPr>
      </w:pPr>
      <w:bookmarkStart w:id="17" w:name="__RefHeading___Toc18835_4283400736"/>
      <w:bookmarkStart w:id="18" w:name="_Toc179983650"/>
      <w:bookmarkStart w:id="19" w:name="_Toc135142140"/>
      <w:bookmarkStart w:id="20" w:name="_Toc4739536"/>
      <w:bookmarkEnd w:id="17"/>
      <w:r>
        <w:rPr>
          <w:bCs/>
        </w:rPr>
        <w:t xml:space="preserve">Цели </w:t>
      </w:r>
      <w:bookmarkEnd w:id="20"/>
      <w:r>
        <w:rPr>
          <w:bCs/>
        </w:rPr>
        <w:t>использова</w:t>
      </w:r>
      <w:r>
        <w:rPr>
          <w:bCs/>
          <w:lang w:val="en-US"/>
        </w:rPr>
        <w:t>ния закупаемой продукции</w:t>
      </w:r>
      <w:bookmarkEnd w:id="18"/>
      <w:bookmarkEnd w:id="19"/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>
          <w:b w:val="false"/>
        </w:rPr>
      </w:pPr>
      <w:r>
        <w:rPr>
          <w:b w:val="false"/>
          <w:bCs/>
        </w:rPr>
        <w:t>Настоящие</w:t>
      </w:r>
      <w:r>
        <w:rPr>
          <w:b w:val="false"/>
        </w:rPr>
        <w:t xml:space="preserve"> ТТ разработаны для разработки проектной документации системы автоматической пожарной сигнализации и системы оповещения и управления эвакуацией Чебоксарской ГЭС (очередь 2).</w:t>
      </w:r>
    </w:p>
    <w:p>
      <w:pPr>
        <w:pStyle w:val="14"/>
        <w:numPr>
          <w:ilvl w:val="0"/>
          <w:numId w:val="4"/>
        </w:numPr>
        <w:tabs>
          <w:tab w:val="clear" w:pos="360"/>
          <w:tab w:val="clear" w:pos="900"/>
          <w:tab w:val="left" w:pos="851" w:leader="none"/>
        </w:tabs>
        <w:spacing w:before="120" w:after="0"/>
        <w:ind w:left="0" w:hanging="0"/>
        <w:jc w:val="left"/>
        <w:outlineLvl w:val="1"/>
        <w:rPr/>
      </w:pPr>
      <w:bookmarkStart w:id="21" w:name="__RefHeading___Toc18837_4283400736"/>
      <w:bookmarkStart w:id="22" w:name="_Toc135142141"/>
      <w:bookmarkStart w:id="23" w:name="_Toc179983651"/>
      <w:bookmarkStart w:id="24" w:name="_Toc135039778"/>
      <w:bookmarkStart w:id="25" w:name="_Toc4739538"/>
      <w:bookmarkEnd w:id="21"/>
      <w:r>
        <w:rPr/>
        <w:t>Существующее положени</w:t>
      </w:r>
      <w:bookmarkEnd w:id="25"/>
      <w:r>
        <w:rPr/>
        <w:t>е</w:t>
      </w:r>
      <w:bookmarkEnd w:id="22"/>
      <w:bookmarkEnd w:id="23"/>
      <w:bookmarkEnd w:id="24"/>
    </w:p>
    <w:p>
      <w:pPr>
        <w:pStyle w:val="14"/>
        <w:tabs>
          <w:tab w:val="left" w:pos="0" w:leader="none"/>
          <w:tab w:val="left" w:pos="360" w:leader="none"/>
          <w:tab w:val="left" w:pos="900" w:leader="none"/>
        </w:tabs>
        <w:ind w:firstLine="567"/>
        <w:rPr>
          <w:b w:val="false"/>
        </w:rPr>
      </w:pPr>
      <w:r>
        <w:rPr>
          <w:b w:val="false"/>
        </w:rPr>
        <w:t xml:space="preserve">В настоящее время на Чебоксарской ГЭС АПС построена на базе адресного, с радиальными шлейфами сигнализации, оборудования ППКОП ООО «Болид» Сигнал-20П, Сигнал-10, С2000-4. Функции ПКУОП выполняет микропроцессорная система «SKADA - Каскад ВУ АПТ и АПС», которая позволяет контролировать текущее состояние АПС с выводом информации на мнемосхемы мониторов НСС, НСМ, ОС, начальника караула охраны, а также руководящего состава станции. Дистанционное управление АПС ограничено и может выполняться только НСС и дежурным инженером ОРУ500/220кВ. 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>
          <w:b w:val="false"/>
        </w:rPr>
      </w:pPr>
      <w:r>
        <w:rPr>
          <w:b w:val="false"/>
        </w:rPr>
        <w:tab/>
        <w:t>Система АПС кроме ППКОП содержит бесперебойные источники питания с аккумуляторными батареями, приборы, обеспечивающие связь с системой ВУ АПТ и АПС (повторители интерфейса, релейные блоки С2000-СП1, преобразователи протокола оборудования ООО «Болид» в промышленный протокол МоdВUS), ШС с пожарными дымовыми, тепловыми, ручными, линейными извещателями и приборами СОУЭ (светозвуковые извещатели и громкоговорители).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/>
      </w:pPr>
      <w:r>
        <w:rPr>
          <w:b w:val="false"/>
        </w:rPr>
        <w:t>Системы кондиционирования бытовых и производственных помещений Чебоксарской ГЭС выполнены отдельными сплит-системами настенного, канального, кассетного и напольно-потолочного типа (далее – системы кондиционирования), в настоящее время системы кондиционирования в основном работают без функции автоматического отключения в случае срабатывания АПС, что не соответствует требованию п.6.24 СП 7.13130.2013.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>
          <w:b w:val="false"/>
        </w:rPr>
      </w:pPr>
      <w:r>
        <w:rPr>
          <w:b w:val="false"/>
        </w:rPr>
        <w:t xml:space="preserve">Система СОУЭ построена на базе звукоусилительного оборудования </w:t>
      </w:r>
      <w:r>
        <w:rPr>
          <w:b w:val="false"/>
          <w:lang w:val="en-US"/>
        </w:rPr>
        <w:t>Inter</w:t>
      </w:r>
      <w:r>
        <w:rPr>
          <w:b w:val="false"/>
        </w:rPr>
        <w:t>-</w:t>
      </w:r>
      <w:r>
        <w:rPr>
          <w:b w:val="false"/>
          <w:lang w:val="en-US"/>
        </w:rPr>
        <w:t>M</w:t>
      </w:r>
      <w:r>
        <w:rPr>
          <w:b w:val="false"/>
        </w:rPr>
        <w:t>. Оповещение персонала производится с помощью светозвуковых и речевых извещателей.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>
          <w:b w:val="false"/>
        </w:rPr>
      </w:pPr>
      <w:r>
        <w:rPr>
          <w:b w:val="false"/>
        </w:rPr>
        <w:t>Ряд помещений не оборудованы системой АПС в соответствии с требованиями СП 486.1311500.2020,</w:t>
      </w:r>
      <w:r>
        <w:rPr>
          <w:rFonts w:eastAsia="Times New Roman" w:cs="Times New Roman"/>
          <w:b w:val="false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b w:val="false"/>
        </w:rPr>
        <w:t>СОУЭ при пожаре не обеспечивают общий уровень звука в соответствии требованиями СП 3.13130.2009.</w:t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</w:tabs>
        <w:spacing w:before="120" w:after="0"/>
        <w:ind w:left="142" w:hanging="0"/>
        <w:outlineLvl w:val="0"/>
        <w:rPr>
          <w:lang w:val="en-US"/>
        </w:rPr>
      </w:pPr>
      <w:bookmarkStart w:id="26" w:name="__RefHeading___Toc31125_2708575354"/>
      <w:bookmarkStart w:id="27" w:name="_Toc179983652"/>
      <w:bookmarkStart w:id="28" w:name="_Toc135142142"/>
      <w:bookmarkEnd w:id="26"/>
      <w:r>
        <w:rPr/>
        <w:t>Таблица</w:t>
      </w:r>
      <w:r>
        <w:rPr>
          <w:lang w:val="en-US"/>
        </w:rPr>
        <w:t xml:space="preserve"> 1. </w:t>
      </w:r>
      <w:r>
        <w:rPr/>
        <w:t>Перечень</w:t>
      </w:r>
      <w:r>
        <w:rPr>
          <w:lang w:val="en-US"/>
        </w:rPr>
        <w:t xml:space="preserve"> </w:t>
      </w:r>
      <w:r>
        <w:rPr/>
        <w:t>объектов</w:t>
      </w:r>
      <w:r>
        <w:rPr>
          <w:lang w:val="en-US"/>
        </w:rPr>
        <w:t xml:space="preserve"> </w:t>
      </w:r>
      <w:r>
        <w:rPr/>
        <w:t>З</w:t>
      </w:r>
      <w:r>
        <w:rPr>
          <w:lang w:val="en-US"/>
        </w:rPr>
        <w:t>аказчика</w:t>
      </w:r>
      <w:bookmarkEnd w:id="27"/>
      <w:bookmarkEnd w:id="28"/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56"/>
        <w:gridCol w:w="1539"/>
        <w:gridCol w:w="3707"/>
        <w:gridCol w:w="2420"/>
        <w:gridCol w:w="1416"/>
      </w:tblGrid>
      <w:tr>
        <w:trPr>
          <w:tblHeader w:val="true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объекта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объекта (место поставки МТР, производства работ 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основного средства 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отношении которого выполняются работы)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spacing w:val="-2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Примечания</w:t>
            </w:r>
          </w:p>
        </w:tc>
      </w:tr>
      <w:tr>
        <w:trPr>
          <w:tblHeader w:val="true"/>
          <w:trHeight w:val="7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blHeader w:val="true"/>
          <w:trHeight w:val="7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АПС и СОУЭ Чебоксарской ГЭС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ind w:left="0" w:hanging="0"/>
              <w:rPr/>
            </w:pPr>
            <w:r>
              <w:rPr/>
              <w:t>Филиал ПАО «РусГидро» - «Чебоксарская ГЭС»</w:t>
            </w:r>
          </w:p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left" w:pos="0" w:leader="none"/>
                <w:tab w:val="left" w:pos="360" w:leader="none"/>
                <w:tab w:val="left" w:pos="900" w:leader="none"/>
              </w:tabs>
              <w:ind w:left="0" w:hanging="0"/>
              <w:rPr>
                <w:u w:val="single"/>
              </w:rPr>
            </w:pPr>
            <w:r>
              <w:rPr/>
              <w:t>Адрес Филиала: 429965, Российская Федерация, Чувашская Республика, г. Новочебоксарск, ул. Набережная, влд.34.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пожарной сигнализации СПК ЧебГЭС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(новый инвентарный номер)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пожарной сигнализации базы МТО ЧебГЭС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(новый инвентарный номер)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пожарной сигнализации главного технологического корпуса ОРУ ЧебГЭС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(новый инвентарный номер)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Аппаратура автоматизированного голосового оповещения управления эвакуацией СПК ЧебГЭС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(новый инвентарный номер)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Аппаратура автоматизированного голосового оповещения управления эвакуацией базы МТО ЧебГЭС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(новый инвентарный номер)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</w:tbl>
    <w:p>
      <w:pPr>
        <w:pStyle w:val="14"/>
        <w:numPr>
          <w:ilvl w:val="0"/>
          <w:numId w:val="4"/>
        </w:numPr>
        <w:tabs>
          <w:tab w:val="clear" w:pos="360"/>
          <w:tab w:val="clear" w:pos="900"/>
          <w:tab w:val="left" w:pos="851" w:leader="none"/>
        </w:tabs>
        <w:spacing w:before="120" w:after="0"/>
        <w:ind w:left="0" w:hanging="0"/>
        <w:jc w:val="left"/>
        <w:outlineLvl w:val="1"/>
        <w:rPr>
          <w:bCs/>
        </w:rPr>
      </w:pPr>
      <w:bookmarkStart w:id="29" w:name="__RefHeading___Toc18839_4283400736"/>
      <w:bookmarkStart w:id="30" w:name="_Toc179983653"/>
      <w:bookmarkStart w:id="31" w:name="_Toc428352365"/>
      <w:bookmarkStart w:id="32" w:name="_Toc427926837"/>
      <w:bookmarkStart w:id="33" w:name="_Toc463423860"/>
      <w:bookmarkStart w:id="34" w:name="_Toc427926840"/>
      <w:bookmarkStart w:id="35" w:name="_Toc428352363"/>
      <w:bookmarkStart w:id="36" w:name="_Toc428360978"/>
      <w:bookmarkStart w:id="37" w:name="_Toc428360976"/>
      <w:bookmarkStart w:id="38" w:name="_Toc463423859"/>
      <w:bookmarkEnd w:id="29"/>
      <w:bookmarkEnd w:id="31"/>
      <w:bookmarkEnd w:id="32"/>
      <w:bookmarkEnd w:id="33"/>
      <w:bookmarkEnd w:id="34"/>
      <w:bookmarkEnd w:id="35"/>
      <w:bookmarkEnd w:id="36"/>
      <w:bookmarkEnd w:id="37"/>
      <w:bookmarkEnd w:id="38"/>
      <w:r>
        <w:rPr>
          <w:bCs/>
        </w:rPr>
        <w:t>Иные требования и сведения общего характера.</w:t>
      </w:r>
      <w:bookmarkEnd w:id="30"/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Подрядчик обеспечивает соблюдение требований охраны труда, пожарной безопасности, санитарно-эпидемиологических требований в соответствии с действующим законодательством РФ.</w:t>
      </w:r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необходимости Заказчик предоставляет Подрядчику следующие ресурсы/услуги:</w:t>
      </w:r>
    </w:p>
    <w:p>
      <w:pPr>
        <w:pStyle w:val="PlainText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Электроэнергия;</w:t>
      </w:r>
    </w:p>
    <w:p>
      <w:pPr>
        <w:pStyle w:val="PlainText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Вода</w:t>
      </w:r>
      <w:r>
        <w:rPr>
          <w:rFonts w:ascii="Times New Roman" w:hAnsi="Times New Roman"/>
          <w:sz w:val="24"/>
          <w:lang w:val="en-US"/>
        </w:rPr>
        <w:t xml:space="preserve"> (непитьевая)</w:t>
      </w:r>
      <w:r>
        <w:rPr>
          <w:rFonts w:ascii="Times New Roman" w:hAnsi="Times New Roman"/>
          <w:sz w:val="24"/>
        </w:rPr>
        <w:t>;</w:t>
      </w:r>
    </w:p>
    <w:p>
      <w:pPr>
        <w:pStyle w:val="PlainText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Сжатый воздух (в машинном зале)</w:t>
      </w:r>
    </w:p>
    <w:p>
      <w:pPr>
        <w:pStyle w:val="PlainText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Санитарно-гигиенические и бытовые условия (туалеты);</w:t>
      </w:r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Ресурсы/Услуги предоставляются Заказчиком без дополнительной платы. </w:t>
      </w:r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может предоставить Подрядчику, для выполнения проектных работ, в соответствии с данным ТТ необходимые помещения на безвозмездной основе. </w:t>
      </w:r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не предоставляет жилые помещения для проживания персонала Подрядчика.</w:t>
      </w:r>
    </w:p>
    <w:p>
      <w:pPr>
        <w:pStyle w:val="PlainText"/>
        <w:ind w:firstLine="4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14"/>
        <w:numPr>
          <w:ilvl w:val="0"/>
          <w:numId w:val="14"/>
        </w:numPr>
        <w:tabs>
          <w:tab w:val="clear" w:pos="360"/>
          <w:tab w:val="clear" w:pos="900"/>
        </w:tabs>
        <w:spacing w:before="240" w:after="0"/>
        <w:jc w:val="center"/>
        <w:outlineLvl w:val="0"/>
        <w:rPr>
          <w:bCs/>
          <w:sz w:val="28"/>
        </w:rPr>
      </w:pPr>
      <w:bookmarkStart w:id="39" w:name="__RefHeading___Toc18841_4283400736"/>
      <w:bookmarkStart w:id="40" w:name="_Toc135142143"/>
      <w:bookmarkStart w:id="41" w:name="_Toc179983654"/>
      <w:bookmarkEnd w:id="39"/>
      <w:r>
        <w:rPr>
          <w:bCs/>
          <w:sz w:val="28"/>
        </w:rPr>
        <w:t>Требования к продукции</w:t>
      </w:r>
      <w:bookmarkEnd w:id="40"/>
      <w:bookmarkEnd w:id="41"/>
    </w:p>
    <w:p>
      <w:pPr>
        <w:pStyle w:val="14"/>
        <w:numPr>
          <w:ilvl w:val="1"/>
          <w:numId w:val="14"/>
        </w:numPr>
        <w:ind w:left="1260" w:hanging="1260"/>
        <w:jc w:val="left"/>
        <w:outlineLvl w:val="1"/>
        <w:rPr/>
      </w:pPr>
      <w:bookmarkStart w:id="42" w:name="__RefHeading___Toc18843_4283400736"/>
      <w:bookmarkEnd w:id="42"/>
      <w:r>
        <w:rPr/>
        <w:t xml:space="preserve"> </w:t>
      </w:r>
      <w:bookmarkStart w:id="43" w:name="_Toc135142144"/>
      <w:bookmarkStart w:id="44" w:name="_Toc179983655"/>
      <w:r>
        <w:rPr/>
        <w:t>Требования по объемам и срокам</w:t>
      </w:r>
      <w:bookmarkEnd w:id="43"/>
      <w:bookmarkEnd w:id="44"/>
    </w:p>
    <w:p>
      <w:pPr>
        <w:pStyle w:val="14"/>
        <w:numPr>
          <w:ilvl w:val="2"/>
          <w:numId w:val="14"/>
        </w:numPr>
        <w:spacing w:before="120" w:after="0"/>
        <w:ind w:left="1134" w:hanging="709"/>
        <w:jc w:val="left"/>
        <w:outlineLvl w:val="1"/>
        <w:rPr/>
      </w:pPr>
      <w:bookmarkStart w:id="45" w:name="__RefHeading___Toc18845_4283400736"/>
      <w:bookmarkStart w:id="46" w:name="_Toc135142145"/>
      <w:bookmarkStart w:id="47" w:name="_Toc179983656"/>
      <w:bookmarkEnd w:id="45"/>
      <w:r>
        <w:rPr/>
        <w:t>Требования к видам и объемам работ</w:t>
      </w:r>
      <w:bookmarkEnd w:id="46"/>
      <w:bookmarkEnd w:id="47"/>
    </w:p>
    <w:p>
      <w:pPr>
        <w:pStyle w:val="BodyText"/>
        <w:rPr>
          <w:b/>
          <w:bCs/>
          <w:sz w:val="24"/>
          <w:szCs w:val="24"/>
        </w:rPr>
      </w:pPr>
      <w:bookmarkStart w:id="48" w:name="__RefHeading___Toc31135_2708575354"/>
      <w:bookmarkEnd w:id="48"/>
      <w:r>
        <w:rPr>
          <w:b/>
          <w:bCs/>
          <w:sz w:val="24"/>
          <w:szCs w:val="24"/>
        </w:rPr>
        <w:tab/>
      </w:r>
      <w:bookmarkStart w:id="49" w:name="_Toc179983657"/>
      <w:bookmarkStart w:id="50" w:name="_Toc135142146"/>
      <w:r>
        <w:rPr>
          <w:b/>
          <w:bCs/>
          <w:sz w:val="24"/>
          <w:szCs w:val="24"/>
        </w:rPr>
        <w:t>Таблица 2.1 Перечень и объем выполняемых работ</w:t>
      </w:r>
      <w:bookmarkEnd w:id="49"/>
      <w:bookmarkEnd w:id="50"/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59"/>
        <w:gridCol w:w="6054"/>
        <w:gridCol w:w="1442"/>
        <w:gridCol w:w="1582"/>
      </w:tblGrid>
      <w:tr>
        <w:trPr>
          <w:tblHeader w:val="true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работ  / этапа работ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Единица измерения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b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Количество</w:t>
            </w:r>
          </w:p>
        </w:tc>
      </w:tr>
      <w:tr>
        <w:trPr>
          <w:tblHeader w:val="true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</w:tr>
      <w:tr>
        <w:trPr>
          <w:tblHeader w:val="true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‍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tabs>
                <w:tab w:val="clear" w:pos="360"/>
                <w:tab w:val="clear" w:pos="900"/>
                <w:tab w:val="left" w:pos="0" w:leader="none"/>
              </w:tabs>
              <w:jc w:val="left"/>
              <w:rPr>
                <w:b w:val="false"/>
              </w:rPr>
            </w:pPr>
            <w:r>
              <w:rPr>
                <w:b w:val="false"/>
              </w:rPr>
              <w:t>Предпроектное обследование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>
        <w:trPr>
          <w:tblHeader w:val="true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4"/>
              <w:widowControl w:val="false"/>
              <w:tabs>
                <w:tab w:val="clear" w:pos="360"/>
                <w:tab w:val="clear" w:pos="900"/>
                <w:tab w:val="left" w:pos="0" w:leader="none"/>
              </w:tabs>
              <w:jc w:val="left"/>
              <w:rPr>
                <w:b w:val="false"/>
              </w:rPr>
            </w:pPr>
            <w:r>
              <w:rPr>
                <w:b w:val="false"/>
              </w:rPr>
              <w:t>Разработка проектной документации системы автоматической пожарной сигнализации и системы оповещения и управления эвакуацией Чебоксарской ГЭС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14"/>
        <w:tabs>
          <w:tab w:val="clear" w:pos="360"/>
          <w:tab w:val="left" w:pos="567" w:leader="none"/>
          <w:tab w:val="left" w:pos="709" w:leader="none"/>
          <w:tab w:val="left" w:pos="900" w:leader="none"/>
          <w:tab w:val="left" w:pos="1134" w:leader="none"/>
        </w:tabs>
        <w:ind w:left="709" w:hanging="851"/>
        <w:jc w:val="left"/>
        <w:rPr>
          <w:b w:val="false"/>
        </w:rPr>
      </w:pPr>
      <w:r>
        <w:rPr>
          <w:b w:val="false"/>
        </w:rPr>
      </w:r>
    </w:p>
    <w:p>
      <w:pPr>
        <w:pStyle w:val="14"/>
        <w:numPr>
          <w:ilvl w:val="2"/>
          <w:numId w:val="14"/>
        </w:numPr>
        <w:spacing w:before="120" w:after="0"/>
        <w:ind w:left="1134" w:hanging="709"/>
        <w:jc w:val="left"/>
        <w:outlineLvl w:val="1"/>
        <w:rPr/>
      </w:pPr>
      <w:bookmarkStart w:id="51" w:name="__RefHeading___Toc18847_4283400736"/>
      <w:bookmarkStart w:id="52" w:name="_Toc135142148"/>
      <w:bookmarkStart w:id="53" w:name="_Toc179983659"/>
      <w:bookmarkEnd w:id="51"/>
      <w:r>
        <w:rPr/>
        <w:t>Требования к срокам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 xml:space="preserve"> </w:t>
      </w:r>
      <w:bookmarkEnd w:id="52"/>
      <w:bookmarkEnd w:id="53"/>
      <w:r>
        <w:rPr/>
        <w:t>выполнения работ</w:t>
      </w:r>
    </w:p>
    <w:p>
      <w:pPr>
        <w:pStyle w:val="14"/>
        <w:numPr>
          <w:ilvl w:val="0"/>
          <w:numId w:val="0"/>
        </w:numPr>
        <w:tabs>
          <w:tab w:val="clear" w:pos="360"/>
          <w:tab w:val="left" w:pos="567" w:leader="none"/>
          <w:tab w:val="left" w:pos="709" w:leader="none"/>
          <w:tab w:val="left" w:pos="900" w:leader="none"/>
          <w:tab w:val="left" w:pos="1134" w:leader="none"/>
        </w:tabs>
        <w:ind w:left="0" w:hanging="851"/>
        <w:jc w:val="left"/>
        <w:outlineLvl w:val="0"/>
        <w:rPr/>
      </w:pPr>
      <w:r>
        <w:rPr/>
      </w:r>
    </w:p>
    <w:p>
      <w:pPr>
        <w:pStyle w:val="BodyText"/>
        <w:rPr/>
      </w:pPr>
      <w:bookmarkStart w:id="54" w:name="__RefHeading___Toc31141_2708575354"/>
      <w:bookmarkEnd w:id="54"/>
      <w:r>
        <w:rPr>
          <w:b/>
          <w:bCs/>
          <w:sz w:val="24"/>
          <w:szCs w:val="24"/>
        </w:rPr>
        <w:tab/>
      </w:r>
      <w:bookmarkStart w:id="55" w:name="_Toc179983660"/>
      <w:bookmarkStart w:id="56" w:name="_Toc135142149"/>
      <w:r>
        <w:rPr>
          <w:b/>
          <w:bCs/>
          <w:sz w:val="24"/>
          <w:szCs w:val="24"/>
        </w:rPr>
        <w:t>Таблица 2.2 Требования по срокам выполнения работ/ оказания услуг</w:t>
      </w:r>
      <w:bookmarkEnd w:id="55"/>
      <w:bookmarkEnd w:id="56"/>
    </w:p>
    <w:tbl>
      <w:tblPr>
        <w:tblW w:w="96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80"/>
        <w:gridCol w:w="2123"/>
        <w:gridCol w:w="3400"/>
        <w:gridCol w:w="3402"/>
      </w:tblGrid>
      <w:tr>
        <w:trPr>
          <w:tblHeader w:val="true"/>
          <w:trHeight w:val="20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работ / этапа работ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Требования к началу срока выполнения работ  (этапа работ 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Требования к окончанию срока выполнения работ(этапа работ)</w:t>
            </w:r>
          </w:p>
        </w:tc>
      </w:tr>
      <w:tr>
        <w:trPr>
          <w:tblHeader w:val="true"/>
          <w:trHeight w:val="20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>
        <w:trPr>
          <w:tblHeader w:val="true"/>
          <w:trHeight w:val="20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9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Предпроектное обследование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даты, следующей за датой заключения Договора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месяца с даты, следующей за датой заключения Договора</w:t>
            </w:r>
          </w:p>
        </w:tc>
      </w:tr>
      <w:tr>
        <w:trPr>
          <w:tblHeader w:val="true"/>
          <w:trHeight w:val="20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Разработка проектной документации системы автоматической пожарной сигнализации и системы оповещения и управления эвакуацией Чебоксарской ГЭС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360"/>
                <w:tab w:val="clear" w:pos="900"/>
                <w:tab w:val="left" w:pos="265" w:leader="none"/>
              </w:tabs>
              <w:ind w:left="0" w:hanging="851"/>
              <w:jc w:val="left"/>
              <w:rPr>
                <w:rFonts w:eastAsia="Calibri"/>
                <w:lang w:eastAsia="en-US"/>
              </w:rPr>
            </w:pPr>
            <w:r>
              <w:rPr/>
              <w:t>Со дня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/>
              <w:t>2 месяца с даты, следующей за датой заключения Договора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bookmarkStart w:id="57" w:name="_GoBack"/>
            <w:bookmarkEnd w:id="57"/>
            <w:r>
              <w:rPr>
                <w:rFonts w:ascii="Times New Roman" w:hAnsi="Times New Roman"/>
                <w:sz w:val="24"/>
                <w:szCs w:val="24"/>
              </w:rPr>
              <w:t>11 месяцев с даты, следующей за датой заключения Договора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709" w:top="851" w:footer="386" w:bottom="170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14"/>
        <w:numPr>
          <w:ilvl w:val="1"/>
          <w:numId w:val="14"/>
        </w:numPr>
        <w:ind w:left="1260" w:hanging="1402"/>
        <w:jc w:val="left"/>
        <w:outlineLvl w:val="1"/>
        <w:rPr/>
      </w:pPr>
      <w:bookmarkStart w:id="58" w:name="__RefHeading___Toc18849_4283400736"/>
      <w:bookmarkStart w:id="59" w:name="_Toc135142150"/>
      <w:bookmarkStart w:id="60" w:name="_Toc179983661"/>
      <w:bookmarkStart w:id="61" w:name="_GoBack_Копия_1_Копия_1"/>
      <w:bookmarkStart w:id="62" w:name="_GoBack_Копия_1"/>
      <w:bookmarkEnd w:id="58"/>
      <w:bookmarkEnd w:id="61"/>
      <w:bookmarkEnd w:id="62"/>
      <w:r>
        <w:rPr/>
        <w:t>Требования к качеству продукции</w:t>
      </w:r>
      <w:bookmarkEnd w:id="59"/>
      <w:bookmarkEnd w:id="60"/>
    </w:p>
    <w:p>
      <w:pPr>
        <w:pStyle w:val="14"/>
        <w:numPr>
          <w:ilvl w:val="0"/>
          <w:numId w:val="0"/>
        </w:numPr>
        <w:ind w:left="1260" w:hanging="0"/>
        <w:jc w:val="left"/>
        <w:outlineLvl w:val="1"/>
        <w:rPr/>
      </w:pPr>
      <w:r>
        <w:rPr/>
      </w:r>
    </w:p>
    <w:p>
      <w:pPr>
        <w:pStyle w:val="14"/>
        <w:numPr>
          <w:ilvl w:val="0"/>
          <w:numId w:val="0"/>
        </w:numPr>
        <w:tabs>
          <w:tab w:val="clear" w:pos="360"/>
          <w:tab w:val="left" w:pos="567" w:leader="none"/>
          <w:tab w:val="left" w:pos="709" w:leader="none"/>
          <w:tab w:val="left" w:pos="900" w:leader="none"/>
          <w:tab w:val="left" w:pos="1134" w:leader="none"/>
        </w:tabs>
        <w:ind w:left="709" w:hanging="851"/>
        <w:jc w:val="left"/>
        <w:outlineLvl w:val="0"/>
        <w:rPr/>
      </w:pPr>
      <w:bookmarkStart w:id="63" w:name="__RefHeading___Toc31145_2708575354"/>
      <w:bookmarkStart w:id="64" w:name="_Toc179983662"/>
      <w:bookmarkStart w:id="65" w:name="_Toc135142151"/>
      <w:bookmarkEnd w:id="63"/>
      <w:r>
        <w:rPr/>
        <w:t>Таблица 3. Требования к качеству продукции</w:t>
      </w:r>
      <w:bookmarkEnd w:id="64"/>
      <w:bookmarkEnd w:id="65"/>
    </w:p>
    <w:tbl>
      <w:tblPr>
        <w:tblStyle w:val="affffd"/>
        <w:tblW w:w="1462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noVBand="1" w:val="04a0" w:noHBand="0" w:lastColumn="0" w:firstColumn="1" w:lastRow="0" w:firstRow="1"/>
      </w:tblPr>
      <w:tblGrid>
        <w:gridCol w:w="1212"/>
        <w:gridCol w:w="1764"/>
        <w:gridCol w:w="6834"/>
        <w:gridCol w:w="1813"/>
        <w:gridCol w:w="1703"/>
        <w:gridCol w:w="1298"/>
      </w:tblGrid>
      <w:tr>
        <w:trPr/>
        <w:tc>
          <w:tcPr>
            <w:tcW w:w="12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17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параметра</w:t>
            </w:r>
          </w:p>
        </w:tc>
        <w:tc>
          <w:tcPr>
            <w:tcW w:w="68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351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9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Предложение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Участника по характеристикам и параметрам</w:t>
            </w:r>
          </w:p>
        </w:tc>
      </w:tr>
      <w:tr>
        <w:trPr/>
        <w:tc>
          <w:tcPr>
            <w:tcW w:w="12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7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8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9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7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68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val="ru-RU" w:bidi="ar-SA"/>
              </w:rPr>
              <w:t>6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before="0" w:after="0"/>
              <w:contextualSpacing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выполнению работ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5"/>
              </w:numPr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i/>
                <w:i/>
                <w:iCs/>
                <w:sz w:val="24"/>
                <w:szCs w:val="24"/>
                <w:shd w:fill="FFFF99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способам и технологиям выполнения работ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Общие требования к проектированию</w:t>
            </w:r>
          </w:p>
        </w:tc>
        <w:tc>
          <w:tcPr>
            <w:tcW w:w="683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17" w:leader="none"/>
              </w:tabs>
              <w:spacing w:before="0" w:after="0"/>
              <w:ind w:left="34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Проектная документации разрабатывается в соответствии с национальными, отраслевыми и корпоративными (ПАО «РусГидро») нормативно-техническими документами (см. Приложение </w:t>
            </w:r>
            <w:r>
              <w:rPr>
                <w:rFonts w:cs="Times New Roman"/>
                <w:kern w:val="0"/>
                <w:sz w:val="24"/>
                <w:szCs w:val="24"/>
                <w:lang w:val="en-US" w:bidi="ar-SA"/>
              </w:rPr>
              <w:t xml:space="preserve">№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1 настоящего ТТ).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Согласие с </w:t>
              <w:br/>
              <w:t>требованием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Объём проектно-изыскательских работ</w:t>
            </w:r>
          </w:p>
        </w:tc>
        <w:tc>
          <w:tcPr>
            <w:tcW w:w="6834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tabs>
                <w:tab w:val="clear" w:pos="708"/>
                <w:tab w:val="left" w:pos="317" w:leader="none"/>
              </w:tabs>
              <w:spacing w:before="0" w:after="0"/>
              <w:ind w:left="367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Предпроектное обследование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tabs>
                <w:tab w:val="clear" w:pos="708"/>
                <w:tab w:val="left" w:pos="317" w:leader="none"/>
              </w:tabs>
              <w:spacing w:before="0" w:after="0"/>
              <w:ind w:left="367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Разработка ПД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tabs>
                <w:tab w:val="clear" w:pos="708"/>
                <w:tab w:val="left" w:pos="317" w:leader="none"/>
              </w:tabs>
              <w:spacing w:before="0" w:after="0"/>
              <w:ind w:left="367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Проведение согласования ПД с Заказчиком (Филиал, с ИА ПАО «РусГидро» проводит согласование Филиал)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Требования по вариантной разработке</w:t>
            </w:r>
          </w:p>
        </w:tc>
        <w:tc>
          <w:tcPr>
            <w:tcW w:w="68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Согласие с требова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Стадии проектирования</w:t>
            </w:r>
          </w:p>
        </w:tc>
        <w:tc>
          <w:tcPr>
            <w:tcW w:w="683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2"/>
              </w:numPr>
              <w:tabs>
                <w:tab w:val="clear" w:pos="708"/>
                <w:tab w:val="left" w:pos="313" w:leader="none"/>
              </w:tabs>
              <w:suppressAutoHyphens w:val="false"/>
              <w:bidi w:val="0"/>
              <w:spacing w:lineRule="auto" w:line="240" w:before="0" w:after="0"/>
              <w:ind w:left="454" w:right="0" w:hanging="3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Предпроектное обследование помещений зданий, включая инженерные коммуникации в них.</w:t>
            </w:r>
          </w:p>
          <w:p>
            <w:pPr>
              <w:pStyle w:val="ListParagraph"/>
              <w:widowControl w:val="false"/>
              <w:numPr>
                <w:ilvl w:val="1"/>
                <w:numId w:val="12"/>
              </w:numPr>
              <w:suppressAutoHyphens w:val="false"/>
              <w:bidi w:val="0"/>
              <w:spacing w:lineRule="auto" w:line="240" w:before="0" w:after="0"/>
              <w:ind w:left="454" w:right="0" w:hanging="34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ПД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Интеграция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en-US" w:bidi="ar-SA"/>
              </w:rPr>
              <w:t>с другими проектами</w:t>
            </w:r>
          </w:p>
        </w:tc>
        <w:tc>
          <w:tcPr>
            <w:tcW w:w="6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25" w:leader="none"/>
              </w:tabs>
              <w:spacing w:lineRule="auto" w:line="240" w:before="0" w:after="0"/>
              <w:ind w:left="176" w:hanging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Предусмотреть интеграцию проектируемых технических решений с проектной документацией «Системы автоматической пожарной сигнализации и системы оповещения и управления эвакуацией Чебоксарской ГЭС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(очередь 1) (см. Приложение 9 настоящего ТТ).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25" w:leader="none"/>
              </w:tabs>
              <w:spacing w:lineRule="auto" w:line="240" w:before="0" w:after="0"/>
              <w:ind w:left="176" w:hanging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Предусмотреть, в том числе технические решения по интеграции проектируемых систем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существующую систему ВУ АСУТП, ВУ АПТ, а также организацию функций автоматического отключения существующих систем кондиционирования при срабатывании АПС.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Объекты и границы проектирования</w:t>
            </w:r>
          </w:p>
        </w:tc>
        <w:tc>
          <w:tcPr>
            <w:tcW w:w="68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6"/>
              </w:numPr>
              <w:tabs>
                <w:tab w:val="clear" w:pos="708"/>
                <w:tab w:val="left" w:pos="176" w:leader="none"/>
                <w:tab w:val="left" w:pos="317" w:leader="none"/>
              </w:tabs>
              <w:spacing w:lineRule="auto" w:line="240" w:before="0" w:after="0"/>
              <w:ind w:left="225" w:hanging="225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Объектом проектирования является АПС и СОУЭ помещений Чебоксарской ГЭС.</w:t>
            </w:r>
          </w:p>
          <w:p>
            <w:pPr>
              <w:pStyle w:val="Normal"/>
              <w:widowControl w:val="false"/>
              <w:numPr>
                <w:ilvl w:val="1"/>
                <w:numId w:val="16"/>
              </w:numPr>
              <w:tabs>
                <w:tab w:val="clear" w:pos="708"/>
                <w:tab w:val="left" w:pos="176" w:leader="none"/>
                <w:tab w:val="left" w:pos="317" w:leader="none"/>
              </w:tabs>
              <w:spacing w:lineRule="auto" w:line="240" w:before="0" w:after="0"/>
              <w:ind w:left="225" w:hanging="225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Границы проектирования: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помещения Чебоксарской ГЭС согласно приложениям №2, 3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 настоящим ТТ;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кабельные трассы от помещений с проектируемой АПС до существующих шкафов ТСПД АСУТП;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кабельные трассы (в том числе распределительные ящики, сборки и коробки) от помещений, в которых эксплуатируется системы кондиционирования до управляющих устройств АПС;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кабельные трассы от помещений с проектируемой СОУЭ до существующих шкафов СОУЭ, ТСПД АСУТП.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en-US" w:bidi="ar-SA"/>
              </w:rPr>
              <w:t>Иные требования</w:t>
            </w:r>
          </w:p>
        </w:tc>
        <w:tc>
          <w:tcPr>
            <w:tcW w:w="6834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Оборудование АПС и СОУЭ должно удовлетворять требованиям типовых проектных решений на создание (модернизацию, замену) систем противопожарной защиты технологического оборудования, помещений и наружных установок (шифр 87-07-2015-ИСПБ.ТПР, приложение №9 к настоящим ТТ), ГОСТ Р 59639-2021 и ГОСТ Р 59638-2021.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Оборудование, участвующее в обнаружении факторов пожара, должно быть сертифицировано по пожарной безопасности.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Фирмы производители выбранных программируемых контроллеров, приемно-контрольных и приборов управления, должны иметь сервисные и учебные центры на территории РФ.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384" w:hanging="360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Должно быть выполнено взаимодействие с системами управления вентиляции, кондиционирования и ВУ АСУТП. Необходимость частичного или полного отключения систем вентиляции и закрытия противопожарных клапанов должна определяться в соответствии с технологическими требованиями в составе проектной документации.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Схема подключения пожарных извещателей, настройки оборудования должны обеспечить защиту от ложных срабатываний. Они должны быть адресно-аналоговыми.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Для питания устройств АПС исключить применение аккумуляторных батарей. Если невозможно исключить применение АКБ, то их использование допустимо только по предварительному согласованию с заказчиком. В этом случае АКБ должны быть малообслуживаемые со сроком эксплуатации не меньше срока эксплуатации основного оборудования для данной системы.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Не допускается применение радиоканальных линий связи.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В клеммных коробках рекомендуется применять пружинные клеммы.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Обязательно применение сертифицированных по ГОСТ Р 53316-2021 ОКЛ.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Проектируемое оборудование АПС, СОУЭ должно соответствовать: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•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по уровню температуре окружающего воздуха от +5 до +55С;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•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по механическим воздействиям по ГОСТ 17516.1-90 по группе М6 – синусоидальная вибрация с частотой 0,5-100 Гц и перегрузкой 1g;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•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по сейсмостойкости не ниже 7 баллов по шкале MSK-64 в соответствии с ГОСТ 17516.1-90;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• </w:t>
            </w: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электромагнитной совместимости по ГОСТ Р50893-2000 по степени жестокости 4.</w:t>
            </w:r>
          </w:p>
          <w:p>
            <w:pPr>
              <w:pStyle w:val="ListParagraph"/>
              <w:widowControl w:val="false"/>
              <w:numPr>
                <w:ilvl w:val="3"/>
                <w:numId w:val="24"/>
              </w:numPr>
              <w:spacing w:before="0" w:after="0"/>
              <w:ind w:left="227" w:hanging="22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Должны быть определены значения уровней внешних воздействий (температура, влажность, вибрация, уровень электромагнитных полей, наличие пыли, вредных примесей)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организации работ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Организационно- технические мероприятия по допуску персонала Подрядчика для выполнения работ на территории Заказчика</w:t>
            </w:r>
          </w:p>
        </w:tc>
        <w:tc>
          <w:tcPr>
            <w:tcW w:w="68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23"/>
              </w:numPr>
              <w:spacing w:before="0" w:after="0"/>
              <w:ind w:left="311" w:hanging="284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Пропуск персонала Подрядчика на территорию филиала ПАО «РусГидро» - «Чебоксарская ГЭС» осуществляется в соответствии с «Положением о пропускном и внутриобъектовом режимах» (приложение №4 к настоящим ТТ).</w:t>
            </w:r>
          </w:p>
          <w:p>
            <w:pPr>
              <w:pStyle w:val="ListParagraph"/>
              <w:widowControl w:val="false"/>
              <w:numPr>
                <w:ilvl w:val="3"/>
                <w:numId w:val="23"/>
              </w:numPr>
              <w:spacing w:before="0" w:after="0"/>
              <w:ind w:left="227" w:hanging="22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Допуск персонала Подрядчика для выполнения работ осуществляется в соответствии с «Методикой допуска персонала подрядных организаций к выполнению работ на объектах», приказ РусГидро №300 (приложение №5 к настоящим ТТ) с обязательным оформлением необходимых нарядов-допусков.</w:t>
            </w:r>
          </w:p>
          <w:p>
            <w:pPr>
              <w:pStyle w:val="Normal"/>
              <w:widowControl w:val="false"/>
              <w:numPr>
                <w:ilvl w:val="3"/>
                <w:numId w:val="23"/>
              </w:numPr>
              <w:tabs>
                <w:tab w:val="clear" w:pos="708"/>
                <w:tab w:val="left" w:pos="367" w:leader="none"/>
              </w:tabs>
              <w:spacing w:lineRule="auto" w:line="240" w:before="0" w:after="0"/>
              <w:ind w:left="227" w:hanging="227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Подготовку рабочих мест и допуск к выполнению работ выполняет персонал Заказчика.</w:t>
            </w:r>
          </w:p>
        </w:tc>
        <w:tc>
          <w:tcPr>
            <w:tcW w:w="18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Иные требования</w:t>
            </w:r>
          </w:p>
        </w:tc>
        <w:tc>
          <w:tcPr>
            <w:tcW w:w="6834" w:type="dxa"/>
            <w:tcBorders/>
            <w:vAlign w:val="center"/>
          </w:tcPr>
          <w:p>
            <w:pPr>
              <w:pStyle w:val="18"/>
              <w:keepLines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bidi="ar-SA"/>
              </w:rPr>
              <w:t>Подрядчик должен:</w:t>
            </w:r>
          </w:p>
          <w:p>
            <w:pPr>
              <w:pStyle w:val="18"/>
              <w:keepLines/>
              <w:widowControl w:val="false"/>
              <w:numPr>
                <w:ilvl w:val="0"/>
                <w:numId w:val="22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bidi="ar-SA"/>
              </w:rPr>
              <w:t>соблюдать требования НТД в области охраны труда и противопожарной безопасности;</w:t>
            </w:r>
          </w:p>
          <w:p>
            <w:pPr>
              <w:pStyle w:val="18"/>
              <w:keepLines/>
              <w:widowControl w:val="false"/>
              <w:numPr>
                <w:ilvl w:val="0"/>
                <w:numId w:val="22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bidi="ar-SA"/>
              </w:rPr>
              <w:t>соблюдать технологическую, производственную и трудовую дисциплину;</w:t>
            </w:r>
          </w:p>
          <w:p>
            <w:pPr>
              <w:pStyle w:val="18"/>
              <w:keepLines/>
              <w:widowControl w:val="false"/>
              <w:numPr>
                <w:ilvl w:val="0"/>
                <w:numId w:val="22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bidi="ar-SA"/>
              </w:rPr>
              <w:t>выполнять в полном объеме требования заказчика к информационной безопасности.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Условия работы оборудования и производства работ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67" w:leader="none"/>
              </w:tabs>
              <w:spacing w:lineRule="auto" w:line="240" w:before="0" w:after="0"/>
              <w:ind w:left="0" w:hanging="0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проектирования, необходимо предварительно согласовать с Заказчиком: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ведомость комплекта документов;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основные технические решения при создании АПС и СОУЭ;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основные технические решения по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автоматическому отключению существующих систем кондиционирования при срабатывании АПС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места размещения оборудования;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7" w:leader="none"/>
              </w:tabs>
              <w:spacing w:lineRule="auto" w:line="240" w:before="0" w:after="0"/>
              <w:ind w:left="317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перечень и производителя проектируемого оборудования АПС и СОУЭ.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применяемым при выполнении работ оборудованию и материалам, технологиям, программно-аппаратным средствам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314" w:hRule="atLeast"/>
        </w:trPr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Импортозамещение</w:t>
            </w:r>
          </w:p>
        </w:tc>
        <w:tc>
          <w:tcPr>
            <w:tcW w:w="68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69" w:hanging="369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Проектируемое оборудование, комплектующие и ПО должно удовлетворять требованиям раздела 2.5 «Импортозамещение» Технической политики Группы РусГидро (Приложение к Протоколу СД от 10.04.2020 (дата проведения 09.04.2020) № 307, с изм. протокол от 24.02.2022 (дата проведения 21.02.2022) №340) (Приложение №6).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Оборудование и комплектующие заграничных производителей допускается применять только в случае отсутствия аналогов, произведенных в РФ, отвечающих всем техническим требованиям, предъявляемым к ним Заказчиком.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Проектирование ПО, оборудования должно выполняться с учётом следующих требований по импортозамещению:</w:t>
            </w:r>
          </w:p>
          <w:p>
            <w:pPr>
              <w:pStyle w:val="ListParagraph"/>
              <w:widowControl w:val="false"/>
              <w:numPr>
                <w:ilvl w:val="1"/>
                <w:numId w:val="17"/>
              </w:numPr>
              <w:suppressAutoHyphens w:val="false"/>
              <w:bidi w:val="0"/>
              <w:spacing w:lineRule="auto" w:line="240" w:before="0" w:after="0"/>
              <w:ind w:left="340" w:right="0" w:hanging="3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Подтвердить сведения о наличии используемой в проекте продукции в реестрах, предусмотренных пунктом 2 постановления Правительства Российской Федерации от 03 декабря 2020 г. № 2013 (с указанием информации о номере (номерах) реестровой записи (реестровых записей) следующих соответствующих реестров: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реестрами промышленной продукции, произведенной на территории Российской Федерации и промышленной продукции, произведенной на территории государства - члена Евразийского экономического союза, за исключением Российской Федерации (постановление Правительства Российской Федерации от 30 апреля 2020 г. № 616 «Об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государства»);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единый реестр российской радиоэлектронной продукции (постановление Правительства Российской Федерации от 10 июля 2019 г. № 878 «О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нужд).</w:t>
            </w:r>
          </w:p>
          <w:p>
            <w:pPr>
              <w:pStyle w:val="ListParagraph"/>
              <w:widowControl w:val="false"/>
              <w:numPr>
                <w:ilvl w:val="1"/>
                <w:numId w:val="17"/>
              </w:numPr>
              <w:suppressAutoHyphens w:val="false"/>
              <w:bidi w:val="0"/>
              <w:spacing w:lineRule="auto" w:line="240" w:before="0" w:after="0"/>
              <w:ind w:left="454" w:right="0" w:hanging="3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Подтверждаемые сведения должны содержать номера реестровой записи продукции, предусмотренной проектом.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Замена продукции, содержащейся в одном из реестров, предусмотренных пунктом 2 постановления Правительства Российской Федерации от 03 декабря 2020 г. № 2013 на продукцию, не содержащуюся в таких реестрах запрещена.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Сведения о применяемом в проекте ПО для оборудования (для обслуживания оборудования при эксплуатации) должны быть включены в единый реестр российских программ для электронных вычислительных машин и баз данных, созданный в соответствии со статьей 12.1 Федерального закона от 27 июля 2006 года № 149-ФЗ «Об информации, информационных технологиях и о защите информации», за исключением: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 реестре отсутствуют сведения о ПО, соответствующем тому же классу ПО, что и ПО, предусмотренное проектом;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ПО, сведения о котором включены в реестр и которое соответствует тому же классу ПО, что и ПО, предусмотренное проектом, не конкурентоспособно (по своим функциональным, техническим и (или) эксплуатационным характеристикам не соответствует установленным Заказчиком требованиям к ПО, предусмотренного проектом).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Применение оборудования, в настоящее время не имеющего аналогов в Российской Федерации, может осуществляться путем заключения долгосрочных контрактов у российского поставщика под гарантированные объемы поставок будущих периодов оборудования, при наличии оформленных в установленном порядке специальных инвестиционных контрактов на освоение производства данной продукции в Российской Федерации, либо при наличии заключения Минпромторга России об отсутствии в Российской Федерации производства аналогов данной продукции в случае организации ее производства на территории Российской Федерации без заключения специального инвестиционного контракта.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При определении критериев отнесения продукции к промышленной продукции, произведенной на территории Российской Федерации, использованы нормы постановления Правительства Российской Федерации от 17 июля 2015 года № 719 «О критериях отнесения промышленной продукции, не имеющей аналогов, произведенных в Российской Федерации».</w:t>
            </w:r>
          </w:p>
          <w:p>
            <w:pPr>
              <w:pStyle w:val="ListParagraph"/>
              <w:widowControl w:val="false"/>
              <w:numPr>
                <w:ilvl w:val="1"/>
                <w:numId w:val="11"/>
              </w:numPr>
              <w:tabs>
                <w:tab w:val="clear" w:pos="708"/>
                <w:tab w:val="left" w:pos="317" w:leader="none"/>
              </w:tabs>
              <w:spacing w:before="0" w:after="0"/>
              <w:ind w:left="317" w:hanging="31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Должно быть подтверждено выполнение требований Указа Президента Российской Федерации от 30.03.2022 № 166 «О мерах по обеспечению технологической независимости и безопасности критической информационной инфраструктуры Российской Федерации».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outlineLvl w:val="2"/>
              <w:rPr>
                <w:sz w:val="24"/>
              </w:rPr>
            </w:pPr>
            <w:bookmarkStart w:id="66" w:name="__RefHeading___Toc31147_2708575354"/>
            <w:bookmarkStart w:id="67" w:name="_Toc179983663"/>
            <w:bookmarkEnd w:id="66"/>
            <w:r>
              <w:rPr>
                <w:rFonts w:eastAsia="Calibri" w:cs="Times New Roman" w:ascii="Calibri" w:hAnsi="Calibri"/>
                <w:kern w:val="0"/>
                <w:sz w:val="24"/>
                <w:szCs w:val="20"/>
                <w:lang w:val="ru-RU" w:eastAsia="ru-RU" w:bidi="ar-SA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  <w:bookmarkEnd w:id="67"/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5"/>
              </w:numPr>
              <w:spacing w:before="0" w:after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9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 xml:space="preserve">Требования к персоналу подрядчика 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Требования к подрядчика на этапе исполнения договора</w:t>
            </w:r>
          </w:p>
        </w:tc>
        <w:tc>
          <w:tcPr>
            <w:tcW w:w="6834" w:type="dxa"/>
            <w:tcBorders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360"/>
                <w:tab w:val="left" w:pos="900" w:leader="none"/>
              </w:tabs>
              <w:spacing w:before="0" w:after="0"/>
              <w:ind w:left="34" w:hanging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1. Подрядчик должен иметь собственный или привлеченный (по трудовым, либо гражданско-правовым договорам) квалифицированный персонал, необходимый для выполнения работ по профилю лота (создание АПС и СОУЭ) с высшим профессиональным (техническим) образованием и опытом проектирования АПС и СОУЭ не менее 3 лет с группой допуска по электробезопасности не ниже 3. Также персонал должен быть обучен по охране труда в соответствии с правилами обучения по охране труда и проверки знания требований охраны труда, утвержденными постановлением Правительства Российской Федерации от 24 декабря 2021 №2464,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bidi="ar-SA"/>
              </w:rPr>
              <w:t>аттестован на право проектирования средств обеспечения пожарной безопасности зданий и сооружений, которые введены в эксплуатацию согласно постановления Правительства РФ от 30 ноября 2021 г. N 2106 “О порядке аттестации физических лиц на право проектирования средств обеспечения пожарной безопасности зданий и сооружений, которые введены в эксплуатацию.</w:t>
            </w:r>
          </w:p>
          <w:p>
            <w:pPr>
              <w:pStyle w:val="26"/>
              <w:widowControl w:val="false"/>
              <w:numPr>
                <w:ilvl w:val="1"/>
                <w:numId w:val="4"/>
              </w:numPr>
              <w:spacing w:before="0" w:after="0"/>
              <w:ind w:left="34" w:hanging="547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2. До начала проведения работ в рамках исполнения договора после его заключения Подрядчик должен предоставить документы:</w:t>
            </w:r>
          </w:p>
          <w:p>
            <w:pPr>
              <w:pStyle w:val="26"/>
              <w:widowControl w:val="false"/>
              <w:numPr>
                <w:ilvl w:val="1"/>
                <w:numId w:val="4"/>
              </w:numPr>
              <w:spacing w:before="0" w:after="0"/>
              <w:ind w:left="34" w:hanging="547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 • </w:t>
            </w:r>
            <w:r>
              <w:rPr>
                <w:rFonts w:cs="Times New Roman"/>
                <w:kern w:val="0"/>
                <w:lang w:val="ru-RU" w:bidi="ar-SA"/>
              </w:rPr>
              <w:t>список работников, которым будет предоставлено право выдачи наряда, права быть ответственными руководителями, производителями работ, членами бригады с указанием групп по электробезопасности;</w:t>
            </w:r>
          </w:p>
          <w:p>
            <w:pPr>
              <w:pStyle w:val="26"/>
              <w:widowControl w:val="false"/>
              <w:numPr>
                <w:ilvl w:val="1"/>
                <w:numId w:val="4"/>
              </w:numPr>
              <w:spacing w:before="0" w:after="0"/>
              <w:ind w:left="34" w:hanging="547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 • </w:t>
            </w:r>
            <w:r>
              <w:rPr>
                <w:rFonts w:cs="Times New Roman"/>
                <w:kern w:val="0"/>
                <w:lang w:val="ru-RU" w:bidi="ar-SA"/>
              </w:rPr>
              <w:t>копии удостоверений и протоколов проверки знаний:</w:t>
            </w:r>
          </w:p>
          <w:p>
            <w:pPr>
              <w:pStyle w:val="26"/>
              <w:widowControl w:val="false"/>
              <w:numPr>
                <w:ilvl w:val="1"/>
                <w:numId w:val="4"/>
              </w:numPr>
              <w:spacing w:before="0" w:after="0"/>
              <w:ind w:left="34" w:hanging="547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 • </w:t>
            </w:r>
            <w:r>
              <w:rPr>
                <w:rFonts w:cs="Times New Roman"/>
                <w:kern w:val="0"/>
                <w:lang w:val="ru-RU" w:bidi="ar-SA"/>
              </w:rPr>
              <w:t>требований по охране труда в соответствии с требованиями Постановления правительства Российской Федерации от 24 декабря 2021 г. № 2464 (в актуальной редакции),</w:t>
            </w:r>
          </w:p>
          <w:p>
            <w:pPr>
              <w:pStyle w:val="26"/>
              <w:widowControl w:val="false"/>
              <w:numPr>
                <w:ilvl w:val="1"/>
                <w:numId w:val="4"/>
              </w:numPr>
              <w:spacing w:before="0" w:after="0"/>
              <w:ind w:left="34" w:hanging="547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 • </w:t>
            </w:r>
            <w:r>
              <w:rPr>
                <w:rFonts w:cs="Times New Roman"/>
                <w:kern w:val="0"/>
                <w:lang w:val="ru-RU" w:bidi="ar-SA"/>
              </w:rPr>
              <w:t>подтверждающих группу по электробезопасности согласно требованиям Правил по ОТ при эксплуатации электроустановок;</w:t>
            </w:r>
          </w:p>
          <w:p>
            <w:pPr>
              <w:pStyle w:val="26"/>
              <w:widowControl w:val="false"/>
              <w:numPr>
                <w:ilvl w:val="1"/>
                <w:numId w:val="4"/>
              </w:numPr>
              <w:spacing w:before="0" w:after="0"/>
              <w:ind w:left="34" w:hanging="547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 • </w:t>
            </w:r>
            <w:r>
              <w:rPr>
                <w:rFonts w:cs="Times New Roman"/>
                <w:kern w:val="0"/>
                <w:lang w:val="ru-RU" w:bidi="ar-SA"/>
              </w:rPr>
              <w:t>копии заключений о прохождении персоналом Подрядчика медицинских осмотров (обследований);</w:t>
            </w:r>
          </w:p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360"/>
                <w:tab w:val="left" w:pos="900" w:leader="none"/>
              </w:tabs>
              <w:spacing w:before="0" w:after="0"/>
              <w:ind w:left="34" w:hanging="0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 xml:space="preserve"> • </w:t>
            </w:r>
            <w:r>
              <w:rPr>
                <w:rFonts w:cs="Times New Roman"/>
                <w:kern w:val="0"/>
                <w:lang w:val="ru-RU" w:bidi="ar-SA"/>
              </w:rPr>
              <w:t>копии заключений о прохождении психиатрического освидетельствования в соответствии с требованиями приказа Министерства Здравоохранения РФ от 20.05.2022 №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освидетельствование", Постановления Правительства РФ от 28.04.1993 № 377 (ред. от 23.09.2002) «О реализации Закона Российской Федерации «О психиатрической помощи и гарантиях прав граждан при ее оказании» (вместе с «Перечнем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опасности»).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5"/>
              </w:numPr>
              <w:spacing w:before="0" w:after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безопасности работ и охране труда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5"/>
              </w:numPr>
              <w:spacing w:before="0" w:after="0"/>
              <w:contextualSpacing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Требования к безопасности выполняемых работ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том числе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Подрядчик обязан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360" w:hanging="0"/>
              <w:contextualSpacing/>
              <w:jc w:val="center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lang w:val="ru-RU" w:bidi="ar-SA"/>
              </w:rPr>
              <w:t>2.</w:t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выпол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нения договора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360" w:hanging="0"/>
              <w:contextualSpacing/>
              <w:jc w:val="center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lang w:val="ru-RU" w:bidi="ar-SA"/>
              </w:rPr>
              <w:t>2.1.</w:t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Общие требования к результатам выполнения договора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cs="Times New Roman"/>
                <w:kern w:val="0"/>
                <w:sz w:val="24"/>
                <w:lang w:val="en-US" w:bidi="ar-SA"/>
              </w:rPr>
              <w:t>‍</w:t>
            </w:r>
            <w:r>
              <w:rPr>
                <w:rFonts w:cs="Times New Roman"/>
                <w:kern w:val="0"/>
                <w:sz w:val="24"/>
                <w:lang w:val="en-US" w:bidi="ar-SA"/>
              </w:rPr>
              <w:t>2.1.1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Объем подготовительных работ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Подрядчику предоставляется право пользования технической документацией архива Филиала;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Разработка и утверждение, согласование с Заказчиком соответственно Задания, программы обследования для разработки проектной документации. 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Организационно-технические мероприятия по допуску персонала проектной организации в зону проведения обследования.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cs="Times New Roman"/>
                <w:kern w:val="0"/>
                <w:sz w:val="24"/>
                <w:lang w:val="en-US" w:bidi="ar-SA"/>
              </w:rPr>
              <w:t>‍</w:t>
            </w:r>
            <w:r>
              <w:rPr>
                <w:rFonts w:cs="Times New Roman"/>
                <w:kern w:val="0"/>
                <w:sz w:val="24"/>
                <w:lang w:val="en-US" w:bidi="ar-SA"/>
              </w:rPr>
              <w:t>2.1.2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Требования к предпроектному обследованию </w:t>
            </w:r>
          </w:p>
        </w:tc>
        <w:tc>
          <w:tcPr>
            <w:tcW w:w="683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3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 В случае, если предпроектное обследование включает выполнение работ повышенной опасности (работы в действующих электроустановках, работы на высоте и т.д,), Подрядчик должен подготовить и согласовать с Заказчиком Проект производства работ (Технологическую карту) на производство указанных работ.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3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2. Собрать и обобщить материалы по проведенному предпроектному обследованию с формированием и предоставлением Заказчику отчета о проведенном комплексном предпроектном обследовании с заключениями, выводами и вариантом оснащения АПС и СОУЭ. </w:t>
            </w:r>
          </w:p>
        </w:tc>
        <w:tc>
          <w:tcPr>
            <w:tcW w:w="181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cs="Times New Roman"/>
                <w:kern w:val="0"/>
                <w:sz w:val="24"/>
                <w:lang w:val="en-US" w:bidi="ar-SA"/>
              </w:rPr>
              <w:t>2.1.1.</w:t>
            </w: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Требования к разработке проектной документации</w:t>
            </w:r>
          </w:p>
        </w:tc>
        <w:tc>
          <w:tcPr>
            <w:tcW w:w="683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3" w:leader="none"/>
              </w:tabs>
              <w:spacing w:lineRule="auto" w:line="240" w:before="0" w:after="0"/>
              <w:ind w:left="57" w:hanging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 В ПД должны быть отражены: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обоснования необходимости создания и основные технические решения по реализации АПС и СОУЭ помещений Чебоксарской ГЭС;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сроки, порядок и этапы выполнения работ по внедрению АПС и СОУЭ.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обоснования необходимости создания и основные технические решения по реализации автоматического отключения существующих систем кондиционирования помещений Чебоксарской ГЭС при срабатывании АПС;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сроки, порядок и этапы выполнения работ сопряжения АПС с системой кондиционирования (вентиляции — при необходимости).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Проектной документацией предусмотреть решения автоматического отключения систем кондиционирования (вентиляции — при необходимости) при срабатывании, в том числе существующих (действующих) приемно-контрольных или иных управляющих устройств АПС, АПТ.</w:t>
            </w:r>
          </w:p>
          <w:p>
            <w:pPr>
              <w:pStyle w:val="Normal"/>
              <w:widowControl w:val="false"/>
              <w:spacing w:lineRule="auto" w:line="240" w:before="0" w:after="0"/>
              <w:ind w:left="57" w:hanging="0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3. ПД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должна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содержать: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пояснительную записку, содержащую технические решения и требования к АПС и СОУЭ, алгоритм запуска противопожарных систем, а также решения по сопряжению АПС с существующими системами кондиционирования (вентиляции) в целях их отключения при срабатывании пожарной сигнализации.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структурные схемы АПС и СОУЭ и информационного взаимодействия с ВУ АСУТП, ВУ АПТ;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структурные схемы организации питания оборудования АПС и СОУЭ, включая расчеты выбора коммутационных аппаратов;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перечень сигналов АПС передаваемых и принимаемых с ВУ АСУТП и ВУ АПТ;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методику приемочных испытаний, методику проверок и испытаний АПС в процессе технического обслуживания;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регламент технического обслуживания АПС;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Устойчивость к электромагнитным помехам, поставляемого оборудования, должна соответствовать требованиям ГОСТ Р51317.6.5-2006 «Устойчивость к электромагнитным помехам технических средств, применяемых на электростанциях и подстанциях».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ПД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подлежит согласованию с Заказчиком.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разработке ПД предусмотреть максимальное использование и сохранение существующих строительных, механических и металлических конструкций, планировок помещений. Принимаемые технические решения должны обеспечить минимизацию затрат на реализацию и дальнейшую эксплуатацию, сокращение сроков выполнения работ.</w:t>
            </w:r>
          </w:p>
          <w:p>
            <w:pPr>
              <w:pStyle w:val="ListParagraph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uppressAutoHyphens w:val="false"/>
              <w:bidi w:val="0"/>
              <w:spacing w:lineRule="auto" w:line="240" w:before="0" w:after="0"/>
              <w:ind w:left="624" w:right="0" w:hanging="56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Проработать оптимизацию путей прокладки кабельных связей. При отсутствии возможности прокладки кабелей в существующих лотках предусмотреть дополнительные кабельные лотки, короба.</w:t>
            </w:r>
          </w:p>
          <w:p>
            <w:pPr>
              <w:pStyle w:val="ListParagraph"/>
              <w:widowControl w:val="false"/>
              <w:numPr>
                <w:ilvl w:val="1"/>
                <w:numId w:val="19"/>
              </w:numPr>
              <w:suppressAutoHyphens w:val="false"/>
              <w:bidi w:val="0"/>
              <w:spacing w:lineRule="auto" w:line="240" w:before="0" w:after="0"/>
              <w:ind w:left="624" w:right="0" w:hanging="567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 составе ПД должны быть разработаны требования к регламентному обслуживанию (объемы, нормы, периодичность, квалификация персонала, перечень необходимых материалов, инструментов и приспособлений).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ПД должна содержать: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полные (принципиальные схемы проектируемых устройств АПС и СОУЭ);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схемы подключения и схемы внешних связей с другими шкафами и смежными устройствами, системами;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схемы питания устройств АПС и СОУЭ;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схемы интеграции в ВУ АСУТП (ВУ АПТ);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схемы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изменений существующих и смежных систем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 xml:space="preserve">;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экранные формы отображения информации на АРМ ВУ АСУТП;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кабельные журналы (контрольные, силовые, информационные, с указанием способа прокладки и длины прокладки по каждому отдельному способу прокладки);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информацию по количеству, диаметру и длине пробивок и отверстий через стены и потолки для прокладки кабелей;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планы расположения шкафов оборудования АПС и СОУЭ;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планы расположения шкафов сопряжения АПС с системой кондиционирования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схему распределения кабельных связей, чертежи прокладки силовых и контрольных кабелей;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опросные листы на поставку типового оборудования или задания заводу на изготовление не типовых изделий (при необходимости);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перечень выходных информационных данных АПС для интеграции с ВУ АСУТП;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спецификации оборудования и материалов АПС и СОУЭ, спецификацию комплекта запасных частей;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спецификацию оборудования для сопряжения АПС с системой кондиционирования (вентиляции);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ведомость объемов работ, включая ведомость демонтажных работ отдельно по АПС и по СОУЭ;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информацию по применению коэффициентов на условия работ (коэффициенты стеснённости) с указанием конкретных работ и конкретных факторов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(для согласования сметных расчетов)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, категорию сложности оборудования АПС и СОУЭ для учета коэффициентов в составе сметной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укрупненную программу ПНР с указанием усложняющих коэффициентов и подсчетом количества налаживаемых входных-выходных каналов (в объеме для согласования сметных расчетов);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локальные и сводную сметы, определенные с применением ресурсно-индексного метода, при котором используются сметные нормы, сметные цены строительных ресурсов в базисном уровне цен с одновременным применением сметных цен, размещенных в ФГИС ЦС и индексов изменения сметной стоимости к группам однородных строительных ресурсов и отдельных видов прочих работ и затрат в базисном уровне цен, с привязкой к ценам региона расположения объекта строительства. Сметный расчет выполнить с применением программы «ГРАНД-СМЕТА».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 виде приложений к графической части ПД должны быть представлены: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расчет защитных характеристик и выбор коммутационных устройств питания постоянным и переменным током (при необходимости замены коммутационных устройств в существующих шкафах СОПТ и ЩСН-0,4 кВ);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расчёт кабелей электропитания по условиям термостойкости и невозгорания в режимах нагрузки и КЗ в цепях постоянного и переменного напряжения 0,4 кВ, выбор сечения кабелей на основании результатов расчетов;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подтверждение выполнения требований электромагнитной совместимости с указанием необходимых технических решений;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экранные формы ВУ АПТ по дооснащенным шлейфам АПС в соответствии со стилем существующего ВУ АПТ.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Устранение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замечаний ПД, выданных согласующими сторонами, выполняется Проектировщиком самостоятельно в рамках разработки ПД, в объеме требований настоящих ТТ и в сроки установленных этапов проектирования.</w:t>
            </w:r>
          </w:p>
          <w:p>
            <w:pPr>
              <w:pStyle w:val="Normal"/>
              <w:widowControl w:val="false"/>
              <w:numPr>
                <w:ilvl w:val="1"/>
                <w:numId w:val="19"/>
              </w:numPr>
              <w:tabs>
                <w:tab w:val="clear" w:pos="708"/>
                <w:tab w:val="left" w:pos="313" w:leader="none"/>
              </w:tabs>
              <w:spacing w:lineRule="auto" w:line="240" w:before="0" w:after="0"/>
              <w:ind w:left="313" w:hanging="31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Ведение авторского надзора не требуется.</w:t>
            </w:r>
          </w:p>
        </w:tc>
        <w:tc>
          <w:tcPr>
            <w:tcW w:w="1813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nil"/>
            </w:tcBorders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/>
              <w:jc w:val="center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lang w:val="ru-RU" w:bidi="ar-SA"/>
              </w:rPr>
              <w:t>2.2.</w:t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техническим и функциональным характеристикам объекта, которые должны быть достигнуты в результате выполнения договора, включая гарантируемые показатели</w:t>
            </w:r>
          </w:p>
        </w:tc>
        <w:tc>
          <w:tcPr>
            <w:tcW w:w="18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cs="Times New Roman"/>
                <w:kern w:val="0"/>
                <w:sz w:val="24"/>
                <w:lang w:val="en-US" w:bidi="ar-SA"/>
              </w:rPr>
              <w:t>2.2.1.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Требования к восстановлению работоспособности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Не более 2 часов при наличии полного комплекта запасных частей блоков с учетом времени выявления неисправности.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cs="Times New Roman"/>
                <w:kern w:val="0"/>
                <w:sz w:val="24"/>
                <w:lang w:val="en-US" w:bidi="ar-SA"/>
              </w:rPr>
              <w:t>2.2.</w:t>
            </w:r>
            <w:r>
              <w:rPr>
                <w:rFonts w:cs="Times New Roman"/>
                <w:kern w:val="0"/>
                <w:sz w:val="24"/>
                <w:lang w:val="ru-RU" w:bidi="ar-SA"/>
              </w:rPr>
              <w:t>2</w:t>
            </w:r>
            <w:r>
              <w:rPr>
                <w:rFonts w:cs="Times New Roman"/>
                <w:kern w:val="0"/>
                <w:sz w:val="24"/>
                <w:lang w:val="en-US" w:bidi="ar-SA"/>
              </w:rPr>
              <w:t>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Назначенный срок службы, не менее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10 лет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lang w:val="ru-RU" w:bidi="ar-SA"/>
              </w:rPr>
              <w:t>2.2.3.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Функциональные требования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Достоверное обнаружение возгораний в контролируемых помещениях, сигнализация и оповещение персонала о них, блокировка вентиляции при обнаружении возгораний.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/>
              <w:jc w:val="center"/>
              <w:rPr>
                <w:sz w:val="24"/>
              </w:rPr>
            </w:pPr>
            <w:r>
              <w:rPr>
                <w:rFonts w:cs="Times New Roman"/>
                <w:kern w:val="0"/>
                <w:sz w:val="24"/>
                <w:lang w:val="ru-RU" w:bidi="ar-SA"/>
              </w:rPr>
              <w:t>2.3.</w:t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Требования к порядку приемки результатов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выполнения договора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sz w:val="24"/>
                <w:lang w:val="ru-RU" w:bidi="ar-SA"/>
              </w:rPr>
              <w:t>2.3.1.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Приемка ПД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Приемка ПД возможна только после устранения всех замечаний  и согласования с Заказчиком в установленном порядке комплекта проектной документации, включая сметную документацию.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-117" w:hanging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2.4.</w:t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оформлению документации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25" w:hanging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bidi="ar-SA"/>
              </w:rPr>
              <w:t>2.4.1.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Форма представления документации</w:t>
            </w:r>
          </w:p>
        </w:tc>
        <w:tc>
          <w:tcPr>
            <w:tcW w:w="68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 Текстовая часть (пояснительная записка, план-график, описание алгоритмов работы, перечень томов ПД, перечни команд и т.д.) в электронном виде с возможностью правки в формате файлов соответствующих программ, с расширением: *.DOCX – WORD, или *.ODT – ODF (AlterOffice, OpenOffice и LibreOffice). Текстовая часть в электронном виде без возможности правки (с возможностью текстового поиска) в формате *.PDF. Не допускается разбивать документ на отдельные страницы-файлы.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 Сметы предоставляются в форматах: «Excel» и «pdf» (с подписями и печатью).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3. Формат предоставления текстовых документов – А4.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 Графическая часть (схемы, чертежи, кабельные журналы, схемы кабельных связей и т.д.) предоставляется в электронном виде с возможностью правки в формате файлов соответствующих программ, с расширением: *.VSD, или *.DWG, или *.ODG – AlterOffice, OpenOffice и LibreOffice, с обязательным приложением используемых шрифтов, форм и других файлов, необходимых для работы с передаваемой в электронном виде документацией. Предоставление документации в других форматах возможно только по предварительному согласованию с Заказчиком.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5. Электронный вариант документации предоставляется в 2-х экземплярах– на USB flash и DVD.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6. В бумажном варианте документация предоставляется в 3-х экземплярах в формате А4 или А3 (при невозможности размещения графической части в формате А4, А3 допускается применение форматов до А1 включительно).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7.Документация должна быть сброшюрована в виде одной или нескольких папок, снабженных соответствующими надписями на каждой обложке и описью содержащихся в папке материалов,  отдельно по АПС и по СОУЭ.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соблюдению положений нормативной и иной обязательной для подрядчика  документации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90" w:hanging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cs="Times New Roman"/>
                <w:kern w:val="0"/>
                <w:sz w:val="24"/>
                <w:szCs w:val="24"/>
                <w:lang w:val="en-US" w:bidi="ar-SA"/>
              </w:rPr>
              <w:t>3.1.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834" w:type="dxa"/>
            <w:tcBorders/>
          </w:tcPr>
          <w:p>
            <w:pPr>
              <w:pStyle w:val="ListParagraph"/>
              <w:widowControl w:val="false"/>
              <w:spacing w:before="0" w:after="0"/>
              <w:ind w:left="3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Работы должны осуществляться в соответствии с национальными, отраслевыми и корпоративными (ПАО «РусГидро») нормативно-техническими документами (НТД) и нормативно-правовыми актами (НПА) согласно Приложения №1.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contextualSpacing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ответственности, гарантиям и послегарантийному обслуживанию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1002" w:hRule="atLeast"/>
        </w:trPr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spacing w:before="0" w:after="0"/>
              <w:ind w:left="90" w:hanging="0"/>
              <w:contextualSpacing/>
              <w:jc w:val="left"/>
              <w:rPr>
                <w:sz w:val="24"/>
                <w:lang w:val="en-US"/>
              </w:rPr>
            </w:pPr>
            <w:r>
              <w:rPr>
                <w:rFonts w:cs="Times New Roman"/>
                <w:kern w:val="0"/>
                <w:sz w:val="24"/>
                <w:lang w:val="en-US" w:bidi="ar-SA"/>
              </w:rPr>
              <w:t>4.1.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 гарантии на результаты работ</w:t>
            </w:r>
          </w:p>
        </w:tc>
        <w:tc>
          <w:tcPr>
            <w:tcW w:w="68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В течении гарантийного срока, который должен составлять не менее 60 месяцев с момента приемки работ по актам выполненных работ,  своими силами и безвозмездно осуществлять доработку ПД, качественно и своевременно исправлять все ошибки и неточности, если в процессе выполнения Заказчиком и/или привлеченными третьими лицами строительно-монтажных работ по данной ПД будут обнаружены недостатки разработанных технических решений.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b/>
                <w:bCs/>
              </w:rPr>
            </w:pPr>
            <w:r>
              <w:rPr>
                <w:rFonts w:eastAsia="Calibri" w:cs="Times New Roman" w:ascii="Calibri" w:hAnsi="Calibri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contextualSpacing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85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Прочие требования</w:t>
            </w:r>
          </w:p>
        </w:tc>
        <w:tc>
          <w:tcPr>
            <w:tcW w:w="181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21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8"/>
              </w:numPr>
              <w:spacing w:before="0" w:after="0"/>
              <w:ind w:left="-117" w:firstLine="142"/>
              <w:contextualSpacing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Иные требования</w:t>
            </w:r>
          </w:p>
        </w:tc>
        <w:tc>
          <w:tcPr>
            <w:tcW w:w="68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0"/>
              </w:numPr>
              <w:tabs>
                <w:tab w:val="clear" w:pos="708"/>
                <w:tab w:val="left" w:pos="172" w:leader="none"/>
              </w:tabs>
              <w:spacing w:before="0" w:after="0"/>
              <w:ind w:left="313" w:hanging="313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Участник в составе заявки должен представить Календарный график выполнения проектных работ с указанием предлагаемых стоимостей по этапам.</w:t>
            </w:r>
          </w:p>
          <w:p>
            <w:pPr>
              <w:pStyle w:val="ListParagraph"/>
              <w:widowControl w:val="false"/>
              <w:numPr>
                <w:ilvl w:val="2"/>
                <w:numId w:val="20"/>
              </w:numPr>
              <w:tabs>
                <w:tab w:val="clear" w:pos="708"/>
                <w:tab w:val="left" w:pos="172" w:leader="none"/>
              </w:tabs>
              <w:spacing w:before="0" w:after="0"/>
              <w:ind w:left="313" w:hanging="313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  <w:p>
            <w:pPr>
              <w:pStyle w:val="ListParagraph"/>
              <w:widowControl w:val="false"/>
              <w:numPr>
                <w:ilvl w:val="2"/>
                <w:numId w:val="20"/>
              </w:numPr>
              <w:tabs>
                <w:tab w:val="clear" w:pos="708"/>
                <w:tab w:val="left" w:pos="172" w:leader="none"/>
              </w:tabs>
              <w:spacing w:before="0" w:after="0"/>
              <w:ind w:left="313" w:hanging="313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Требования к персоналу субподрядных организаций аналогичны требованиям к персоналу Подрядчика в соответствии с п.1.4. таблицы 3 настоящих ТТ.</w:t>
            </w:r>
          </w:p>
        </w:tc>
        <w:tc>
          <w:tcPr>
            <w:tcW w:w="181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cs="Times New Roman"/>
                <w:kern w:val="0"/>
                <w:lang w:val="ru-RU" w:eastAsia="ru-RU" w:bidi="ar-SA"/>
              </w:rPr>
            </w:pPr>
            <w:bookmarkStart w:id="68" w:name="__RefHeading___Toc31149_2708575354"/>
            <w:bookmarkStart w:id="69" w:name="_Toc179983664"/>
            <w:bookmarkEnd w:id="68"/>
            <w:r>
              <w:rPr>
                <w:rFonts w:eastAsia="Calibri" w:cs="Times New Roman" w:ascii="Calibri" w:hAnsi="Calibri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  <w:bookmarkEnd w:id="69"/>
          </w:p>
        </w:tc>
        <w:tc>
          <w:tcPr>
            <w:tcW w:w="1703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298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1701" w:right="851" w:gutter="0" w:header="709" w:top="1134" w:footer="386" w:bottom="1134"/>
          <w:pgNumType w:fmt="decimal"/>
          <w:formProt w:val="false"/>
          <w:textDirection w:val="lrTb"/>
          <w:docGrid w:type="default" w:linePitch="299" w:charSpace="0"/>
        </w:sectPr>
      </w:pPr>
    </w:p>
    <w:p>
      <w:pPr>
        <w:pStyle w:val="14"/>
        <w:numPr>
          <w:ilvl w:val="0"/>
          <w:numId w:val="14"/>
        </w:numPr>
        <w:tabs>
          <w:tab w:val="clear" w:pos="360"/>
          <w:tab w:val="clear" w:pos="900"/>
          <w:tab w:val="left" w:pos="567" w:leader="none"/>
        </w:tabs>
        <w:spacing w:before="240" w:after="0"/>
        <w:jc w:val="center"/>
        <w:outlineLvl w:val="0"/>
        <w:rPr/>
      </w:pPr>
      <w:bookmarkStart w:id="70" w:name="__RefHeading___Toc18851_4283400736"/>
      <w:bookmarkStart w:id="71" w:name="_Toc135142152"/>
      <w:bookmarkStart w:id="72" w:name="_Toc179983665"/>
      <w:bookmarkEnd w:id="70"/>
      <w:r>
        <w:rPr/>
        <w:t>Требования к документации по ценообразованию на этапе закупки</w:t>
      </w:r>
      <w:bookmarkEnd w:id="71"/>
      <w:bookmarkEnd w:id="72"/>
    </w:p>
    <w:p>
      <w:pPr>
        <w:pStyle w:val="BodyText"/>
        <w:rPr>
          <w:sz w:val="24"/>
          <w:szCs w:val="24"/>
        </w:rPr>
      </w:pPr>
      <w:bookmarkStart w:id="73" w:name="__RefHeading___Toc31153_2708575354"/>
      <w:bookmarkEnd w:id="73"/>
      <w:r>
        <w:rPr>
          <w:sz w:val="24"/>
          <w:szCs w:val="24"/>
        </w:rPr>
        <w:tab/>
      </w:r>
      <w:bookmarkStart w:id="74" w:name="_Toc179983666"/>
      <w:r>
        <w:rPr>
          <w:sz w:val="24"/>
          <w:szCs w:val="24"/>
        </w:rPr>
        <w:t>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74"/>
    </w:p>
    <w:p>
      <w:pPr>
        <w:pStyle w:val="14"/>
        <w:numPr>
          <w:ilvl w:val="0"/>
          <w:numId w:val="0"/>
        </w:numPr>
        <w:tabs>
          <w:tab w:val="clear" w:pos="360"/>
          <w:tab w:val="clear" w:pos="900"/>
          <w:tab w:val="left" w:pos="567" w:leader="none"/>
        </w:tabs>
        <w:ind w:left="567" w:firstLine="567"/>
        <w:outlineLvl w:val="0"/>
        <w:rPr>
          <w:b w:val="false"/>
        </w:rPr>
      </w:pPr>
      <w:r>
        <w:rPr>
          <w:b w:val="false"/>
        </w:rPr>
      </w:r>
      <w:bookmarkStart w:id="75" w:name="__RefHeading___Toc31155_2708575354"/>
      <w:bookmarkStart w:id="76" w:name="__RefHeading___Toc31155_2708575354"/>
      <w:bookmarkEnd w:id="76"/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14"/>
        <w:numPr>
          <w:ilvl w:val="0"/>
          <w:numId w:val="14"/>
        </w:numPr>
        <w:tabs>
          <w:tab w:val="clear" w:pos="360"/>
          <w:tab w:val="clear" w:pos="900"/>
          <w:tab w:val="left" w:pos="567" w:leader="none"/>
        </w:tabs>
        <w:spacing w:before="240" w:after="0"/>
        <w:jc w:val="center"/>
        <w:outlineLvl w:val="0"/>
        <w:rPr/>
      </w:pPr>
      <w:bookmarkStart w:id="77" w:name="__RefHeading___Toc18853_4283400736"/>
      <w:bookmarkStart w:id="78" w:name="_Toc179983668"/>
      <w:bookmarkStart w:id="79" w:name="_Toc135142153"/>
      <w:bookmarkEnd w:id="77"/>
      <w:r>
        <w:rPr/>
        <w:t>Требования к документации по ценообразованию на этапе заключения</w:t>
        <w:br/>
        <w:t xml:space="preserve"> (исполнения) договора</w:t>
      </w:r>
      <w:bookmarkEnd w:id="78"/>
      <w:bookmarkEnd w:id="79"/>
    </w:p>
    <w:p>
      <w:pPr>
        <w:pStyle w:val="BodyText"/>
        <w:jc w:val="both"/>
        <w:rPr>
          <w:sz w:val="24"/>
          <w:szCs w:val="24"/>
        </w:rPr>
      </w:pPr>
      <w:bookmarkStart w:id="80" w:name="__RefHeading___Toc31159_2708575354"/>
      <w:bookmarkEnd w:id="80"/>
      <w:r>
        <w:rPr>
          <w:sz w:val="24"/>
          <w:szCs w:val="24"/>
        </w:rPr>
        <w:tab/>
      </w:r>
      <w:bookmarkStart w:id="81" w:name="_Toc179983669"/>
      <w:r>
        <w:rPr>
          <w:sz w:val="24"/>
          <w:szCs w:val="24"/>
        </w:rPr>
        <w:t>В рамках реализации договора необходимо составлять и оформлять сметную документацию в обоснование стоимости работ по монтажу поставляемого оборудования с требованиями, указанными в приложении № 7 к настоящим Техническим требованиям.</w:t>
      </w:r>
      <w:bookmarkEnd w:id="81"/>
    </w:p>
    <w:p>
      <w:pPr>
        <w:pStyle w:val="BodyText"/>
        <w:jc w:val="both"/>
        <w:rPr/>
      </w:pPr>
      <w:bookmarkStart w:id="82" w:name="__RefHeading___Toc31161_2708575354"/>
      <w:bookmarkEnd w:id="82"/>
      <w:r>
        <w:rPr>
          <w:sz w:val="24"/>
          <w:szCs w:val="24"/>
        </w:rPr>
        <w:tab/>
      </w:r>
      <w:bookmarkStart w:id="83" w:name="_Toc179983670"/>
      <w:r>
        <w:rPr>
          <w:sz w:val="24"/>
          <w:szCs w:val="24"/>
        </w:rPr>
        <w:t>Выполнение проектных работ производится в таком объеме, который позволяет начать выполнение строительно-монтажных работ без корректировки проекта.</w:t>
      </w:r>
      <w:bookmarkEnd w:id="83"/>
    </w:p>
    <w:p>
      <w:pPr>
        <w:pStyle w:val="BodyText"/>
        <w:jc w:val="both"/>
        <w:rPr/>
      </w:pPr>
      <w:bookmarkStart w:id="84" w:name="__RefHeading___Toc31163_2708575354"/>
      <w:bookmarkEnd w:id="84"/>
      <w:r>
        <w:rPr>
          <w:sz w:val="24"/>
          <w:szCs w:val="24"/>
        </w:rPr>
        <w:tab/>
      </w:r>
      <w:bookmarkStart w:id="85" w:name="_Toc179983671"/>
      <w:r>
        <w:rPr>
          <w:sz w:val="24"/>
          <w:szCs w:val="24"/>
        </w:rPr>
        <w:t>На основании вышеуказанного подтвердить исключение при исполнении договора заключение дополнительных соглашений на увеличение объёмов и стоимости работ.</w:t>
      </w:r>
      <w:bookmarkEnd w:id="85"/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14"/>
        <w:numPr>
          <w:ilvl w:val="0"/>
          <w:numId w:val="14"/>
        </w:numPr>
        <w:tabs>
          <w:tab w:val="clear" w:pos="360"/>
          <w:tab w:val="clear" w:pos="900"/>
          <w:tab w:val="left" w:pos="567" w:leader="none"/>
        </w:tabs>
        <w:spacing w:before="240" w:after="0"/>
        <w:jc w:val="center"/>
        <w:outlineLvl w:val="0"/>
        <w:rPr/>
      </w:pPr>
      <w:bookmarkStart w:id="86" w:name="__RefHeading___Toc18855_4283400736"/>
      <w:bookmarkStart w:id="87" w:name="_Toc179983672"/>
      <w:bookmarkStart w:id="88" w:name="_Toc135142154"/>
      <w:bookmarkEnd w:id="86"/>
      <w:r>
        <w:rPr/>
        <w:t>Приложения</w:t>
      </w:r>
      <w:bookmarkEnd w:id="87"/>
      <w:bookmarkEnd w:id="88"/>
    </w:p>
    <w:p>
      <w:pPr>
        <w:pStyle w:val="26"/>
        <w:numPr>
          <w:ilvl w:val="0"/>
          <w:numId w:val="0"/>
        </w:numPr>
        <w:tabs>
          <w:tab w:val="clear" w:pos="360"/>
          <w:tab w:val="left" w:pos="567" w:leader="none"/>
          <w:tab w:val="left" w:pos="900" w:leader="none"/>
        </w:tabs>
        <w:spacing w:before="120" w:after="0"/>
        <w:ind w:left="567" w:hanging="0"/>
        <w:rPr/>
      </w:pPr>
      <w:r>
        <w:rPr/>
        <w:t>Приложение № 1: Перечень НТД.</w:t>
      </w:r>
    </w:p>
    <w:p>
      <w:pPr>
        <w:pStyle w:val="26"/>
        <w:numPr>
          <w:ilvl w:val="0"/>
          <w:numId w:val="0"/>
        </w:numPr>
        <w:tabs>
          <w:tab w:val="clear" w:pos="360"/>
          <w:tab w:val="left" w:pos="567" w:leader="none"/>
          <w:tab w:val="left" w:pos="900" w:leader="none"/>
        </w:tabs>
        <w:spacing w:before="120" w:after="0"/>
        <w:ind w:left="567" w:hanging="0"/>
        <w:rPr/>
      </w:pPr>
      <w:r>
        <w:rPr/>
        <w:t xml:space="preserve">Приложение № 2: Перечень помещений для оснащения АПС. </w:t>
      </w:r>
    </w:p>
    <w:p>
      <w:pPr>
        <w:pStyle w:val="26"/>
        <w:numPr>
          <w:ilvl w:val="0"/>
          <w:numId w:val="0"/>
        </w:numPr>
        <w:tabs>
          <w:tab w:val="clear" w:pos="360"/>
          <w:tab w:val="left" w:pos="567" w:leader="none"/>
          <w:tab w:val="left" w:pos="900" w:leader="none"/>
        </w:tabs>
        <w:spacing w:before="120" w:after="0"/>
        <w:ind w:left="567" w:hanging="0"/>
        <w:rPr/>
      </w:pPr>
      <w:r>
        <w:rPr/>
        <w:t>Приложение № 3: Перечень помещений для оснащения СОУЭ.</w:t>
      </w:r>
    </w:p>
    <w:p>
      <w:pPr>
        <w:pStyle w:val="26"/>
        <w:numPr>
          <w:ilvl w:val="0"/>
          <w:numId w:val="0"/>
        </w:numPr>
        <w:tabs>
          <w:tab w:val="clear" w:pos="360"/>
          <w:tab w:val="left" w:pos="567" w:leader="none"/>
          <w:tab w:val="left" w:pos="900" w:leader="none"/>
        </w:tabs>
        <w:spacing w:before="120" w:after="0"/>
        <w:ind w:left="567" w:hanging="0"/>
        <w:rPr/>
      </w:pPr>
      <w:r>
        <w:rPr/>
        <w:t>Приложение № 4: Положение о пропускном и внутриобъектовом режимах Филиала ПАО «РусГидро» – «Чебоксарская ГЭС».</w:t>
      </w:r>
    </w:p>
    <w:p>
      <w:pPr>
        <w:pStyle w:val="26"/>
        <w:numPr>
          <w:ilvl w:val="0"/>
          <w:numId w:val="0"/>
        </w:numPr>
        <w:tabs>
          <w:tab w:val="clear" w:pos="360"/>
          <w:tab w:val="left" w:pos="567" w:leader="none"/>
          <w:tab w:val="left" w:pos="900" w:leader="none"/>
        </w:tabs>
        <w:spacing w:before="120" w:after="0"/>
        <w:ind w:left="567" w:hanging="0"/>
        <w:rPr/>
      </w:pPr>
      <w:r>
        <w:rPr/>
        <w:t>Приложение № 5: Методика допуска персонала подрядных организаций к выполнению работ на объектах Общества.</w:t>
      </w:r>
    </w:p>
    <w:p>
      <w:pPr>
        <w:pStyle w:val="26"/>
        <w:numPr>
          <w:ilvl w:val="0"/>
          <w:numId w:val="0"/>
        </w:numPr>
        <w:tabs>
          <w:tab w:val="clear" w:pos="360"/>
          <w:tab w:val="left" w:pos="567" w:leader="none"/>
          <w:tab w:val="left" w:pos="900" w:leader="none"/>
        </w:tabs>
        <w:spacing w:before="120" w:after="0"/>
        <w:ind w:left="567" w:hanging="0"/>
        <w:rPr/>
      </w:pPr>
      <w:r>
        <w:rPr/>
        <w:t>Приложение № 6: Техническая политика Группы РусГидро.</w:t>
      </w:r>
    </w:p>
    <w:p>
      <w:pPr>
        <w:pStyle w:val="26"/>
        <w:numPr>
          <w:ilvl w:val="0"/>
          <w:numId w:val="0"/>
        </w:numPr>
        <w:spacing w:before="120" w:after="0"/>
        <w:ind w:left="567" w:hanging="0"/>
        <w:rPr/>
      </w:pPr>
      <w:r>
        <w:rPr/>
        <w:t xml:space="preserve">Приложение № 7: Требования к оформлению и составлению документации по ценообразованию. </w:t>
      </w:r>
    </w:p>
    <w:p>
      <w:pPr>
        <w:pStyle w:val="26"/>
        <w:numPr>
          <w:ilvl w:val="0"/>
          <w:numId w:val="0"/>
        </w:numPr>
        <w:spacing w:before="120" w:after="0"/>
        <w:ind w:left="567" w:hanging="0"/>
        <w:rPr/>
      </w:pPr>
      <w:r>
        <w:rPr/>
        <w:t>Приложение № 8: Типовые проектные решения на создание (модернизацию, замену) установок противопожарной защиты технологического оборудования, помещений и наружных установок. 87-07-2015-ИСПБ.ТПР.</w:t>
      </w:r>
    </w:p>
    <w:p>
      <w:pPr>
        <w:pStyle w:val="26"/>
        <w:numPr>
          <w:ilvl w:val="0"/>
          <w:numId w:val="0"/>
        </w:numPr>
        <w:spacing w:before="120" w:after="0"/>
        <w:ind w:left="567" w:hanging="0"/>
        <w:rPr/>
      </w:pPr>
      <w:r>
        <w:rPr/>
        <w:t>Приложение №9: П</w:t>
      </w:r>
      <w:r>
        <w:rPr>
          <w:b w:val="false"/>
          <w:i w:val="false"/>
          <w:caps w:val="false"/>
          <w:smallCaps w:val="false"/>
          <w:spacing w:val="0"/>
        </w:rPr>
        <w:t>роектная документация «Системы автоматической пожарной сигнализации и</w:t>
      </w:r>
      <w:r>
        <w:rPr>
          <w:caps w:val="false"/>
          <w:smallCaps w:val="false"/>
          <w:spacing w:val="0"/>
        </w:rPr>
        <w:t xml:space="preserve"> </w:t>
      </w:r>
      <w:r>
        <w:rPr>
          <w:b w:val="false"/>
          <w:i w:val="false"/>
          <w:caps w:val="false"/>
          <w:smallCaps w:val="false"/>
          <w:spacing w:val="0"/>
        </w:rPr>
        <w:t>системы оповещения и управления эвакуацией Чебоксарской ГЭС (очередь</w:t>
      </w:r>
      <w:r>
        <w:rPr>
          <w:caps w:val="false"/>
          <w:smallCaps w:val="false"/>
          <w:spacing w:val="0"/>
        </w:rPr>
        <w:t xml:space="preserve"> </w:t>
      </w:r>
      <w:r>
        <w:rPr>
          <w:b w:val="false"/>
          <w:i w:val="false"/>
          <w:caps w:val="false"/>
          <w:smallCaps w:val="false"/>
          <w:spacing w:val="0"/>
        </w:rPr>
        <w:t>1).</w:t>
      </w:r>
    </w:p>
    <w:p>
      <w:pPr>
        <w:pStyle w:val="26"/>
        <w:numPr>
          <w:ilvl w:val="0"/>
          <w:numId w:val="0"/>
        </w:numPr>
        <w:spacing w:before="120" w:after="0"/>
        <w:ind w:left="567" w:hanging="0"/>
        <w:rPr/>
      </w:pPr>
      <w:r>
        <w:rPr/>
      </w:r>
    </w:p>
    <w:p>
      <w:pPr>
        <w:pStyle w:val="26"/>
        <w:numPr>
          <w:ilvl w:val="0"/>
          <w:numId w:val="0"/>
        </w:numPr>
        <w:spacing w:before="120" w:after="0"/>
        <w:ind w:left="567" w:hanging="0"/>
        <w:rPr/>
      </w:pPr>
      <w:r>
        <w:rPr/>
      </w:r>
    </w:p>
    <w:p>
      <w:pPr>
        <w:pStyle w:val="26"/>
        <w:numPr>
          <w:ilvl w:val="0"/>
          <w:numId w:val="0"/>
        </w:numPr>
        <w:ind w:left="-121" w:hanging="0"/>
        <w:rPr/>
      </w:pPr>
      <w:r>
        <w:rPr/>
      </w:r>
    </w:p>
    <w:p>
      <w:pPr>
        <w:pStyle w:val="26"/>
        <w:numPr>
          <w:ilvl w:val="0"/>
          <w:numId w:val="0"/>
        </w:numPr>
        <w:ind w:left="-121" w:hanging="0"/>
        <w:rPr/>
      </w:pPr>
      <w:r>
        <w:rPr/>
      </w:r>
    </w:p>
    <w:p>
      <w:pPr>
        <w:pStyle w:val="26"/>
        <w:numPr>
          <w:ilvl w:val="0"/>
          <w:numId w:val="0"/>
        </w:numPr>
        <w:ind w:left="-121" w:hanging="0"/>
        <w:rPr/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134" w:right="849" w:gutter="0" w:header="709" w:top="851" w:footer="386" w:bottom="1701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Sylfaen">
    <w:charset w:val="01"/>
    <w:family w:val="roman"/>
    <w:pitch w:val="variable"/>
  </w:font>
  <w:font w:name="Tahoma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ISOCPEUR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thinThickSmallGap" w:sz="24" w:space="1" w:color="622423"/>
      </w:pBdr>
      <w:tabs>
        <w:tab w:val="center" w:pos="4536" w:leader="none"/>
        <w:tab w:val="right" w:pos="9072" w:leader="none"/>
        <w:tab w:val="right" w:pos="9354" w:leader="none"/>
      </w:tabs>
      <w:rPr/>
    </w:pPr>
    <w:r>
      <w:rPr>
        <w:rFonts w:ascii="Cambria" w:hAnsi="Cambria"/>
        <w:i/>
      </w:rPr>
      <w:t>Технические требования. ОКПД2 71.12.19.100. Разработка проектной документации системы автоматической пожарной сигнализации и системы оповещения и управления эвакуацией Чебоксарской ГЭС (очередь 2)</w:t>
    </w:r>
    <w:r>
      <w:rPr>
        <w:rFonts w:ascii="Cambria" w:hAnsi="Cambria"/>
      </w:rPr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thinThickSmallGap" w:sz="24" w:space="1" w:color="622423"/>
      </w:pBdr>
      <w:tabs>
        <w:tab w:val="center" w:pos="4536" w:leader="none"/>
        <w:tab w:val="right" w:pos="9072" w:leader="none"/>
        <w:tab w:val="right" w:pos="9354" w:leader="none"/>
      </w:tabs>
      <w:rPr/>
    </w:pPr>
    <w:r>
      <w:rPr>
        <w:rFonts w:ascii="Cambria" w:hAnsi="Cambria"/>
        <w:i/>
      </w:rPr>
      <w:t>Технические требования. ОКПД2 71.12.19.100. Разработка проектной документации системы автоматической пожарной сигнализации и системы оповещения и управления эвакуацией Чебоксарской ГЭС (очередь 2)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thinThickSmallGap" w:sz="24" w:space="1" w:color="622423"/>
      </w:pBdr>
      <w:tabs>
        <w:tab w:val="clear" w:pos="4536"/>
        <w:tab w:val="clear" w:pos="9072"/>
        <w:tab w:val="right" w:pos="9354" w:leader="none"/>
      </w:tabs>
      <w:rPr/>
    </w:pPr>
    <w:r>
      <w:rPr>
        <w:rFonts w:ascii="Cambria" w:hAnsi="Cambria"/>
        <w:i/>
      </w:rPr>
      <w:t>Технические требования. ОКПД2 71.12.19.100. Разработка проектной документации системы автоматической пожарной сигнализации и системы оповещения и управления эвакуацией Чебоксарской ГЭС (очередь 2)</w:t>
    </w:r>
    <w:r>
      <w:rPr>
        <w:rFonts w:ascii="Cambria" w:hAnsi="Cambria"/>
      </w:rPr>
      <w:tab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3028869"/>
    </w:sdtPr>
    <w:sdtContent>
      <w:p>
        <w:pPr>
          <w:pStyle w:val="Header"/>
          <w:spacing w:before="0" w:after="20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35186068"/>
    </w:sdtPr>
    <w:sdtContent>
      <w:p>
        <w:pPr>
          <w:pStyle w:val="Header"/>
          <w:spacing w:before="0" w:after="20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65591419"/>
    </w:sdtPr>
    <w:sdtContent>
      <w:p>
        <w:pPr>
          <w:pStyle w:val="Header"/>
          <w:spacing w:before="0" w:after="20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→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1.%1."/>
      <w:lvlJc w:val="left"/>
      <w:pPr>
        <w:tabs>
          <w:tab w:val="num" w:pos="495"/>
        </w:tabs>
        <w:ind w:left="495" w:hanging="495"/>
      </w:pPr>
      <w:rPr>
        <w:sz w:val="24"/>
        <w:i w:val="false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1314"/>
        </w:tabs>
        <w:ind w:left="1257" w:hanging="547"/>
      </w:pPr>
      <w:rPr>
        <w:sz w:val="24"/>
        <w:b w:val="false"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93"/>
        </w:tabs>
        <w:ind w:left="937" w:hanging="227"/>
      </w:pPr>
      <w:rPr>
        <w:sz w:val="24"/>
        <w:i w:val="false"/>
        <w:b w:val="false"/>
        <w:szCs w:val="24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sz w:val="28"/>
        <w:i w:val="false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z w:val="28"/>
        <w:i w:val="false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8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eastAsia="Times New Roman" w:cs="Times New Roman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2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6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6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1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5" w:hanging="180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9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0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b w:val="false"/>
        <w:rFonts w:ascii="Times New Roman" w:hAnsi="Times New Roman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792" w:hanging="508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1224" w:hanging="8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12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5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  <w:documentProtection w:edit="trackedChanges" w:enforcement="1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0" w:semiHidden="1" w:unhideWhenUsed="1"/>
    <w:lsdException w:name="toc 5" w:uiPriority="0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f4985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BodyText"/>
    <w:link w:val="1"/>
    <w:autoRedefine/>
    <w:qFormat/>
    <w:rsid w:val="005017f3"/>
    <w:pPr>
      <w:keepNext w:val="true"/>
      <w:widowControl w:val="false"/>
      <w:spacing w:lineRule="auto" w:line="240" w:before="0" w:after="0"/>
      <w:jc w:val="both"/>
      <w:outlineLvl w:val="0"/>
    </w:pPr>
    <w:rPr>
      <w:rFonts w:ascii="Times New Roman" w:hAnsi="Times New Roman" w:eastAsia="Times New Roman"/>
      <w:bC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uiPriority w:val="9"/>
    <w:qFormat/>
    <w:rsid w:val="004a580e"/>
    <w:pPr>
      <w:keepNext w:val="true"/>
      <w:keepLines/>
      <w:widowControl w:val="false"/>
      <w:spacing w:lineRule="auto" w:line="240"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  <w:lang w:eastAsia="ru-RU"/>
    </w:rPr>
  </w:style>
  <w:style w:type="paragraph" w:styleId="Heading3">
    <w:name w:val="Heading 3"/>
    <w:basedOn w:val="Normal"/>
    <w:next w:val="Normal"/>
    <w:link w:val="3"/>
    <w:qFormat/>
    <w:rsid w:val="004a580e"/>
    <w:pPr>
      <w:keepNext w:val="true"/>
      <w:keepLines/>
      <w:widowControl w:val="false"/>
      <w:spacing w:lineRule="auto" w:line="240" w:before="200" w:after="0"/>
      <w:outlineLvl w:val="2"/>
    </w:pPr>
    <w:rPr>
      <w:rFonts w:ascii="Cambria" w:hAnsi="Cambria" w:eastAsia="Times New Roman"/>
      <w:b/>
      <w:bCs/>
      <w:color w:val="4F81BD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4"/>
    <w:uiPriority w:val="9"/>
    <w:qFormat/>
    <w:rsid w:val="00956dcd"/>
    <w:pPr>
      <w:keepNext w:val="true"/>
      <w:tabs>
        <w:tab w:val="clear" w:pos="708"/>
        <w:tab w:val="left" w:pos="2160" w:leader="none"/>
      </w:tabs>
      <w:spacing w:lineRule="auto" w:line="240" w:before="120" w:after="60"/>
      <w:ind w:left="1728" w:hanging="648"/>
      <w:outlineLvl w:val="3"/>
    </w:pPr>
    <w:rPr>
      <w:rFonts w:ascii="Times New Roman" w:hAnsi="Times New Roman" w:eastAsia="Times New Roman"/>
      <w:b/>
      <w:bCs/>
      <w:sz w:val="26"/>
      <w:szCs w:val="28"/>
      <w:lang w:eastAsia="ru-RU"/>
    </w:rPr>
  </w:style>
  <w:style w:type="paragraph" w:styleId="Heading5">
    <w:name w:val="Heading 5"/>
    <w:next w:val="Normal"/>
    <w:link w:val="51"/>
    <w:uiPriority w:val="9"/>
    <w:qFormat/>
    <w:rsid w:val="00956dcd"/>
    <w:pPr>
      <w:keepNext w:val="true"/>
      <w:widowControl w:val="false"/>
      <w:shd w:val="clear" w:color="auto" w:fill="FFFFFF"/>
      <w:tabs>
        <w:tab w:val="clear" w:pos="708"/>
        <w:tab w:val="left" w:pos="2748" w:leader="none"/>
      </w:tabs>
      <w:suppressAutoHyphens w:val="true"/>
      <w:bidi w:val="0"/>
      <w:spacing w:lineRule="auto" w:line="360" w:beforeAutospacing="1" w:after="0"/>
      <w:ind w:left="2460" w:hanging="792"/>
      <w:jc w:val="left"/>
      <w:outlineLvl w:val="4"/>
    </w:pPr>
    <w:rPr>
      <w:rFonts w:ascii="Times New Roman" w:hAnsi="Times New Roman" w:eastAsia="Times New Roman" w:cs="Times New Roman"/>
      <w:b/>
      <w:bCs/>
      <w:color w:val="000000"/>
      <w:spacing w:val="-16"/>
      <w:kern w:val="0"/>
      <w:sz w:val="24"/>
      <w:szCs w:val="34"/>
      <w:lang w:val="ru-RU" w:eastAsia="ru-RU" w:bidi="ar-SA"/>
    </w:rPr>
  </w:style>
  <w:style w:type="paragraph" w:styleId="Heading6">
    <w:name w:val="Heading 6"/>
    <w:basedOn w:val="Normal"/>
    <w:next w:val="Normal"/>
    <w:link w:val="61"/>
    <w:uiPriority w:val="9"/>
    <w:qFormat/>
    <w:rsid w:val="000d0446"/>
    <w:pPr>
      <w:keepNext w:val="true"/>
      <w:keepLines/>
      <w:spacing w:lineRule="auto" w:line="240" w:before="200" w:after="0"/>
      <w:outlineLvl w:val="5"/>
    </w:pPr>
    <w:rPr>
      <w:rFonts w:ascii="Cambria" w:hAnsi="Cambria"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1"/>
    <w:uiPriority w:val="9"/>
    <w:qFormat/>
    <w:rsid w:val="000d0446"/>
    <w:pPr>
      <w:keepNext w:val="true"/>
      <w:keepLines/>
      <w:spacing w:lineRule="auto" w:line="240" w:before="200" w:after="0"/>
      <w:outlineLvl w:val="6"/>
    </w:pPr>
    <w:rPr>
      <w:rFonts w:ascii="Cambria" w:hAnsi="Cambria"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1"/>
    <w:uiPriority w:val="9"/>
    <w:qFormat/>
    <w:rsid w:val="000d0446"/>
    <w:pPr>
      <w:keepNext w:val="true"/>
      <w:keepLines/>
      <w:spacing w:lineRule="auto" w:line="240" w:before="200" w:after="0"/>
      <w:outlineLvl w:val="7"/>
    </w:pPr>
    <w:rPr>
      <w:rFonts w:ascii="Cambria" w:hAnsi="Cambria" w:eastAsia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d0446"/>
    <w:pPr>
      <w:spacing w:lineRule="auto" w:line="240" w:before="240" w:after="60"/>
      <w:outlineLvl w:val="8"/>
    </w:pPr>
    <w:rPr>
      <w:rFonts w:ascii="Arial" w:hAnsi="Arial" w:eastAsia="Times New Roman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sid w:val="005017f3"/>
    <w:rPr>
      <w:rFonts w:ascii="Times New Roman" w:hAnsi="Times New Roman" w:eastAsia="Times New Roman"/>
      <w:bCs/>
      <w:sz w:val="24"/>
      <w:szCs w:val="24"/>
    </w:rPr>
  </w:style>
  <w:style w:type="character" w:styleId="2" w:customStyle="1">
    <w:name w:val="Заголовок 2 Знак"/>
    <w:uiPriority w:val="9"/>
    <w:qFormat/>
    <w:rsid w:val="004a580e"/>
    <w:rPr>
      <w:rFonts w:ascii="Cambria" w:hAnsi="Cambria" w:eastAsia="Times New Roman"/>
      <w:b/>
      <w:bCs/>
      <w:color w:val="4F81BD"/>
      <w:sz w:val="26"/>
      <w:szCs w:val="26"/>
    </w:rPr>
  </w:style>
  <w:style w:type="character" w:styleId="3" w:customStyle="1">
    <w:name w:val="Заголовок 3 Знак"/>
    <w:qFormat/>
    <w:rsid w:val="004a580e"/>
    <w:rPr>
      <w:rFonts w:ascii="Cambria" w:hAnsi="Cambria" w:eastAsia="Times New Roman"/>
      <w:b/>
      <w:bCs/>
      <w:color w:val="4F81BD"/>
    </w:rPr>
  </w:style>
  <w:style w:type="character" w:styleId="Style" w:customStyle="1">
    <w:name w:val="Основной текст Знак"/>
    <w:qFormat/>
    <w:rsid w:val="004a580e"/>
    <w:rPr>
      <w:rFonts w:ascii="Times New Roman" w:hAnsi="Times New Roman" w:eastAsia="Times New Roman"/>
    </w:rPr>
  </w:style>
  <w:style w:type="character" w:styleId="31" w:customStyle="1">
    <w:name w:val="Основной текст с отступом 3 Знак"/>
    <w:link w:val="BodyTextIndent3"/>
    <w:qFormat/>
    <w:rsid w:val="004a580e"/>
    <w:rPr>
      <w:rFonts w:ascii="Times New Roman" w:hAnsi="Times New Roman" w:eastAsia="Times New Roman"/>
      <w:sz w:val="16"/>
      <w:szCs w:val="16"/>
    </w:rPr>
  </w:style>
  <w:style w:type="character" w:styleId="Style1" w:customStyle="1">
    <w:name w:val="Список маркированный Знак Знак"/>
    <w:link w:val="Style25"/>
    <w:qFormat/>
    <w:rsid w:val="004a580e"/>
    <w:rPr>
      <w:rFonts w:ascii="Sylfaen" w:hAnsi="Sylfaen" w:eastAsia="Times New Roman"/>
      <w:sz w:val="28"/>
      <w:szCs w:val="24"/>
    </w:rPr>
  </w:style>
  <w:style w:type="character" w:styleId="Style2" w:customStyle="1">
    <w:name w:val="Текст сноски Знак"/>
    <w:uiPriority w:val="99"/>
    <w:qFormat/>
    <w:rsid w:val="004a580e"/>
    <w:rPr>
      <w:rFonts w:ascii="Times New Roman" w:hAnsi="Times New Roman"/>
    </w:rPr>
  </w:style>
  <w:style w:type="character" w:styleId="Style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unhideWhenUsed/>
    <w:qFormat/>
    <w:rsid w:val="004a580e"/>
    <w:rPr>
      <w:vertAlign w:val="superscript"/>
    </w:rPr>
  </w:style>
  <w:style w:type="character" w:styleId="Style4" w:customStyle="1">
    <w:name w:val="Нижний колонтитул Знак"/>
    <w:uiPriority w:val="99"/>
    <w:qFormat/>
    <w:rsid w:val="004a580e"/>
    <w:rPr>
      <w:rFonts w:ascii="Times New Roman" w:hAnsi="Times New Roman" w:eastAsia="Times New Roman"/>
    </w:rPr>
  </w:style>
  <w:style w:type="character" w:styleId="Pagenumber">
    <w:name w:val="page number"/>
    <w:qFormat/>
    <w:rsid w:val="004a580e"/>
    <w:rPr/>
  </w:style>
  <w:style w:type="character" w:styleId="Hyperlink">
    <w:name w:val="Hyperlink"/>
    <w:basedOn w:val="DefaultParagraphFont"/>
    <w:uiPriority w:val="99"/>
    <w:unhideWhenUsed/>
    <w:rsid w:val="009f7c5e"/>
    <w:rPr>
      <w:color w:val="0000FF" w:themeColor="hyperlink"/>
      <w:u w:val="single"/>
    </w:rPr>
  </w:style>
  <w:style w:type="character" w:styleId="Style5" w:customStyle="1">
    <w:name w:val="Текст выноски Знак"/>
    <w:link w:val="BalloonText"/>
    <w:qFormat/>
    <w:rsid w:val="004a580e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qFormat/>
    <w:rsid w:val="004a580e"/>
    <w:rPr>
      <w:sz w:val="16"/>
      <w:szCs w:val="16"/>
    </w:rPr>
  </w:style>
  <w:style w:type="character" w:styleId="Style6" w:customStyle="1">
    <w:name w:val="Текст примечания Знак"/>
    <w:link w:val="Annotationtext"/>
    <w:qFormat/>
    <w:rsid w:val="004a580e"/>
    <w:rPr>
      <w:rFonts w:ascii="Times New Roman" w:hAnsi="Times New Roman" w:eastAsia="Times New Roman"/>
    </w:rPr>
  </w:style>
  <w:style w:type="character" w:styleId="Style7" w:customStyle="1">
    <w:name w:val="Тема примечания Знак"/>
    <w:link w:val="Annotationsubject"/>
    <w:qFormat/>
    <w:rsid w:val="004a580e"/>
    <w:rPr>
      <w:rFonts w:ascii="Times New Roman" w:hAnsi="Times New Roman" w:eastAsia="Times New Roman"/>
      <w:b/>
      <w:bCs/>
    </w:rPr>
  </w:style>
  <w:style w:type="character" w:styleId="Style8" w:customStyle="1">
    <w:name w:val="Гипертекстовая ссылка"/>
    <w:uiPriority w:val="99"/>
    <w:qFormat/>
    <w:rsid w:val="004a580e"/>
    <w:rPr>
      <w:b w:val="false"/>
      <w:bCs w:val="false"/>
      <w:color w:val="008000"/>
      <w:sz w:val="28"/>
      <w:szCs w:val="28"/>
    </w:rPr>
  </w:style>
  <w:style w:type="character" w:styleId="Style9" w:customStyle="1">
    <w:name w:val="Подзаголовок Знак"/>
    <w:uiPriority w:val="11"/>
    <w:qFormat/>
    <w:rsid w:val="004a580e"/>
    <w:rPr>
      <w:rFonts w:ascii="Arial" w:hAnsi="Arial" w:cs="Arial"/>
      <w:sz w:val="24"/>
      <w:szCs w:val="24"/>
    </w:rPr>
  </w:style>
  <w:style w:type="character" w:styleId="8" w:customStyle="1">
    <w:name w:val="Знак Знак8"/>
    <w:semiHidden/>
    <w:qFormat/>
    <w:locked/>
    <w:rsid w:val="004a580e"/>
    <w:rPr>
      <w:rFonts w:ascii="Cambria" w:hAnsi="Cambria"/>
      <w:b/>
      <w:bCs/>
      <w:color w:val="4F81BD"/>
      <w:lang w:val="ru-RU" w:eastAsia="ru-RU" w:bidi="ar-SA"/>
    </w:rPr>
  </w:style>
  <w:style w:type="character" w:styleId="5" w:customStyle="1">
    <w:name w:val="Знак Знак5"/>
    <w:qFormat/>
    <w:locked/>
    <w:rsid w:val="004a580e"/>
    <w:rPr>
      <w:rFonts w:ascii="Calibri" w:hAnsi="Calibri" w:eastAsia="Calibri"/>
      <w:lang w:val="ru-RU" w:eastAsia="ru-RU" w:bidi="ar-SA"/>
    </w:rPr>
  </w:style>
  <w:style w:type="character" w:styleId="21" w:customStyle="1">
    <w:name w:val="Знак Знак2"/>
    <w:qFormat/>
    <w:locked/>
    <w:rsid w:val="004a580e"/>
    <w:rPr>
      <w:lang w:val="ru-RU" w:eastAsia="ru-RU" w:bidi="ar-SA"/>
    </w:rPr>
  </w:style>
  <w:style w:type="character" w:styleId="7" w:customStyle="1">
    <w:name w:val="Знак Знак7"/>
    <w:qFormat/>
    <w:locked/>
    <w:rsid w:val="004a580e"/>
    <w:rPr>
      <w:lang w:val="ru-RU" w:eastAsia="ru-RU" w:bidi="ar-SA"/>
    </w:rPr>
  </w:style>
  <w:style w:type="character" w:styleId="6" w:customStyle="1">
    <w:name w:val="Знак Знак6"/>
    <w:qFormat/>
    <w:locked/>
    <w:rsid w:val="004a580e"/>
    <w:rPr>
      <w:sz w:val="16"/>
      <w:szCs w:val="16"/>
      <w:lang w:val="ru-RU" w:eastAsia="ru-RU" w:bidi="ar-SA"/>
    </w:rPr>
  </w:style>
  <w:style w:type="character" w:styleId="11" w:customStyle="1">
    <w:name w:val="Просмотренная гиперссылка1"/>
    <w:uiPriority w:val="99"/>
    <w:unhideWhenUsed/>
    <w:qFormat/>
    <w:rsid w:val="004a580e"/>
    <w:rPr>
      <w:color w:val="800080"/>
      <w:u w:val="single"/>
    </w:rPr>
  </w:style>
  <w:style w:type="character" w:styleId="Style10" w:customStyle="1">
    <w:name w:val="Основной текст с отступом Знак"/>
    <w:uiPriority w:val="99"/>
    <w:semiHidden/>
    <w:qFormat/>
    <w:rsid w:val="0009103e"/>
    <w:rPr>
      <w:sz w:val="22"/>
      <w:szCs w:val="22"/>
      <w:lang w:eastAsia="en-US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7a7dc0"/>
    <w:rPr>
      <w:sz w:val="22"/>
      <w:szCs w:val="22"/>
      <w:lang w:eastAsia="en-US"/>
    </w:rPr>
  </w:style>
  <w:style w:type="character" w:styleId="4" w:customStyle="1">
    <w:name w:val="Заголовок 4 Знак"/>
    <w:uiPriority w:val="9"/>
    <w:qFormat/>
    <w:rsid w:val="00956dcd"/>
    <w:rPr>
      <w:rFonts w:ascii="Times New Roman" w:hAnsi="Times New Roman" w:eastAsia="Times New Roman"/>
      <w:b/>
      <w:bCs/>
      <w:sz w:val="26"/>
      <w:szCs w:val="28"/>
    </w:rPr>
  </w:style>
  <w:style w:type="character" w:styleId="51" w:customStyle="1">
    <w:name w:val="Заголовок 5 Знак"/>
    <w:uiPriority w:val="9"/>
    <w:qFormat/>
    <w:rsid w:val="00956dcd"/>
    <w:rPr>
      <w:rFonts w:ascii="Times New Roman" w:hAnsi="Times New Roman" w:eastAsia="Times New Roman"/>
      <w:b/>
      <w:bCs/>
      <w:color w:val="000000"/>
      <w:spacing w:val="-16"/>
      <w:sz w:val="24"/>
      <w:szCs w:val="34"/>
      <w:shd w:fill="FFFFFF" w:val="clear"/>
    </w:rPr>
  </w:style>
  <w:style w:type="character" w:styleId="111" w:customStyle="1">
    <w:name w:val="Заголовок 1 Знак1"/>
    <w:uiPriority w:val="9"/>
    <w:qFormat/>
    <w:rsid w:val="0038412b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styleId="211" w:customStyle="1">
    <w:name w:val="Заголовок 2 Знак1"/>
    <w:semiHidden/>
    <w:qFormat/>
    <w:rsid w:val="0038412b"/>
    <w:rPr>
      <w:rFonts w:ascii="Cambria" w:hAnsi="Cambria" w:eastAsia="Times New Roman" w:cs="Times New Roman"/>
      <w:b/>
      <w:bCs/>
      <w:color w:val="4F81BD"/>
      <w:sz w:val="26"/>
      <w:szCs w:val="26"/>
      <w:lang w:eastAsia="en-US"/>
    </w:rPr>
  </w:style>
  <w:style w:type="character" w:styleId="Style11" w:customStyle="1">
    <w:name w:val="Верхний колонтитул Знак"/>
    <w:uiPriority w:val="99"/>
    <w:qFormat/>
    <w:rsid w:val="00543e0a"/>
    <w:rPr>
      <w:sz w:val="22"/>
      <w:szCs w:val="22"/>
      <w:lang w:eastAsia="en-US"/>
    </w:rPr>
  </w:style>
  <w:style w:type="character" w:styleId="12" w:customStyle="1">
    <w:name w:val="Стиль1 Знак"/>
    <w:link w:val="14"/>
    <w:qFormat/>
    <w:rsid w:val="00e91a2a"/>
    <w:rPr>
      <w:rFonts w:ascii="Times New Roman" w:hAnsi="Times New Roman" w:eastAsia="Times New Roman"/>
      <w:b/>
      <w:sz w:val="24"/>
      <w:szCs w:val="24"/>
    </w:rPr>
  </w:style>
  <w:style w:type="character" w:styleId="Style12" w:customStyle="1">
    <w:name w:val="Основной текст_"/>
    <w:link w:val="41"/>
    <w:qFormat/>
    <w:locked/>
    <w:rsid w:val="00d919f6"/>
    <w:rPr>
      <w:rFonts w:ascii="Arial Narrow" w:hAnsi="Arial Narrow" w:eastAsia="Arial Narrow" w:cs="Arial Narrow"/>
      <w:spacing w:val="10"/>
      <w:shd w:fill="FFFFFF" w:val="clear"/>
    </w:rPr>
  </w:style>
  <w:style w:type="character" w:styleId="0pt" w:customStyle="1">
    <w:name w:val="Основной текст + Интервал 0 pt"/>
    <w:qFormat/>
    <w:rsid w:val="00d919f6"/>
    <w:rPr>
      <w:rFonts w:ascii="Arial Narrow" w:hAnsi="Arial Narrow" w:eastAsia="Arial Narrow" w:cs="Arial Narrow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00"/>
      <w:sz w:val="22"/>
      <w:szCs w:val="22"/>
      <w:u w:val="none"/>
      <w:effect w:val="none"/>
      <w:shd w:fill="FFFFFF" w:val="clear"/>
    </w:rPr>
  </w:style>
  <w:style w:type="character" w:styleId="10" w:customStyle="1">
    <w:name w:val="Основной текст + 10"/>
    <w:qFormat/>
    <w:rsid w:val="00d919f6"/>
    <w:rPr>
      <w:rFonts w:ascii="Arial Narrow" w:hAnsi="Arial Narrow" w:eastAsia="Arial Narrow" w:cs="Arial Narrow"/>
      <w:b w:val="false"/>
      <w:bCs w:val="false"/>
      <w:i w:val="false"/>
      <w:iCs w:val="false"/>
      <w:smallCaps/>
      <w:strike w:val="false"/>
      <w:dstrike w:val="false"/>
      <w:spacing w:val="0"/>
      <w:w w:val="100"/>
      <w:sz w:val="21"/>
      <w:szCs w:val="21"/>
      <w:u w:val="none"/>
      <w:effect w:val="none"/>
      <w:shd w:fill="FFFFFF" w:val="clear"/>
    </w:rPr>
  </w:style>
  <w:style w:type="character" w:styleId="Style13" w:customStyle="1">
    <w:name w:val="Текст Знак"/>
    <w:link w:val="PlainText"/>
    <w:uiPriority w:val="99"/>
    <w:qFormat/>
    <w:rsid w:val="00ad34c8"/>
    <w:rPr>
      <w:sz w:val="22"/>
      <w:szCs w:val="21"/>
      <w:lang w:eastAsia="en-US"/>
    </w:rPr>
  </w:style>
  <w:style w:type="character" w:styleId="Style14" w:customStyle="1">
    <w:name w:val="Заголовок Знак"/>
    <w:uiPriority w:val="10"/>
    <w:qFormat/>
    <w:rsid w:val="00192caa"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61" w:customStyle="1">
    <w:name w:val="Заголовок 6 Знак"/>
    <w:uiPriority w:val="9"/>
    <w:qFormat/>
    <w:rsid w:val="000d0446"/>
    <w:rPr>
      <w:rFonts w:ascii="Cambria" w:hAnsi="Cambria" w:eastAsia="Times New Roman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0d0446"/>
    <w:rPr>
      <w:rFonts w:ascii="Cambria" w:hAnsi="Cambria" w:eastAsia="Times New Roman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0d0446"/>
    <w:rPr>
      <w:rFonts w:ascii="Cambria" w:hAnsi="Cambria" w:eastAsia="Times New Roman"/>
      <w:color w:val="4F81BD"/>
      <w:lang w:val="x-none" w:eastAsia="x-none"/>
    </w:rPr>
  </w:style>
  <w:style w:type="character" w:styleId="9" w:customStyle="1">
    <w:name w:val="Заголовок 9 Знак"/>
    <w:uiPriority w:val="9"/>
    <w:qFormat/>
    <w:rsid w:val="000d0446"/>
    <w:rPr>
      <w:rFonts w:ascii="Arial" w:hAnsi="Arial" w:eastAsia="Times New Roman"/>
      <w:sz w:val="22"/>
      <w:szCs w:val="22"/>
      <w:lang w:val="x-none" w:eastAsia="x-none"/>
    </w:rPr>
  </w:style>
  <w:style w:type="character" w:styleId="32" w:customStyle="1">
    <w:name w:val="Основной текст 3 Знак"/>
    <w:link w:val="BodyText3"/>
    <w:qFormat/>
    <w:rsid w:val="000d0446"/>
    <w:rPr>
      <w:rFonts w:ascii="Times New Roman" w:hAnsi="Times New Roman" w:eastAsia="Times New Roman"/>
      <w:sz w:val="16"/>
      <w:szCs w:val="16"/>
    </w:rPr>
  </w:style>
  <w:style w:type="character" w:styleId="23" w:customStyle="1">
    <w:name w:val="Основной текст 2 Знак"/>
    <w:link w:val="BodyText2"/>
    <w:qFormat/>
    <w:rsid w:val="000d0446"/>
    <w:rPr>
      <w:rFonts w:ascii="Times New Roman" w:hAnsi="Times New Roman" w:eastAsia="Times New Roman"/>
      <w:sz w:val="28"/>
      <w:szCs w:val="28"/>
    </w:rPr>
  </w:style>
  <w:style w:type="character" w:styleId="Strong">
    <w:name w:val="Strong"/>
    <w:qFormat/>
    <w:rsid w:val="000d0446"/>
    <w:rPr>
      <w:b/>
      <w:bCs/>
    </w:rPr>
  </w:style>
  <w:style w:type="character" w:styleId="Emphasis">
    <w:name w:val="Emphasis"/>
    <w:uiPriority w:val="20"/>
    <w:qFormat/>
    <w:rsid w:val="000d0446"/>
    <w:rPr>
      <w:i/>
      <w:iCs/>
    </w:rPr>
  </w:style>
  <w:style w:type="character" w:styleId="24" w:customStyle="1">
    <w:name w:val="Цитата 2 Знак"/>
    <w:link w:val="Quote"/>
    <w:uiPriority w:val="29"/>
    <w:qFormat/>
    <w:rsid w:val="000d0446"/>
    <w:rPr>
      <w:i/>
      <w:iCs/>
      <w:color w:val="000000"/>
      <w:lang w:val="x-none" w:eastAsia="x-none"/>
    </w:rPr>
  </w:style>
  <w:style w:type="character" w:styleId="Style15" w:customStyle="1">
    <w:name w:val="Выделенная цитата Знак"/>
    <w:link w:val="IntenseQuote"/>
    <w:uiPriority w:val="30"/>
    <w:qFormat/>
    <w:rsid w:val="000d0446"/>
    <w:rPr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d0446"/>
    <w:rPr>
      <w:i/>
      <w:iCs/>
      <w:color w:val="808080"/>
    </w:rPr>
  </w:style>
  <w:style w:type="character" w:styleId="IntenseEmphasis">
    <w:name w:val="Intense Emphasis"/>
    <w:uiPriority w:val="21"/>
    <w:qFormat/>
    <w:rsid w:val="000d0446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d0446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d0446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d0446"/>
    <w:rPr>
      <w:b/>
      <w:bCs/>
      <w:smallCaps/>
      <w:spacing w:val="5"/>
    </w:rPr>
  </w:style>
  <w:style w:type="character" w:styleId="Style16" w:customStyle="1">
    <w:name w:val="Электронная подпись Знак"/>
    <w:link w:val="E-mailSignature"/>
    <w:uiPriority w:val="99"/>
    <w:qFormat/>
    <w:rsid w:val="000d0446"/>
    <w:rPr>
      <w:rFonts w:ascii="Times New Roman" w:hAnsi="Times New Roman"/>
      <w:sz w:val="24"/>
      <w:szCs w:val="24"/>
      <w:lang w:val="x-none" w:eastAsia="x-none"/>
    </w:rPr>
  </w:style>
  <w:style w:type="character" w:styleId="13" w:customStyle="1">
    <w:name w:val="Подпункт Знак1"/>
    <w:link w:val="Style30"/>
    <w:qFormat/>
    <w:locked/>
    <w:rsid w:val="000d0446"/>
    <w:rPr>
      <w:rFonts w:ascii="Times New Roman" w:hAnsi="Times New Roman" w:eastAsia="Times New Roman"/>
      <w:sz w:val="28"/>
      <w:lang w:val="x-none" w:eastAsia="x-none"/>
    </w:rPr>
  </w:style>
  <w:style w:type="character" w:styleId="Style17" w:customStyle="1">
    <w:name w:val="Текст концевой сноски Знак"/>
    <w:qFormat/>
    <w:rsid w:val="000d0446"/>
    <w:rPr>
      <w:rFonts w:ascii="Times New Roman" w:hAnsi="Times New Roman" w:eastAsia="Times New Roman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sid w:val="000d0446"/>
    <w:rPr>
      <w:vertAlign w:val="superscript"/>
    </w:rPr>
  </w:style>
  <w:style w:type="character" w:styleId="CharChar" w:customStyle="1">
    <w:name w:val="Обычный Char Char"/>
    <w:link w:val="18"/>
    <w:qFormat/>
    <w:locked/>
    <w:rsid w:val="002360d5"/>
    <w:rPr>
      <w:sz w:val="24"/>
      <w:szCs w:val="24"/>
    </w:rPr>
  </w:style>
  <w:style w:type="character" w:styleId="25" w:customStyle="1">
    <w:name w:val="Стиль2 Знак"/>
    <w:link w:val="26"/>
    <w:uiPriority w:val="99"/>
    <w:qFormat/>
    <w:locked/>
    <w:rsid w:val="00e25b71"/>
    <w:rPr>
      <w:rFonts w:ascii="Times New Roman" w:hAnsi="Times New Roman" w:eastAsia="Times New Roman"/>
      <w:sz w:val="24"/>
      <w:szCs w:val="24"/>
    </w:rPr>
  </w:style>
  <w:style w:type="character" w:styleId="Style19" w:customStyle="1">
    <w:name w:val="Абзац списка Знак"/>
    <w:link w:val="ListParagraph"/>
    <w:uiPriority w:val="34"/>
    <w:qFormat/>
    <w:locked/>
    <w:rsid w:val="00cb4062"/>
    <w:rPr>
      <w:rFonts w:ascii="Times New Roman" w:hAnsi="Times New Roman" w:eastAsia="Times New Roman"/>
    </w:rPr>
  </w:style>
  <w:style w:type="character" w:styleId="WW8Num4z6" w:customStyle="1">
    <w:name w:val="WW8Num4z6"/>
    <w:qFormat/>
    <w:rsid w:val="00695774"/>
    <w:rPr/>
  </w:style>
  <w:style w:type="character" w:styleId="HTML" w:customStyle="1">
    <w:name w:val="Стандартный HTML Знак"/>
    <w:link w:val="HTMLPreformatted"/>
    <w:uiPriority w:val="99"/>
    <w:semiHidden/>
    <w:qFormat/>
    <w:rsid w:val="0062733f"/>
    <w:rPr>
      <w:rFonts w:ascii="Courier New" w:hAnsi="Courier New" w:eastAsia="Times New Roman" w:cs="Courier New"/>
    </w:rPr>
  </w:style>
  <w:style w:type="character" w:styleId="Style20" w:customStyle="1">
    <w:name w:val="комментарий"/>
    <w:qFormat/>
    <w:rsid w:val="00b23f4c"/>
    <w:rPr>
      <w:b/>
      <w:i/>
      <w:shd w:fill="FFFF99" w:val="clear"/>
    </w:rPr>
  </w:style>
  <w:style w:type="character" w:styleId="Style21" w:customStyle="1">
    <w:name w:val="Ссылка указателя"/>
    <w:qFormat/>
    <w:rPr/>
  </w:style>
  <w:style w:type="character" w:styleId="Linenumber1" w:customStyle="1">
    <w:name w:val="line number1"/>
    <w:qFormat/>
    <w:rPr/>
  </w:style>
  <w:style w:type="character" w:styleId="Style22" w:customStyle="1">
    <w:name w:val="Маркеры"/>
    <w:qFormat/>
    <w:rPr>
      <w:rFonts w:ascii="OpenSymbol" w:hAnsi="OpenSymbol" w:eastAsia="OpenSymbol" w:cs="OpenSymbol"/>
    </w:rPr>
  </w:style>
  <w:style w:type="character" w:styleId="Linenumber2" w:customStyle="1">
    <w:name w:val="line number2"/>
    <w:qFormat/>
    <w:rPr/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"/>
    <w:rsid w:val="004a580e"/>
    <w:pPr>
      <w:widowControl w:val="false"/>
      <w:spacing w:lineRule="auto" w:line="240" w:before="0" w:after="12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List">
    <w:name w:val="List"/>
    <w:basedOn w:val="Normal"/>
    <w:next w:val="Normal"/>
    <w:rsid w:val="00e31354"/>
    <w:pPr>
      <w:keepNext w:val="true"/>
      <w:numPr>
        <w:ilvl w:val="0"/>
        <w:numId w:val="6"/>
      </w:numPr>
      <w:tabs>
        <w:tab w:val="clear" w:pos="708"/>
        <w:tab w:val="left" w:pos="1985" w:leader="none"/>
      </w:tabs>
      <w:spacing w:lineRule="auto" w:line="360" w:before="0" w:after="0"/>
      <w:ind w:left="0" w:firstLine="720"/>
      <w:jc w:val="both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14"/>
    <w:uiPriority w:val="10"/>
    <w:qFormat/>
    <w:rsid w:val="00192caa"/>
    <w:pPr>
      <w:widowControl w:val="false"/>
      <w:spacing w:lineRule="auto" w:line="240" w:before="240" w:after="60"/>
      <w:jc w:val="center"/>
      <w:outlineLvl w:val="0"/>
    </w:pPr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0d0446"/>
    <w:pPr>
      <w:spacing w:lineRule="auto" w:line="240" w:before="0" w:after="0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styleId="Indexheading11111" w:customStyle="1">
    <w:name w:val="index heading11111"/>
    <w:basedOn w:val="Title"/>
    <w:qFormat/>
    <w:pPr/>
    <w:rPr/>
  </w:style>
  <w:style w:type="paragraph" w:styleId="ListBullet">
    <w:name w:val="List Bullet"/>
    <w:basedOn w:val="Normal"/>
    <w:autoRedefine/>
    <w:qFormat/>
    <w:rsid w:val="004a580e"/>
    <w:pPr>
      <w:widowControl w:val="false"/>
      <w:numPr>
        <w:ilvl w:val="0"/>
        <w:numId w:val="1"/>
      </w:num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31"/>
    <w:qFormat/>
    <w:rsid w:val="004a580e"/>
    <w:pPr>
      <w:widowControl w:val="false"/>
      <w:spacing w:lineRule="auto" w:line="240" w:before="0" w:after="120"/>
      <w:ind w:left="283" w:hanging="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14" w:customStyle="1">
    <w:name w:val="Стиль1"/>
    <w:basedOn w:val="Normal"/>
    <w:link w:val="12"/>
    <w:qFormat/>
    <w:rsid w:val="004a580e"/>
    <w:pPr>
      <w:tabs>
        <w:tab w:val="clear" w:pos="708"/>
        <w:tab w:val="left" w:pos="360" w:leader="none"/>
        <w:tab w:val="left" w:pos="900" w:leader="none"/>
      </w:tabs>
      <w:spacing w:lineRule="auto" w:line="240" w:before="0" w:after="0"/>
      <w:jc w:val="both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26" w:customStyle="1">
    <w:name w:val="Стиль2"/>
    <w:basedOn w:val="Normal"/>
    <w:link w:val="25"/>
    <w:uiPriority w:val="99"/>
    <w:qFormat/>
    <w:rsid w:val="004a580e"/>
    <w:pPr>
      <w:numPr>
        <w:ilvl w:val="1"/>
        <w:numId w:val="4"/>
      </w:numPr>
      <w:tabs>
        <w:tab w:val="clear" w:pos="708"/>
        <w:tab w:val="left" w:pos="360" w:leader="none"/>
        <w:tab w:val="left" w:pos="900" w:leader="none"/>
      </w:tabs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" w:customStyle="1">
    <w:name w:val="Список маркированный"/>
    <w:basedOn w:val="Normal"/>
    <w:next w:val="Normal"/>
    <w:link w:val="Style1"/>
    <w:autoRedefine/>
    <w:qFormat/>
    <w:rsid w:val="004a580e"/>
    <w:pPr>
      <w:numPr>
        <w:ilvl w:val="0"/>
        <w:numId w:val="2"/>
      </w:numPr>
      <w:spacing w:lineRule="auto" w:line="240" w:before="0" w:after="0"/>
      <w:jc w:val="both"/>
    </w:pPr>
    <w:rPr>
      <w:rFonts w:ascii="Sylfaen" w:hAnsi="Sylfaen" w:eastAsia="Times New Roman"/>
      <w:sz w:val="28"/>
      <w:szCs w:val="24"/>
      <w:lang w:eastAsia="ru-RU"/>
    </w:rPr>
  </w:style>
  <w:style w:type="paragraph" w:styleId="ListBullet4">
    <w:name w:val="List Bullet 4"/>
    <w:basedOn w:val="Normal"/>
    <w:uiPriority w:val="99"/>
    <w:unhideWhenUsed/>
    <w:qFormat/>
    <w:rsid w:val="00e91a2a"/>
    <w:pPr>
      <w:spacing w:before="0" w:after="200"/>
      <w:ind w:left="849" w:hanging="283"/>
      <w:contextualSpacing/>
    </w:pPr>
    <w:rPr/>
  </w:style>
  <w:style w:type="paragraph" w:styleId="FootnoteText">
    <w:name w:val="Footnote Text"/>
    <w:basedOn w:val="Normal"/>
    <w:link w:val="Style2"/>
    <w:uiPriority w:val="99"/>
    <w:unhideWhenUsed/>
    <w:rsid w:val="004a580e"/>
    <w:pPr>
      <w:spacing w:lineRule="auto" w:line="240" w:before="0" w:after="0"/>
    </w:pPr>
    <w:rPr>
      <w:rFonts w:ascii="Times New Roman" w:hAnsi="Times New Roman"/>
      <w:sz w:val="20"/>
      <w:szCs w:val="20"/>
      <w:lang w:eastAsia="ru-RU"/>
    </w:rPr>
  </w:style>
  <w:style w:type="paragraph" w:styleId="Style26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4"/>
    <w:rsid w:val="004a580e"/>
    <w:pPr>
      <w:widowControl w:val="false"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qFormat/>
    <w:rsid w:val="00d71233"/>
    <w:pPr>
      <w:widowControl w:val="false"/>
      <w:tabs>
        <w:tab w:val="clear" w:pos="708"/>
        <w:tab w:val="left" w:pos="560" w:leader="none"/>
        <w:tab w:val="right" w:pos="9344" w:leader="dot"/>
        <w:tab w:val="right" w:pos="9911" w:leader="dot"/>
      </w:tabs>
      <w:spacing w:lineRule="auto" w:line="240" w:before="120" w:after="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Style5"/>
    <w:qFormat/>
    <w:rsid w:val="004a580e"/>
    <w:pPr>
      <w:widowControl w:val="false"/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6"/>
    <w:qFormat/>
    <w:rsid w:val="004a580e"/>
    <w:pPr>
      <w:widowControl w:val="fals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7"/>
    <w:qFormat/>
    <w:rsid w:val="004a580e"/>
    <w:pPr/>
    <w:rPr>
      <w:b/>
      <w:bCs/>
    </w:rPr>
  </w:style>
  <w:style w:type="paragraph" w:styleId="ConsPlusNormal" w:customStyle="1">
    <w:name w:val="ConsPlusNormal"/>
    <w:qFormat/>
    <w:rsid w:val="004a580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Normal"/>
    <w:link w:val="Style9"/>
    <w:uiPriority w:val="11"/>
    <w:qFormat/>
    <w:rsid w:val="004a580e"/>
    <w:pPr>
      <w:spacing w:lineRule="auto" w:line="240" w:before="0" w:after="60"/>
      <w:jc w:val="center"/>
    </w:pPr>
    <w:rPr>
      <w:rFonts w:ascii="Arial" w:hAnsi="Arial" w:cs="Arial"/>
      <w:sz w:val="24"/>
      <w:szCs w:val="24"/>
      <w:lang w:eastAsia="ru-RU"/>
    </w:rPr>
  </w:style>
  <w:style w:type="paragraph" w:styleId="33" w:customStyle="1">
    <w:name w:val="Стиль3"/>
    <w:basedOn w:val="Normal"/>
    <w:uiPriority w:val="99"/>
    <w:qFormat/>
    <w:rsid w:val="004a580e"/>
    <w:pPr>
      <w:numPr>
        <w:ilvl w:val="0"/>
        <w:numId w:val="3"/>
      </w:numPr>
      <w:spacing w:lineRule="auto" w:line="360" w:before="0" w:after="0"/>
      <w:ind w:left="1434" w:hanging="357"/>
      <w:jc w:val="both"/>
    </w:pPr>
    <w:rPr>
      <w:rFonts w:ascii="Arial" w:hAnsi="Arial" w:eastAsia="MS Mincho"/>
      <w:sz w:val="24"/>
      <w:szCs w:val="24"/>
      <w:lang w:eastAsia="ru-RU"/>
    </w:rPr>
  </w:style>
  <w:style w:type="paragraph" w:styleId="ListParagraph">
    <w:name w:val="List Paragraph"/>
    <w:basedOn w:val="Normal"/>
    <w:link w:val="Style19"/>
    <w:uiPriority w:val="34"/>
    <w:qFormat/>
    <w:rsid w:val="004a580e"/>
    <w:pPr>
      <w:widowControl w:val="false"/>
      <w:spacing w:lineRule="auto" w:line="240" w:before="0" w:after="0"/>
      <w:ind w:left="720" w:hanging="0"/>
      <w:contextualSpacing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Font5" w:customStyle="1">
    <w:name w:val="font5"/>
    <w:basedOn w:val="Normal"/>
    <w:qFormat/>
    <w:rsid w:val="004a580e"/>
    <w:pPr>
      <w:spacing w:lineRule="auto" w:line="240" w:beforeAutospacing="1" w:afterAutospacing="1"/>
    </w:pPr>
    <w:rPr>
      <w:rFonts w:ascii="Arial" w:hAnsi="Arial" w:eastAsia="Times New Roman" w:cs="Arial"/>
      <w:i/>
      <w:iCs/>
      <w:sz w:val="14"/>
      <w:szCs w:val="14"/>
      <w:lang w:eastAsia="ru-RU"/>
    </w:rPr>
  </w:style>
  <w:style w:type="paragraph" w:styleId="Font6" w:customStyle="1">
    <w:name w:val="font6"/>
    <w:basedOn w:val="Normal"/>
    <w:qFormat/>
    <w:rsid w:val="004a580e"/>
    <w:pPr>
      <w:spacing w:lineRule="auto" w:line="240" w:beforeAutospacing="1" w:afterAutospacing="1"/>
    </w:pPr>
    <w:rPr>
      <w:rFonts w:ascii="ISOCPEUR" w:hAnsi="ISOCPEUR" w:eastAsia="Times New Roman"/>
      <w:i/>
      <w:iCs/>
      <w:sz w:val="14"/>
      <w:szCs w:val="14"/>
      <w:lang w:eastAsia="ru-RU"/>
    </w:rPr>
  </w:style>
  <w:style w:type="paragraph" w:styleId="Xl67" w:customStyle="1">
    <w:name w:val="xl67"/>
    <w:basedOn w:val="Normal"/>
    <w:qFormat/>
    <w:rsid w:val="004a580e"/>
    <w:pPr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ru-RU"/>
    </w:rPr>
  </w:style>
  <w:style w:type="paragraph" w:styleId="Xl68" w:customStyle="1">
    <w:name w:val="xl68"/>
    <w:basedOn w:val="Normal"/>
    <w:qFormat/>
    <w:rsid w:val="004a580e"/>
    <w:pP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69" w:customStyle="1">
    <w:name w:val="xl69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70" w:customStyle="1">
    <w:name w:val="xl70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71" w:customStyle="1">
    <w:name w:val="xl71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72" w:customStyle="1">
    <w:name w:val="xl72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73" w:customStyle="1">
    <w:name w:val="xl73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6"/>
      <w:szCs w:val="16"/>
      <w:lang w:eastAsia="ru-RU"/>
    </w:rPr>
  </w:style>
  <w:style w:type="paragraph" w:styleId="Xl74" w:customStyle="1">
    <w:name w:val="xl74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76" w:customStyle="1">
    <w:name w:val="xl76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77" w:customStyle="1">
    <w:name w:val="xl77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78" w:customStyle="1">
    <w:name w:val="xl78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6"/>
      <w:szCs w:val="16"/>
      <w:lang w:eastAsia="ru-RU"/>
    </w:rPr>
  </w:style>
  <w:style w:type="paragraph" w:styleId="Xl80" w:customStyle="1">
    <w:name w:val="xl80"/>
    <w:basedOn w:val="Normal"/>
    <w:qFormat/>
    <w:rsid w:val="004a580e"/>
    <w:pPr>
      <w:spacing w:lineRule="auto" w:line="240" w:beforeAutospacing="1" w:afterAutospacing="1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81" w:customStyle="1">
    <w:name w:val="xl81"/>
    <w:basedOn w:val="Normal"/>
    <w:qFormat/>
    <w:rsid w:val="004a580e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4a580e"/>
    <w:pPr>
      <w:spacing w:lineRule="auto" w:line="240" w:beforeAutospacing="1" w:afterAutospacing="1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83" w:customStyle="1">
    <w:name w:val="xl83"/>
    <w:basedOn w:val="Normal"/>
    <w:qFormat/>
    <w:rsid w:val="004a580e"/>
    <w:pPr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84" w:customStyle="1">
    <w:name w:val="xl84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85" w:customStyle="1">
    <w:name w:val="xl85"/>
    <w:basedOn w:val="Normal"/>
    <w:qFormat/>
    <w:rsid w:val="004a580e"/>
    <w:pPr>
      <w:pBdr>
        <w:top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86" w:customStyle="1">
    <w:name w:val="xl86"/>
    <w:basedOn w:val="Normal"/>
    <w:qFormat/>
    <w:rsid w:val="004a58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87" w:customStyle="1">
    <w:name w:val="xl87"/>
    <w:basedOn w:val="Normal"/>
    <w:qFormat/>
    <w:rsid w:val="004a580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88" w:customStyle="1">
    <w:name w:val="xl88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ISOCPEUR" w:hAnsi="ISOCPEUR" w:eastAsia="Times New Roman"/>
      <w:sz w:val="16"/>
      <w:szCs w:val="16"/>
      <w:lang w:eastAsia="ru-RU"/>
    </w:rPr>
  </w:style>
  <w:style w:type="paragraph" w:styleId="Xl89" w:customStyle="1">
    <w:name w:val="xl89"/>
    <w:basedOn w:val="Normal"/>
    <w:qFormat/>
    <w:rsid w:val="004a580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90" w:customStyle="1">
    <w:name w:val="xl90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91" w:customStyle="1">
    <w:name w:val="xl91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6"/>
      <w:szCs w:val="16"/>
      <w:lang w:eastAsia="ru-RU"/>
    </w:rPr>
  </w:style>
  <w:style w:type="paragraph" w:styleId="Xl92" w:customStyle="1">
    <w:name w:val="xl92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6"/>
      <w:szCs w:val="16"/>
      <w:lang w:eastAsia="ru-RU"/>
    </w:rPr>
  </w:style>
  <w:style w:type="paragraph" w:styleId="Xl93" w:customStyle="1">
    <w:name w:val="xl93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94" w:customStyle="1">
    <w:name w:val="xl94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95" w:customStyle="1">
    <w:name w:val="xl95"/>
    <w:basedOn w:val="Normal"/>
    <w:qFormat/>
    <w:rsid w:val="004a580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96" w:customStyle="1">
    <w:name w:val="xl96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97" w:customStyle="1">
    <w:name w:val="xl97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6"/>
      <w:szCs w:val="16"/>
      <w:lang w:eastAsia="ru-RU"/>
    </w:rPr>
  </w:style>
  <w:style w:type="paragraph" w:styleId="Xl98" w:customStyle="1">
    <w:name w:val="xl98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99" w:customStyle="1">
    <w:name w:val="xl99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100" w:customStyle="1">
    <w:name w:val="xl100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Xl101" w:customStyle="1">
    <w:name w:val="xl101"/>
    <w:basedOn w:val="Normal"/>
    <w:qFormat/>
    <w:rsid w:val="004a580e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102" w:customStyle="1">
    <w:name w:val="xl102"/>
    <w:basedOn w:val="Normal"/>
    <w:qFormat/>
    <w:rsid w:val="004a580e"/>
    <w:pP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24"/>
      <w:szCs w:val="24"/>
      <w:lang w:eastAsia="ru-RU"/>
    </w:rPr>
  </w:style>
  <w:style w:type="paragraph" w:styleId="Xl103" w:customStyle="1">
    <w:name w:val="xl103"/>
    <w:basedOn w:val="Normal"/>
    <w:qFormat/>
    <w:rsid w:val="004a580e"/>
    <w:pP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104" w:customStyle="1">
    <w:name w:val="xl104"/>
    <w:basedOn w:val="Normal"/>
    <w:qFormat/>
    <w:rsid w:val="004a580e"/>
    <w:pPr>
      <w:spacing w:lineRule="auto" w:line="240" w:beforeAutospacing="1" w:afterAutospacing="1"/>
      <w:jc w:val="center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105" w:customStyle="1">
    <w:name w:val="xl105"/>
    <w:basedOn w:val="Normal"/>
    <w:qFormat/>
    <w:rsid w:val="004a580e"/>
    <w:pPr>
      <w:spacing w:lineRule="auto" w:line="240" w:beforeAutospacing="1" w:afterAutospacing="1"/>
      <w:jc w:val="center"/>
      <w:textAlignment w:val="top"/>
    </w:pPr>
    <w:rPr>
      <w:rFonts w:ascii="Arial" w:hAnsi="Arial" w:eastAsia="Times New Roman" w:cs="Arial"/>
      <w:color w:val="000000"/>
      <w:sz w:val="20"/>
      <w:szCs w:val="20"/>
      <w:lang w:eastAsia="ru-RU"/>
    </w:rPr>
  </w:style>
  <w:style w:type="paragraph" w:styleId="Xl106" w:customStyle="1">
    <w:name w:val="xl106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20"/>
      <w:szCs w:val="20"/>
      <w:lang w:eastAsia="ru-RU"/>
    </w:rPr>
  </w:style>
  <w:style w:type="paragraph" w:styleId="Xl107" w:customStyle="1">
    <w:name w:val="xl107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20"/>
      <w:szCs w:val="20"/>
      <w:lang w:eastAsia="ru-RU"/>
    </w:rPr>
  </w:style>
  <w:style w:type="paragraph" w:styleId="Xl108" w:customStyle="1">
    <w:name w:val="xl108"/>
    <w:basedOn w:val="Normal"/>
    <w:qFormat/>
    <w:rsid w:val="004a580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18"/>
      <w:szCs w:val="18"/>
      <w:lang w:eastAsia="ru-RU"/>
    </w:rPr>
  </w:style>
  <w:style w:type="paragraph" w:styleId="Xl109" w:customStyle="1">
    <w:name w:val="xl109"/>
    <w:basedOn w:val="Normal"/>
    <w:qFormat/>
    <w:rsid w:val="004a580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18"/>
      <w:szCs w:val="18"/>
      <w:lang w:eastAsia="ru-RU"/>
    </w:rPr>
  </w:style>
  <w:style w:type="paragraph" w:styleId="Xl110" w:customStyle="1">
    <w:name w:val="xl110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111" w:customStyle="1">
    <w:name w:val="xl111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ISOCPEUR" w:hAnsi="ISOCPEUR" w:eastAsia="Times New Roman"/>
      <w:sz w:val="20"/>
      <w:szCs w:val="20"/>
      <w:lang w:eastAsia="ru-RU"/>
    </w:rPr>
  </w:style>
  <w:style w:type="paragraph" w:styleId="Xl112" w:customStyle="1">
    <w:name w:val="xl112"/>
    <w:basedOn w:val="Normal"/>
    <w:qFormat/>
    <w:rsid w:val="004a580e"/>
    <w:pPr>
      <w:pBdr>
        <w:bottom w:val="single" w:sz="4" w:space="0" w:color="000000"/>
      </w:pBdr>
      <w:spacing w:lineRule="auto" w:line="240" w:beforeAutospacing="1" w:afterAutospacing="1"/>
      <w:textAlignment w:val="center"/>
    </w:pPr>
    <w:rPr>
      <w:rFonts w:ascii="ISOCPEUR" w:hAnsi="ISOCPEUR" w:eastAsia="Times New Roman"/>
      <w:b/>
      <w:bCs/>
      <w:sz w:val="24"/>
      <w:szCs w:val="24"/>
      <w:lang w:eastAsia="ru-RU"/>
    </w:rPr>
  </w:style>
  <w:style w:type="paragraph" w:styleId="Xl113" w:customStyle="1">
    <w:name w:val="xl113"/>
    <w:basedOn w:val="Normal"/>
    <w:qFormat/>
    <w:rsid w:val="004a580e"/>
    <w:pPr>
      <w:pBdr>
        <w:bottom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18"/>
      <w:szCs w:val="18"/>
      <w:lang w:eastAsia="ru-RU"/>
    </w:rPr>
  </w:style>
  <w:style w:type="paragraph" w:styleId="Xl114" w:customStyle="1">
    <w:name w:val="xl114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20"/>
      <w:szCs w:val="20"/>
      <w:lang w:eastAsia="ru-RU"/>
    </w:rPr>
  </w:style>
  <w:style w:type="paragraph" w:styleId="Xl115" w:customStyle="1">
    <w:name w:val="xl115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20"/>
      <w:szCs w:val="20"/>
      <w:lang w:eastAsia="ru-RU"/>
    </w:rPr>
  </w:style>
  <w:style w:type="paragraph" w:styleId="Xl116" w:customStyle="1">
    <w:name w:val="xl116"/>
    <w:basedOn w:val="Normal"/>
    <w:qFormat/>
    <w:rsid w:val="004a580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24"/>
      <w:szCs w:val="24"/>
      <w:lang w:eastAsia="ru-RU"/>
    </w:rPr>
  </w:style>
  <w:style w:type="paragraph" w:styleId="Xl117" w:customStyle="1">
    <w:name w:val="xl117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20"/>
      <w:szCs w:val="20"/>
      <w:lang w:eastAsia="ru-RU"/>
    </w:rPr>
  </w:style>
  <w:style w:type="paragraph" w:styleId="Xl118" w:customStyle="1">
    <w:name w:val="xl118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sz w:val="20"/>
      <w:szCs w:val="20"/>
      <w:lang w:eastAsia="ru-RU"/>
    </w:rPr>
  </w:style>
  <w:style w:type="paragraph" w:styleId="Xl119" w:customStyle="1">
    <w:name w:val="xl119"/>
    <w:basedOn w:val="Normal"/>
    <w:qFormat/>
    <w:rsid w:val="004a580e"/>
    <w:pPr>
      <w:pBdr>
        <w:bottom w:val="single" w:sz="4" w:space="0" w:color="000000"/>
      </w:pBdr>
      <w:spacing w:lineRule="auto" w:line="240" w:beforeAutospacing="1" w:afterAutospacing="1"/>
      <w:textAlignment w:val="top"/>
    </w:pPr>
    <w:rPr>
      <w:rFonts w:ascii="ISOCPEUR" w:hAnsi="ISOCPEUR" w:eastAsia="Times New Roman"/>
      <w:b/>
      <w:bCs/>
      <w:sz w:val="18"/>
      <w:szCs w:val="18"/>
      <w:lang w:eastAsia="ru-RU"/>
    </w:rPr>
  </w:style>
  <w:style w:type="paragraph" w:styleId="Xl120" w:customStyle="1">
    <w:name w:val="xl120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ISOCPEUR" w:hAnsi="ISOCPEUR" w:eastAsia="Times New Roman"/>
      <w:sz w:val="18"/>
      <w:szCs w:val="18"/>
      <w:lang w:eastAsia="ru-RU"/>
    </w:rPr>
  </w:style>
  <w:style w:type="paragraph" w:styleId="Xl121" w:customStyle="1">
    <w:name w:val="xl121"/>
    <w:basedOn w:val="Normal"/>
    <w:qFormat/>
    <w:rsid w:val="004a58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ISOCPEUR" w:hAnsi="ISOCPEUR" w:eastAsia="Times New Roman"/>
      <w:sz w:val="20"/>
      <w:szCs w:val="20"/>
      <w:lang w:eastAsia="ru-RU"/>
    </w:rPr>
  </w:style>
  <w:style w:type="paragraph" w:styleId="Xl122" w:customStyle="1">
    <w:name w:val="xl122"/>
    <w:basedOn w:val="Normal"/>
    <w:qFormat/>
    <w:rsid w:val="004a580e"/>
    <w:pPr>
      <w:pBdr>
        <w:bottom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b/>
      <w:bCs/>
      <w:sz w:val="20"/>
      <w:szCs w:val="20"/>
      <w:lang w:eastAsia="ru-RU"/>
    </w:rPr>
  </w:style>
  <w:style w:type="paragraph" w:styleId="Xl123" w:customStyle="1">
    <w:name w:val="xl123"/>
    <w:basedOn w:val="Normal"/>
    <w:qFormat/>
    <w:rsid w:val="004a580e"/>
    <w:pPr>
      <w:pBdr>
        <w:bottom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ISOCPEUR" w:hAnsi="ISOCPEUR" w:eastAsia="Times New Roman"/>
      <w:sz w:val="18"/>
      <w:szCs w:val="18"/>
      <w:lang w:eastAsia="ru-RU"/>
    </w:rPr>
  </w:style>
  <w:style w:type="paragraph" w:styleId="BodyTextIndent">
    <w:name w:val="Body Text Indent"/>
    <w:basedOn w:val="Normal"/>
    <w:link w:val="Style10"/>
    <w:unhideWhenUsed/>
    <w:rsid w:val="0009103e"/>
    <w:pPr>
      <w:spacing w:before="0" w:after="120"/>
      <w:ind w:left="283" w:hanging="0"/>
    </w:pPr>
    <w:rPr/>
  </w:style>
  <w:style w:type="paragraph" w:styleId="Default" w:customStyle="1">
    <w:name w:val="Default"/>
    <w:qFormat/>
    <w:rsid w:val="003b4c4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BodyTextIndent2">
    <w:name w:val="Body Text Indent 2"/>
    <w:basedOn w:val="Normal"/>
    <w:link w:val="22"/>
    <w:unhideWhenUsed/>
    <w:qFormat/>
    <w:rsid w:val="007a7dc0"/>
    <w:pPr>
      <w:spacing w:lineRule="auto" w:line="480" w:before="0" w:after="120"/>
      <w:ind w:left="283" w:hanging="0"/>
    </w:pPr>
    <w:rPr/>
  </w:style>
  <w:style w:type="paragraph" w:styleId="27" w:customStyle="1">
    <w:name w:val="Знак2"/>
    <w:basedOn w:val="Normal"/>
    <w:qFormat/>
    <w:rsid w:val="00b249c6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15" w:customStyle="1">
    <w:name w:val="Список1"/>
    <w:basedOn w:val="List"/>
    <w:next w:val="Normal"/>
    <w:qFormat/>
    <w:rsid w:val="00e31354"/>
    <w:pPr>
      <w:numPr>
        <w:ilvl w:val="0"/>
        <w:numId w:val="5"/>
      </w:numPr>
      <w:tabs>
        <w:tab w:val="clear" w:pos="1985"/>
      </w:tabs>
    </w:pPr>
    <w:rPr/>
  </w:style>
  <w:style w:type="paragraph" w:styleId="Header">
    <w:name w:val="Header"/>
    <w:basedOn w:val="Normal"/>
    <w:link w:val="Style11"/>
    <w:uiPriority w:val="99"/>
    <w:unhideWhenUsed/>
    <w:rsid w:val="00543e0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rsid w:val="004b7a7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212" w:customStyle="1">
    <w:name w:val="Основной текст с отступом 21"/>
    <w:basedOn w:val="Normal"/>
    <w:uiPriority w:val="99"/>
    <w:qFormat/>
    <w:rsid w:val="00d919f6"/>
    <w:pPr>
      <w:widowControl w:val="false"/>
      <w:spacing w:lineRule="auto" w:line="240" w:before="0" w:after="0"/>
      <w:ind w:firstLine="567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NormalWeb">
    <w:name w:val="Normal (Web)"/>
    <w:basedOn w:val="Normal"/>
    <w:qFormat/>
    <w:rsid w:val="00d919f6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41" w:customStyle="1">
    <w:name w:val="Основной текст4"/>
    <w:basedOn w:val="Normal"/>
    <w:link w:val="Style12"/>
    <w:qFormat/>
    <w:rsid w:val="00d919f6"/>
    <w:pPr>
      <w:shd w:val="clear" w:color="auto" w:fill="FFFFFF"/>
      <w:spacing w:lineRule="atLeast" w:line="0" w:before="0" w:after="0"/>
      <w:ind w:hanging="660"/>
    </w:pPr>
    <w:rPr>
      <w:rFonts w:ascii="Arial Narrow" w:hAnsi="Arial Narrow" w:eastAsia="Arial Narrow" w:cs="Arial Narrow"/>
      <w:spacing w:val="10"/>
      <w:sz w:val="20"/>
      <w:szCs w:val="20"/>
      <w:lang w:eastAsia="ru-RU"/>
    </w:rPr>
  </w:style>
  <w:style w:type="paragraph" w:styleId="PlainText">
    <w:name w:val="Plain Text"/>
    <w:basedOn w:val="Normal"/>
    <w:link w:val="Style13"/>
    <w:uiPriority w:val="99"/>
    <w:unhideWhenUsed/>
    <w:qFormat/>
    <w:rsid w:val="00ad34c8"/>
    <w:pPr>
      <w:spacing w:lineRule="auto" w:line="240" w:before="0" w:after="0"/>
    </w:pPr>
    <w:rPr>
      <w:szCs w:val="21"/>
    </w:rPr>
  </w:style>
  <w:style w:type="paragraph" w:styleId="Style27" w:customStyle="1">
    <w:name w:val="Название раздела инструкции"/>
    <w:basedOn w:val="Normal"/>
    <w:autoRedefine/>
    <w:qFormat/>
    <w:rsid w:val="000d0446"/>
    <w:pPr>
      <w:numPr>
        <w:ilvl w:val="0"/>
        <w:numId w:val="9"/>
      </w:numPr>
      <w:spacing w:lineRule="auto" w:line="240" w:before="0" w:after="0"/>
      <w:jc w:val="center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Style28" w:customStyle="1">
    <w:name w:val="Раздел положения"/>
    <w:basedOn w:val="Normal"/>
    <w:autoRedefine/>
    <w:qFormat/>
    <w:rsid w:val="000d0446"/>
    <w:pPr>
      <w:numPr>
        <w:ilvl w:val="0"/>
        <w:numId w:val="7"/>
      </w:numPr>
      <w:spacing w:lineRule="auto" w:line="240" w:before="80" w:after="80"/>
      <w:jc w:val="center"/>
    </w:pPr>
    <w:rPr>
      <w:rFonts w:ascii="Times New Roman" w:hAnsi="Times New Roman" w:eastAsia="Times New Roman"/>
      <w:b/>
      <w:sz w:val="32"/>
      <w:szCs w:val="32"/>
      <w:lang w:eastAsia="ru-RU"/>
    </w:rPr>
  </w:style>
  <w:style w:type="paragraph" w:styleId="Style29" w:customStyle="1">
    <w:name w:val="Подраздел раздела положения"/>
    <w:basedOn w:val="Normal"/>
    <w:autoRedefine/>
    <w:qFormat/>
    <w:rsid w:val="000d0446"/>
    <w:pPr>
      <w:numPr>
        <w:ilvl w:val="1"/>
        <w:numId w:val="7"/>
      </w:numPr>
      <w:spacing w:lineRule="auto" w:line="240" w:before="80" w:after="8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16" w:customStyle="1">
    <w:name w:val="Шапка 1"/>
    <w:basedOn w:val="Normal"/>
    <w:qFormat/>
    <w:rsid w:val="000d0446"/>
    <w:pPr>
      <w:pBdr>
        <w:bottom w:val="thickThinSmallGap" w:sz="24" w:space="1" w:color="000000"/>
      </w:pBdr>
      <w:spacing w:lineRule="auto" w:line="240" w:before="0" w:after="240"/>
      <w:jc w:val="center"/>
    </w:pPr>
    <w:rPr>
      <w:rFonts w:ascii="Times New Roman" w:hAnsi="Times New Roman" w:eastAsia="Times New Roman"/>
      <w:lang w:eastAsia="ru-RU"/>
    </w:rPr>
  </w:style>
  <w:style w:type="paragraph" w:styleId="28" w:customStyle="1">
    <w:name w:val="Шапка 2"/>
    <w:basedOn w:val="Normal"/>
    <w:qFormat/>
    <w:rsid w:val="000d0446"/>
    <w:pPr>
      <w:pBdr>
        <w:bottom w:val="thickThinSmallGap" w:sz="24" w:space="1" w:color="000000"/>
      </w:pBdr>
      <w:spacing w:lineRule="auto" w:line="240" w:before="0" w:after="120"/>
      <w:jc w:val="center"/>
    </w:pPr>
    <w:rPr>
      <w:rFonts w:ascii="Times New Roman" w:hAnsi="Times New Roman" w:eastAsia="Times New Roman"/>
      <w:b/>
      <w:lang w:eastAsia="ru-RU"/>
    </w:rPr>
  </w:style>
  <w:style w:type="paragraph" w:styleId="34" w:customStyle="1">
    <w:name w:val="Шапка 3"/>
    <w:basedOn w:val="Normal"/>
    <w:qFormat/>
    <w:rsid w:val="000d0446"/>
    <w:pPr>
      <w:pBdr>
        <w:bottom w:val="thickThinSmallGap" w:sz="24" w:space="1" w:color="000000"/>
      </w:pBdr>
      <w:spacing w:lineRule="auto" w:line="240" w:before="240" w:after="360"/>
      <w:jc w:val="center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BodyText3">
    <w:name w:val="Body Text 3"/>
    <w:basedOn w:val="Normal"/>
    <w:link w:val="32"/>
    <w:qFormat/>
    <w:rsid w:val="000d0446"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BodyText2">
    <w:name w:val="Body Text 2"/>
    <w:basedOn w:val="Normal"/>
    <w:link w:val="23"/>
    <w:qFormat/>
    <w:rsid w:val="000d0446"/>
    <w:pPr>
      <w:spacing w:lineRule="auto" w:line="480" w:before="0" w:after="12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0d0446"/>
    <w:pPr>
      <w:spacing w:lineRule="auto" w:line="240" w:before="0" w:after="0"/>
      <w:ind w:left="-567" w:right="-766" w:hanging="0"/>
      <w:jc w:val="center"/>
    </w:pPr>
    <w:rPr>
      <w:rFonts w:ascii="Times New Roman" w:hAnsi="Times New Roman" w:eastAsia="Times New Roman"/>
      <w:b/>
      <w:bCs/>
      <w:sz w:val="24"/>
      <w:szCs w:val="20"/>
      <w:lang w:eastAsia="ru-RU"/>
    </w:rPr>
  </w:style>
  <w:style w:type="paragraph" w:styleId="Style30" w:customStyle="1">
    <w:name w:val="Подпункт"/>
    <w:basedOn w:val="Normal"/>
    <w:link w:val="13"/>
    <w:qFormat/>
    <w:rsid w:val="000d0446"/>
    <w:pPr>
      <w:tabs>
        <w:tab w:val="clear" w:pos="708"/>
        <w:tab w:val="left" w:pos="1134" w:leader="none"/>
      </w:tabs>
      <w:snapToGrid w:val="false"/>
      <w:spacing w:lineRule="auto" w:line="360" w:before="0" w:after="0"/>
      <w:ind w:left="1134" w:hanging="1134"/>
      <w:jc w:val="both"/>
    </w:pPr>
    <w:rPr>
      <w:rFonts w:ascii="Times New Roman" w:hAnsi="Times New Roman" w:eastAsia="Times New Roman"/>
      <w:sz w:val="28"/>
      <w:szCs w:val="20"/>
      <w:lang w:val="x-none" w:eastAsia="x-none"/>
    </w:rPr>
  </w:style>
  <w:style w:type="paragraph" w:styleId="29" w:customStyle="1">
    <w:name w:val="Пункт2"/>
    <w:basedOn w:val="Normal"/>
    <w:qFormat/>
    <w:rsid w:val="000d0446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lineRule="auto" w:line="240" w:before="240" w:after="120"/>
      <w:ind w:left="1134" w:hanging="1134"/>
      <w:outlineLvl w:val="2"/>
    </w:pPr>
    <w:rPr>
      <w:rFonts w:ascii="Times New Roman" w:hAnsi="Times New Roman" w:eastAsia="Times New Roman"/>
      <w:b/>
      <w:sz w:val="28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qFormat/>
    <w:rsid w:val="00264248"/>
    <w:pPr>
      <w:tabs>
        <w:tab w:val="clear" w:pos="708"/>
        <w:tab w:val="left" w:pos="1120" w:leader="none"/>
        <w:tab w:val="right" w:pos="9354" w:leader="dot"/>
      </w:tabs>
      <w:spacing w:lineRule="auto" w:line="240" w:before="0" w:after="0"/>
      <w:ind w:left="560" w:hanging="0"/>
    </w:pPr>
    <w:rPr>
      <w:rFonts w:ascii="Times New Roman" w:hAnsi="Times New Roman" w:eastAsia="Times New Roman"/>
      <w:sz w:val="24"/>
      <w:szCs w:val="28"/>
      <w:lang w:eastAsia="ru-RU"/>
    </w:rPr>
  </w:style>
  <w:style w:type="paragraph" w:styleId="Style31" w:customStyle="1">
    <w:name w:val="Раздел регламента"/>
    <w:basedOn w:val="Normal"/>
    <w:qFormat/>
    <w:rsid w:val="000d0446"/>
    <w:pPr>
      <w:spacing w:lineRule="auto" w:line="240" w:before="0" w:after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yle32" w:customStyle="1">
    <w:name w:val="Приложение к регламенту"/>
    <w:basedOn w:val="Normal"/>
    <w:qFormat/>
    <w:rsid w:val="000d0446"/>
    <w:pPr>
      <w:spacing w:lineRule="auto" w:line="240" w:before="0" w:after="0"/>
      <w:jc w:val="right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qFormat/>
    <w:rsid w:val="00ab1be3"/>
    <w:pPr>
      <w:tabs>
        <w:tab w:val="clear" w:pos="708"/>
        <w:tab w:val="left" w:pos="1120" w:leader="none"/>
        <w:tab w:val="right" w:pos="9344" w:leader="dot"/>
      </w:tabs>
      <w:spacing w:lineRule="auto" w:line="240" w:before="0" w:after="0"/>
      <w:ind w:left="567" w:hanging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OC9">
    <w:name w:val="TOC 9"/>
    <w:basedOn w:val="Normal"/>
    <w:next w:val="Normal"/>
    <w:autoRedefine/>
    <w:rsid w:val="000d0446"/>
    <w:pPr>
      <w:spacing w:lineRule="auto" w:line="240" w:before="0" w:after="0"/>
      <w:ind w:left="2240" w:hanging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TOC5">
    <w:name w:val="TOC 5"/>
    <w:basedOn w:val="Normal"/>
    <w:next w:val="Normal"/>
    <w:autoRedefine/>
    <w:rsid w:val="000d0446"/>
    <w:pPr>
      <w:spacing w:lineRule="auto" w:line="240" w:before="0" w:after="0"/>
      <w:ind w:left="1120" w:hanging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TOC4">
    <w:name w:val="TOC 4"/>
    <w:basedOn w:val="Normal"/>
    <w:next w:val="Normal"/>
    <w:autoRedefine/>
    <w:rsid w:val="00b23f4c"/>
    <w:pPr>
      <w:tabs>
        <w:tab w:val="clear" w:pos="708"/>
        <w:tab w:val="left" w:pos="567" w:leader="none"/>
        <w:tab w:val="right" w:pos="9354" w:leader="dot"/>
      </w:tabs>
      <w:spacing w:lineRule="auto" w:line="240" w:before="0" w:after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210" w:customStyle="1">
    <w:name w:val="Раздел положения 2"/>
    <w:basedOn w:val="Normal"/>
    <w:qFormat/>
    <w:rsid w:val="000d0446"/>
    <w:pPr>
      <w:pageBreakBefore/>
      <w:spacing w:lineRule="auto" w:line="240" w:before="0" w:after="0"/>
      <w:jc w:val="both"/>
      <w:outlineLvl w:val="0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Style33" w:customStyle="1">
    <w:name w:val="Знак Знак Знак Знак Знак Знак Знак Знак Знак"/>
    <w:basedOn w:val="Normal"/>
    <w:qFormat/>
    <w:rsid w:val="000d0446"/>
    <w:pPr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NoSpacing">
    <w:name w:val="No Spacing"/>
    <w:basedOn w:val="Normal"/>
    <w:uiPriority w:val="1"/>
    <w:qFormat/>
    <w:rsid w:val="000d0446"/>
    <w:pPr>
      <w:spacing w:lineRule="auto" w:line="360" w:before="0" w:after="0"/>
    </w:pPr>
    <w:rPr>
      <w:rFonts w:ascii="Times New Roman" w:hAnsi="Times New Roman"/>
      <w:sz w:val="24"/>
      <w:szCs w:val="24"/>
      <w:lang w:eastAsia="ru-RU"/>
    </w:rPr>
  </w:style>
  <w:style w:type="paragraph" w:styleId="Quote">
    <w:name w:val="Quote"/>
    <w:basedOn w:val="Normal"/>
    <w:next w:val="Normal"/>
    <w:link w:val="24"/>
    <w:uiPriority w:val="29"/>
    <w:qFormat/>
    <w:rsid w:val="000d0446"/>
    <w:pPr>
      <w:spacing w:lineRule="auto" w:line="240" w:before="0" w:after="0"/>
    </w:pPr>
    <w:rPr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5"/>
    <w:uiPriority w:val="30"/>
    <w:qFormat/>
    <w:rsid w:val="000d0446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3"/>
    <w:pPr/>
    <w:rPr/>
  </w:style>
  <w:style w:type="paragraph" w:styleId="TOCHeading">
    <w:name w:val="TOC Heading"/>
    <w:basedOn w:val="Heading1"/>
    <w:next w:val="Normal"/>
    <w:uiPriority w:val="39"/>
    <w:qFormat/>
    <w:rsid w:val="000d0446"/>
    <w:pPr>
      <w:keepLines/>
      <w:widowControl/>
      <w:spacing w:before="480" w:after="0"/>
      <w:jc w:val="left"/>
      <w:outlineLvl w:val="9"/>
    </w:pPr>
    <w:rPr>
      <w:rFonts w:ascii="Cambria" w:hAnsi="Cambria"/>
      <w:color w:val="365F91"/>
      <w:lang w:val="x-none" w:eastAsia="x-none"/>
    </w:rPr>
  </w:style>
  <w:style w:type="paragraph" w:styleId="E-mailSignature">
    <w:name w:val="E-mail Signature"/>
    <w:basedOn w:val="Normal"/>
    <w:link w:val="Style16"/>
    <w:uiPriority w:val="99"/>
    <w:unhideWhenUsed/>
    <w:qFormat/>
    <w:rsid w:val="000d0446"/>
    <w:pPr>
      <w:spacing w:lineRule="auto" w:line="240" w:before="0" w:after="0"/>
    </w:pPr>
    <w:rPr>
      <w:rFonts w:ascii="Times New Roman" w:hAnsi="Times New Roman"/>
      <w:sz w:val="24"/>
      <w:szCs w:val="24"/>
      <w:lang w:val="x-none" w:eastAsia="x-none"/>
    </w:rPr>
  </w:style>
  <w:style w:type="paragraph" w:styleId="35" w:customStyle="1">
    <w:name w:val="Нумерованный список ур3"/>
    <w:basedOn w:val="Normal"/>
    <w:qFormat/>
    <w:rsid w:val="000d0446"/>
    <w:pPr>
      <w:numPr>
        <w:ilvl w:val="2"/>
        <w:numId w:val="8"/>
      </w:numPr>
      <w:spacing w:lineRule="auto" w:line="240" w:before="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311" w:customStyle="1">
    <w:name w:val="Список 31"/>
    <w:basedOn w:val="Normal"/>
    <w:qFormat/>
    <w:rsid w:val="000d0446"/>
    <w:pPr>
      <w:numPr>
        <w:ilvl w:val="0"/>
        <w:numId w:val="8"/>
      </w:numPr>
      <w:spacing w:lineRule="auto" w:line="240" w:before="12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213" w:customStyle="1">
    <w:name w:val="Нумерованный список ур2"/>
    <w:basedOn w:val="Normal"/>
    <w:qFormat/>
    <w:rsid w:val="000d0446"/>
    <w:pPr>
      <w:numPr>
        <w:ilvl w:val="1"/>
        <w:numId w:val="8"/>
      </w:numPr>
      <w:spacing w:lineRule="auto" w:line="240" w:before="12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36" w:customStyle="1">
    <w:name w:val="Знак Знак3 Знак Знак"/>
    <w:basedOn w:val="Normal"/>
    <w:qFormat/>
    <w:rsid w:val="000d0446"/>
    <w:pPr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Style34" w:customStyle="1">
    <w:name w:val="Пункт"/>
    <w:basedOn w:val="Normal"/>
    <w:qFormat/>
    <w:rsid w:val="000d0446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rsid w:val="000d0446"/>
    <w:pPr>
      <w:spacing w:before="0" w:after="200"/>
      <w:ind w:left="720" w:hanging="0"/>
      <w:contextualSpacing/>
    </w:pPr>
    <w:rPr>
      <w:rFonts w:eastAsia="Times New Roman"/>
    </w:rPr>
  </w:style>
  <w:style w:type="paragraph" w:styleId="Style35" w:customStyle="1">
    <w:name w:val="Таблица"/>
    <w:basedOn w:val="Normal"/>
    <w:qFormat/>
    <w:rsid w:val="000d0446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EndnoteText">
    <w:name w:val="Endnote Text"/>
    <w:basedOn w:val="Normal"/>
    <w:link w:val="Style17"/>
    <w:rsid w:val="000d0446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ee51e6"/>
    <w:pPr>
      <w:spacing w:before="0" w:after="100"/>
      <w:ind w:left="1100" w:hanging="0"/>
    </w:pPr>
    <w:rPr>
      <w:rFonts w:eastAsia="Times New Roman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ee51e6"/>
    <w:pPr>
      <w:spacing w:before="0" w:after="100"/>
      <w:ind w:left="1320" w:hanging="0"/>
    </w:pPr>
    <w:rPr>
      <w:rFonts w:eastAsia="Times New Roman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ee51e6"/>
    <w:pPr>
      <w:spacing w:before="0" w:after="100"/>
      <w:ind w:left="1540" w:hanging="0"/>
    </w:pPr>
    <w:rPr>
      <w:rFonts w:eastAsia="Times New Roman"/>
      <w:lang w:eastAsia="ru-RU"/>
    </w:rPr>
  </w:style>
  <w:style w:type="paragraph" w:styleId="ListBullet2">
    <w:name w:val="List Bullet 2"/>
    <w:basedOn w:val="Normal"/>
    <w:uiPriority w:val="99"/>
    <w:unhideWhenUsed/>
    <w:qFormat/>
    <w:rsid w:val="006e50ed"/>
    <w:pPr>
      <w:numPr>
        <w:ilvl w:val="0"/>
        <w:numId w:val="10"/>
      </w:numPr>
      <w:spacing w:before="0" w:after="200"/>
      <w:contextualSpacing/>
    </w:pPr>
    <w:rPr/>
  </w:style>
  <w:style w:type="paragraph" w:styleId="18" w:customStyle="1">
    <w:name w:val="Обычный1"/>
    <w:basedOn w:val="Normal"/>
    <w:link w:val="CharChar"/>
    <w:qFormat/>
    <w:rsid w:val="002360d5"/>
    <w:pPr>
      <w:spacing w:lineRule="auto" w:line="360" w:before="0" w:after="0"/>
      <w:ind w:firstLine="851"/>
      <w:jc w:val="both"/>
    </w:pPr>
    <w:rPr>
      <w:sz w:val="24"/>
      <w:szCs w:val="24"/>
      <w:lang w:eastAsia="ru-RU"/>
    </w:rPr>
  </w:style>
  <w:style w:type="paragraph" w:styleId="Style36" w:customStyle="1">
    <w:name w:val="Знак Знак Знак Знак"/>
    <w:basedOn w:val="Normal"/>
    <w:qFormat/>
    <w:rsid w:val="003c781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112" w:customStyle="1">
    <w:name w:val="11"/>
    <w:basedOn w:val="BodyText"/>
    <w:qFormat/>
    <w:rsid w:val="0058054d"/>
    <w:pPr>
      <w:tabs>
        <w:tab w:val="clear" w:pos="708"/>
        <w:tab w:val="left" w:pos="709" w:leader="none"/>
      </w:tabs>
      <w:suppressAutoHyphens w:val="true"/>
      <w:spacing w:before="0" w:after="0"/>
      <w:ind w:firstLine="540"/>
      <w:jc w:val="both"/>
    </w:pPr>
    <w:rPr>
      <w:rFonts w:ascii="Arial" w:hAnsi="Arial" w:cs="Arial"/>
      <w:sz w:val="22"/>
      <w:szCs w:val="24"/>
      <w:lang w:eastAsia="ar-SA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62733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FORMATTEXT" w:customStyle="1">
    <w:name w:val=".FORMATTEXT"/>
    <w:uiPriority w:val="99"/>
    <w:qFormat/>
    <w:rsid w:val="00f5091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HEADERTEXT" w:customStyle="1">
    <w:name w:val=".HEADERTEXT"/>
    <w:uiPriority w:val="99"/>
    <w:qFormat/>
    <w:rsid w:val="003c432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2B4279"/>
      <w:kern w:val="0"/>
      <w:sz w:val="20"/>
      <w:szCs w:val="20"/>
      <w:lang w:val="ru-RU" w:eastAsia="ru-RU" w:bidi="ar-SA"/>
    </w:rPr>
  </w:style>
  <w:style w:type="paragraph" w:styleId="Formattext1" w:customStyle="1">
    <w:name w:val="formattext"/>
    <w:basedOn w:val="Normal"/>
    <w:qFormat/>
    <w:rsid w:val="00f41e1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msonormal" w:customStyle="1">
    <w:name w:val="x_msonormal"/>
    <w:basedOn w:val="Normal"/>
    <w:qFormat/>
    <w:rsid w:val="00cb75b6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2360d5"/>
  </w:style>
  <w:style w:type="numbering" w:styleId="2951804861" w:customStyle="1">
    <w:name w:val="2951804861"/>
    <w:qFormat/>
  </w:style>
  <w:style w:type="table" w:default="1" w:styleId="a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8"/>
    <w:uiPriority w:val="39"/>
    <w:rsid w:val="000d044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79240-9D7D-43D0-8E19-6701C7C9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Application>AlterOffice/3.4.0.9$Linux_X86_64 LibreOffice_project/b8daf9e823b1a5463a2f48435ddc2e8696e7d4fc</Application>
  <AppVersion>15.0000</AppVersion>
  <Pages>25</Pages>
  <Words>4350</Words>
  <Characters>30738</Characters>
  <CharactersWithSpaces>34538</CharactersWithSpaces>
  <Paragraphs>484</Paragraphs>
  <Company>ESP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2024-10-23T07:12:00Z</dcterms:created>
  <dc:creator>Хозяинов</dc:creator>
  <dc:description/>
  <dc:language>ru-RU</dc:language>
  <cp:lastModifiedBy>kulaginane@corp.gidroogk.com</cp:lastModifiedBy>
  <cp:lastPrinted>2022-10-11T11:26:00Z</cp:lastPrinted>
  <dcterms:modified xsi:type="dcterms:W3CDTF">2026-08-12T09:52:11Z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