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oter7.xml" ContentType="application/vnd.openxmlformats-officedocument.wordprocessingml.footer+xml"/>
  <Override PartName="/word/footer10.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styles.xml" ContentType="application/vnd.openxmlformats-officedocument.wordprocessingml.styles+xml"/>
  <Override PartName="/word/header6.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header5.xml" ContentType="application/vnd.openxmlformats-officedocument.wordprocessingml.header+xml"/>
  <Override PartName="/word/theme/theme1.xml" ContentType="application/vnd.openxmlformats-officedocument.theme+xml"/>
  <Override PartName="/word/footer2.xml" ContentType="application/vnd.openxmlformats-officedocument.wordprocessingml.footer+xml"/>
  <Override PartName="/word/header4.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footer8.xml" ContentType="application/vnd.openxmlformats-officedocument.wordprocessingml.footer+xml"/>
  <Override PartName="/word/footer11.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header8.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header11.xml" ContentType="application/vnd.openxmlformats-officedocument.wordprocessingml.header+xml"/>
  <Override PartName="/word/header1.xml" ContentType="application/vnd.openxmlformats-officedocument.wordprocessingml.header+xml"/>
  <Override PartName="/word/header10.xml" ContentType="application/vnd.openxmlformats-officedocument.wordprocessingml.header+xml"/>
  <Override PartName="/customXml/_rels/item4.xml.rels" ContentType="application/vnd.openxmlformats-package.relationships+xml"/>
  <Override PartName="/customXml/_rels/item5.xml.rels" ContentType="application/vnd.openxmlformats-package.relationships+xml"/>
  <Override PartName="/customXml/_rels/item1.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5.xml" ContentType="application/xml"/>
  <Override PartName="/customXml/itemProps5.xml" ContentType="application/vnd.openxmlformats-officedocument.customXmlProperties+xml"/>
  <Override PartName="/customXml/item1.xml" ContentType="application/xml"/>
  <Override PartName="/customXml/itemProps4.xml" ContentType="application/vnd.openxmlformats-officedocument.customXmlProperties+xml"/>
  <Override PartName="/customXml/item4.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hd w:val="clear" w:color="auto" w:fill="FFFFFF"/>
        <w:tabs>
          <w:tab w:val="clear" w:pos="709"/>
          <w:tab w:val="left" w:pos="3148" w:leader="none"/>
          <w:tab w:val="center" w:pos="4818" w:leader="none"/>
          <w:tab w:val="left" w:pos="6926" w:leader="none"/>
        </w:tabs>
        <w:spacing w:lineRule="auto" w:line="240"/>
        <w:ind w:hanging="0"/>
        <w:jc w:val="center"/>
        <w:rPr>
          <w:b/>
          <w:bCs/>
          <w:color w:val="000000"/>
          <w:sz w:val="24"/>
          <w:szCs w:val="24"/>
        </w:rPr>
      </w:pPr>
      <w:r>
        <w:rPr>
          <w:b/>
          <w:bCs/>
          <w:color w:val="000000"/>
          <w:sz w:val="24"/>
          <w:szCs w:val="24"/>
        </w:rPr>
        <w:t xml:space="preserve">Договор подряда </w:t>
      </w:r>
    </w:p>
    <w:p>
      <w:pPr>
        <w:pStyle w:val="Normal"/>
        <w:shd w:val="clear" w:color="auto" w:fill="FFFFFF"/>
        <w:tabs>
          <w:tab w:val="clear" w:pos="709"/>
          <w:tab w:val="left" w:pos="3148" w:leader="none"/>
          <w:tab w:val="center" w:pos="4818" w:leader="none"/>
          <w:tab w:val="left" w:pos="6926" w:leader="none"/>
        </w:tabs>
        <w:spacing w:lineRule="auto" w:line="240"/>
        <w:ind w:hanging="0"/>
        <w:jc w:val="center"/>
        <w:rPr>
          <w:b/>
          <w:sz w:val="24"/>
          <w:szCs w:val="24"/>
        </w:rPr>
      </w:pPr>
      <w:r>
        <w:rPr>
          <w:b/>
          <w:bCs/>
          <w:color w:val="000000"/>
          <w:sz w:val="24"/>
          <w:szCs w:val="24"/>
        </w:rPr>
        <w:t>на выполнение проектно-изыскательских работ № ____</w:t>
      </w:r>
    </w:p>
    <w:p>
      <w:pPr>
        <w:pStyle w:val="Normal"/>
        <w:shd w:val="clear" w:color="auto" w:fill="FFFFFF"/>
        <w:spacing w:lineRule="auto" w:line="240"/>
        <w:ind w:hanging="0"/>
        <w:rPr>
          <w:b/>
          <w:bCs/>
          <w:color w:val="000000"/>
          <w:sz w:val="24"/>
          <w:szCs w:val="24"/>
        </w:rPr>
      </w:pPr>
      <w:r>
        <w:rPr>
          <w:b/>
          <w:bCs/>
          <w:color w:val="000000"/>
          <w:sz w:val="24"/>
          <w:szCs w:val="24"/>
        </w:rPr>
      </w:r>
    </w:p>
    <w:p>
      <w:pPr>
        <w:pStyle w:val="Normal"/>
        <w:shd w:val="clear" w:color="auto" w:fill="FFFFFF"/>
        <w:tabs>
          <w:tab w:val="clear" w:pos="709"/>
          <w:tab w:val="right" w:pos="993" w:leader="none"/>
        </w:tabs>
        <w:spacing w:lineRule="auto" w:line="240"/>
        <w:ind w:hanging="0"/>
        <w:rPr>
          <w:bCs/>
          <w:color w:val="000000"/>
          <w:sz w:val="24"/>
          <w:szCs w:val="24"/>
        </w:rPr>
      </w:pPr>
      <w:r>
        <w:rPr>
          <w:bCs/>
          <w:color w:val="000000"/>
          <w:sz w:val="24"/>
          <w:szCs w:val="24"/>
        </w:rPr>
        <w:t>г. _________</w:t>
        <w:tab/>
        <w:tab/>
        <w:tab/>
        <w:tab/>
        <w:tab/>
        <w:tab/>
        <w:tab/>
        <w:t xml:space="preserve">                        «___» _________ 20__ г.</w:t>
      </w:r>
    </w:p>
    <w:p>
      <w:pPr>
        <w:pStyle w:val="Normal"/>
        <w:shd w:val="clear" w:color="auto" w:fill="FFFFFF"/>
        <w:tabs>
          <w:tab w:val="clear" w:pos="709"/>
          <w:tab w:val="right" w:pos="9639" w:leader="none"/>
        </w:tabs>
        <w:spacing w:lineRule="auto" w:line="240"/>
        <w:ind w:hanging="0"/>
        <w:rPr>
          <w:bCs/>
          <w:color w:val="000000"/>
          <w:sz w:val="24"/>
          <w:szCs w:val="24"/>
        </w:rPr>
      </w:pPr>
      <w:r>
        <w:rPr>
          <w:bCs/>
          <w:color w:val="000000"/>
          <w:sz w:val="24"/>
          <w:szCs w:val="24"/>
        </w:rPr>
      </w:r>
    </w:p>
    <w:p>
      <w:pPr>
        <w:pStyle w:val="BodyText3"/>
        <w:ind w:firstLine="708"/>
        <w:rPr>
          <w:color w:val="auto"/>
        </w:rPr>
      </w:pPr>
      <w:r>
        <w:rPr>
          <w:b/>
          <w:color w:val="auto"/>
          <w:lang w:val="ru-RU"/>
        </w:rPr>
        <w:t xml:space="preserve">Публичное </w:t>
      </w:r>
      <w:r>
        <w:rPr>
          <w:b/>
          <w:color w:val="auto"/>
        </w:rPr>
        <w:t xml:space="preserve">акционерное общество «Федеральная гидрогенерирующая компания </w:t>
      </w:r>
      <w:r>
        <w:rPr>
          <w:b/>
          <w:color w:val="auto"/>
          <w:lang w:val="ru-RU"/>
        </w:rPr>
        <w:t>–</w:t>
      </w:r>
      <w:r>
        <w:rPr>
          <w:b/>
          <w:color w:val="auto"/>
        </w:rPr>
        <w:t xml:space="preserve"> РусГидро» </w:t>
      </w:r>
      <w:r>
        <w:rPr>
          <w:color w:val="auto"/>
        </w:rPr>
        <w:t>(</w:t>
      </w:r>
      <w:r>
        <w:rPr>
          <w:color w:val="auto"/>
          <w:lang w:val="ru-RU"/>
        </w:rPr>
        <w:t>П</w:t>
      </w:r>
      <w:r>
        <w:rPr>
          <w:color w:val="auto"/>
        </w:rPr>
        <w:t xml:space="preserve">АО «РусГидро») (далее – «Заказчик»), в лице _______________ действующего на основании ______________, с одной стороны, и </w:t>
      </w:r>
    </w:p>
    <w:p>
      <w:pPr>
        <w:pStyle w:val="BodyText3"/>
        <w:ind w:firstLine="708"/>
        <w:rPr>
          <w:color w:val="auto"/>
        </w:rPr>
      </w:pPr>
      <w:r>
        <w:rPr>
          <w:color w:val="auto"/>
        </w:rPr>
        <w:t xml:space="preserve">________________________ (далее – «Подрядчик»), в лице ________________, действующего на основании ______________, с другой стороны, </w:t>
      </w:r>
    </w:p>
    <w:p>
      <w:pPr>
        <w:pStyle w:val="BodyText3"/>
        <w:ind w:firstLine="708"/>
        <w:rPr>
          <w:bCs/>
          <w:color w:val="auto"/>
          <w:lang w:val="ru-RU"/>
        </w:rPr>
      </w:pPr>
      <w:r>
        <w:rPr>
          <w:color w:val="auto"/>
        </w:rPr>
        <w:t xml:space="preserve">совместно в дальнейшем именуемые «Стороны», а по отдельности – «Сторона», </w:t>
      </w:r>
      <w:r>
        <w:rPr>
          <w:color w:val="auto"/>
          <w:highlight w:val="lightGray"/>
        </w:rPr>
        <w:t>по результатам проведенного Заказчиком состязательного отбора по лоту №0130-ТПИР ОБСЛ-2026-ЧеГЭС</w:t>
      </w:r>
      <w:r>
        <w:rPr>
          <w:bCs/>
          <w:color w:val="auto"/>
          <w:highlight w:val="lightGray"/>
        </w:rPr>
        <w:t>,</w:t>
      </w:r>
      <w:r>
        <w:rPr>
          <w:highlight w:val="lightGray"/>
        </w:rPr>
        <w:t xml:space="preserve"> </w:t>
      </w:r>
      <w:r>
        <w:rPr>
          <w:color w:val="auto"/>
          <w:highlight w:val="lightGray"/>
          <w:lang w:val="ru-RU"/>
        </w:rPr>
        <w:t>и</w:t>
      </w:r>
      <w:r>
        <w:rPr>
          <w:highlight w:val="lightGray"/>
          <w:lang w:val="ru-RU"/>
        </w:rPr>
        <w:t xml:space="preserve"> </w:t>
      </w:r>
      <w:r>
        <w:rPr>
          <w:bCs/>
          <w:color w:val="auto"/>
          <w:highlight w:val="lightGray"/>
        </w:rPr>
        <w:t xml:space="preserve">на основании Протокола о результатах </w:t>
      </w:r>
      <w:r>
        <w:rPr>
          <w:bCs/>
          <w:color w:val="auto"/>
          <w:highlight w:val="lightGray"/>
          <w:lang w:val="ru-RU"/>
        </w:rPr>
        <w:t>__________</w:t>
      </w:r>
      <w:r>
        <w:rPr>
          <w:bCs/>
          <w:color w:val="auto"/>
          <w:highlight w:val="lightGray"/>
        </w:rPr>
        <w:t xml:space="preserve"> №_______ от «___»__________</w:t>
      </w:r>
      <w:r>
        <w:rPr>
          <w:bCs/>
          <w:color w:val="auto"/>
          <w:highlight w:val="lightGray"/>
          <w:lang w:val="ru-RU"/>
        </w:rPr>
        <w:t>20__</w:t>
      </w:r>
      <w:r>
        <w:rPr>
          <w:bCs/>
          <w:color w:val="auto"/>
          <w:highlight w:val="lightGray"/>
        </w:rPr>
        <w:t xml:space="preserve"> года</w:t>
      </w:r>
      <w:r>
        <w:rPr>
          <w:bCs/>
          <w:color w:val="auto"/>
          <w:highlight w:val="lightGray"/>
          <w:lang w:val="ru-RU"/>
        </w:rPr>
        <w:t>,</w:t>
      </w:r>
    </w:p>
    <w:p>
      <w:pPr>
        <w:pStyle w:val="BodyText3"/>
        <w:ind w:firstLine="708"/>
        <w:rPr>
          <w:color w:val="auto"/>
          <w:lang w:val="ru-RU"/>
        </w:rPr>
      </w:pPr>
      <w:r>
        <w:rPr>
          <w:color w:val="auto"/>
        </w:rPr>
        <w:t>заключили настоящий договор (далее – «Договор») о нижеследующем:</w:t>
      </w:r>
    </w:p>
    <w:p>
      <w:pPr>
        <w:pStyle w:val="ListParagraph"/>
        <w:shd w:val="clear" w:color="auto" w:fill="FFFFFF"/>
        <w:tabs>
          <w:tab w:val="clear" w:pos="709"/>
          <w:tab w:val="left" w:pos="284" w:leader="none"/>
        </w:tabs>
        <w:ind w:left="0" w:hanging="0"/>
        <w:jc w:val="center"/>
        <w:rPr>
          <w:b/>
          <w:bCs/>
        </w:rPr>
      </w:pPr>
      <w:r>
        <w:rPr>
          <w:b/>
          <w:bCs/>
        </w:rPr>
      </w:r>
    </w:p>
    <w:p>
      <w:pPr>
        <w:pStyle w:val="ListParagraph"/>
        <w:shd w:val="clear" w:color="auto" w:fill="FFFFFF"/>
        <w:tabs>
          <w:tab w:val="clear" w:pos="709"/>
          <w:tab w:val="left" w:pos="284" w:leader="none"/>
        </w:tabs>
        <w:ind w:left="0" w:hanging="0"/>
        <w:jc w:val="center"/>
        <w:rPr>
          <w:b/>
          <w:bCs/>
        </w:rPr>
      </w:pPr>
      <w:r>
        <w:rPr>
          <w:b/>
          <w:bCs/>
        </w:rPr>
        <w:t>Термины и определения</w:t>
      </w:r>
    </w:p>
    <w:p>
      <w:pPr>
        <w:pStyle w:val="BodyText3"/>
        <w:ind w:firstLine="708"/>
        <w:rPr>
          <w:color w:val="auto"/>
          <w:lang w:val="ru-RU"/>
        </w:rPr>
      </w:pPr>
      <w:r>
        <w:rPr>
          <w:color w:val="auto"/>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«Банковская гарантия»</w:t>
      </w:r>
      <w:r>
        <w:rPr>
          <w:lang w:eastAsia="en-US"/>
        </w:rPr>
        <w:t xml:space="preserve"> – независимая гарантия, выданная в обеспечение исполнения Подрядчиком обязательств по Договору согласованным с Заказчиком банком (Гарантом), которая регулируется Унифицированными правилами для гарантий 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Договора.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«ГПЗУ» </w:t>
      </w:r>
      <w:r>
        <w:rPr>
          <w:lang w:eastAsia="en-US"/>
        </w:rPr>
        <w:t>– градостроительный план земельного участка.</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«Договор»</w:t>
      </w:r>
      <w:r>
        <w:rPr>
          <w:lang w:eastAsia="en-US"/>
        </w:rPr>
        <w:t xml:space="preserve"> – настоящий договор, подписанный Заказчиком и Подрядчиком,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Договора.«Исходно-разрешительная документация» – совокупность документов, оформляемых в соответствии с требованиями Применимого права с участием компетентных органов государственной власти и местного самоуправления и / или других организаций для проведения Инженерных изысканий и обеспечения разработки Проектной документации. </w:t>
      </w:r>
    </w:p>
    <w:p>
      <w:pPr>
        <w:pStyle w:val="Normal"/>
        <w:widowControl w:val="false"/>
        <w:shd w:val="clear" w:color="auto" w:fill="FFFFFF"/>
        <w:tabs>
          <w:tab w:val="clear" w:pos="709"/>
          <w:tab w:val="left" w:pos="567" w:leader="none"/>
          <w:tab w:val="left" w:pos="1134" w:leader="none"/>
        </w:tabs>
        <w:spacing w:lineRule="auto" w:line="240"/>
        <w:ind w:firstLine="709"/>
        <w:textAlignment w:val="baseline"/>
        <w:rPr>
          <w:sz w:val="24"/>
          <w:szCs w:val="24"/>
          <w:lang w:eastAsia="en-US"/>
        </w:rPr>
      </w:pPr>
      <w:r>
        <w:rPr>
          <w:sz w:val="24"/>
          <w:szCs w:val="24"/>
          <w:lang w:eastAsia="en-US"/>
        </w:rPr>
        <w:t>К Исходно-разрешительной документации относятся:</w:t>
      </w:r>
    </w:p>
    <w:p>
      <w:pPr>
        <w:pStyle w:val="ListParagraph"/>
        <w:widowControl w:val="false"/>
        <w:numPr>
          <w:ilvl w:val="0"/>
          <w:numId w:val="20"/>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 xml:space="preserve">документы в отношении земельных участков, необходимых для строительства / реконструкции проектируемых объектов капитального строительства (включая документы территориального планирования, ГПЗУ, документы кадастрового учета и т.п.);  </w:t>
      </w:r>
    </w:p>
    <w:p>
      <w:pPr>
        <w:pStyle w:val="ListParagraph"/>
        <w:widowControl w:val="false"/>
        <w:numPr>
          <w:ilvl w:val="0"/>
          <w:numId w:val="20"/>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технические условия на подключение к инженерным сетям и / или коммуникациям;</w:t>
      </w:r>
    </w:p>
    <w:p>
      <w:pPr>
        <w:pStyle w:val="ListParagraph"/>
        <w:widowControl w:val="false"/>
        <w:numPr>
          <w:ilvl w:val="0"/>
          <w:numId w:val="20"/>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технические условия на вынос / переустройство наземных и подземных инженерных сетей и / или коммуникаций с территории застройки земельного участка;</w:t>
      </w:r>
    </w:p>
    <w:p>
      <w:pPr>
        <w:pStyle w:val="ListParagraph"/>
        <w:widowControl w:val="false"/>
        <w:numPr>
          <w:ilvl w:val="0"/>
          <w:numId w:val="20"/>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разрешительные и / или распорядительные документы;</w:t>
      </w:r>
    </w:p>
    <w:p>
      <w:pPr>
        <w:pStyle w:val="ListParagraph"/>
        <w:widowControl w:val="false"/>
        <w:numPr>
          <w:ilvl w:val="0"/>
          <w:numId w:val="20"/>
        </w:numPr>
        <w:shd w:val="clear" w:color="auto" w:fill="FFFFFF"/>
        <w:tabs>
          <w:tab w:val="clear" w:pos="709"/>
          <w:tab w:val="left" w:pos="567" w:leader="none"/>
          <w:tab w:val="left" w:pos="1134" w:leader="none"/>
        </w:tabs>
        <w:ind w:left="0" w:firstLine="709"/>
        <w:jc w:val="both"/>
        <w:textAlignment w:val="baseline"/>
        <w:rPr>
          <w:lang w:eastAsia="en-US"/>
        </w:rPr>
      </w:pPr>
      <w:r>
        <w:rPr>
          <w:lang w:eastAsia="en-US"/>
        </w:rPr>
        <w:t>справки, заключения, согласования.</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«Коммерческая тайна»</w:t>
      </w:r>
      <w:r>
        <w:rPr>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b/>
          <w:lang w:eastAsia="en-US"/>
        </w:rPr>
      </w:pPr>
      <w:r>
        <w:rPr>
          <w:b/>
          <w:highlight w:val="lightGray"/>
          <w:lang w:eastAsia="en-US"/>
        </w:rPr>
        <w:t>«Материально-технические ресурсы и оборудование»</w:t>
      </w:r>
      <w:r>
        <w:rPr>
          <w:highlight w:val="lightGray"/>
          <w:lang w:eastAsia="en-US"/>
        </w:rPr>
        <w:t xml:space="preserve"> – всевозможные материалы, запасные части, оборудование, строительные конструкции, детали, комплектующие изделия, инвентарь, отделочные материалы, сырье, смазочные материалы, иные товары, которые необходимы Подрядчику для выполнения Работ по Договору.</w:t>
      </w:r>
      <w:r>
        <w:rPr>
          <w:b/>
          <w:lang w:eastAsia="en-US"/>
        </w:rPr>
        <w:t xml:space="preserve">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b/>
          <w:lang w:eastAsia="en-US"/>
        </w:rPr>
      </w:pPr>
      <w:r>
        <w:rPr>
          <w:b/>
          <w:bCs/>
        </w:rPr>
        <w:t>«Национальный режим»</w:t>
      </w:r>
      <w:r>
        <w:rPr>
          <w:bCs/>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lang w:eastAsia="en-US"/>
        </w:rPr>
        <w:t xml:space="preserve">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 xml:space="preserve">«Отказ от Договора» </w:t>
      </w:r>
      <w:r>
        <w:rPr>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shd w:fill="C0C0C0" w:val="clear"/>
        </w:rPr>
      </w:pPr>
      <w:r>
        <w:rPr>
          <w:b/>
          <w:bCs/>
          <w:color w:val="000000"/>
          <w:shd w:fill="C0C0C0" w:val="clear"/>
        </w:rPr>
        <w:t>«Отходы»</w:t>
      </w:r>
      <w:r>
        <w:rPr>
          <w:color w:val="000000"/>
          <w:shd w:fill="C0C0C0" w:val="clear"/>
        </w:rPr>
        <w:t xml:space="preserve"> </w:t>
      </w:r>
      <w:r>
        <w:rPr>
          <w:color w:val="000000"/>
          <w:shd w:fill="C0C0C0" w:val="clear"/>
          <w:lang w:eastAsia="en-US"/>
        </w:rPr>
        <w:t>–</w:t>
      </w:r>
      <w:r>
        <w:rPr>
          <w:color w:val="000000"/>
          <w:shd w:fill="C0C0C0" w:val="clear"/>
        </w:rPr>
        <w:t xml:space="preserve"> отходы, извлечённые из водных объектов (древесина, полиэтиленовая тара и другой мусор), отходы от очистки, технического обслуживания, обследования, ремонта, технического перевооружения и реконструкции сороудерживающих решеток / сооружений (древесина, песок от пескоструек, речная дрейссена, тара от лакокрасочных материалов, ветоши, твердые коммунальные отходы и т.д.), образующиеся при выполнении Работ по Договору</w:t>
      </w:r>
      <w:r>
        <w:rPr>
          <w:rStyle w:val="FootnoteReference"/>
          <w:color w:val="000000"/>
          <w:shd w:fill="C0C0C0" w:val="clear"/>
        </w:rPr>
        <w:footnoteReference w:id="2"/>
      </w:r>
      <w:r>
        <w:rPr>
          <w:color w:val="000000"/>
          <w:shd w:fill="C0C0C0" w:val="clear"/>
        </w:rPr>
        <w:t>, ответственность за обращение с которыми несет Подрядчик.</w:t>
      </w:r>
      <w:r>
        <w:rPr>
          <w:rStyle w:val="FootnoteReference"/>
          <w:color w:val="000000"/>
          <w:shd w:fill="C0C0C0" w:val="clear"/>
        </w:rPr>
        <w:footnoteReference w:id="3"/>
      </w:r>
    </w:p>
    <w:p>
      <w:pPr>
        <w:pStyle w:val="ListParagraph"/>
        <w:widowControl w:val="false"/>
        <w:shd w:val="clear" w:color="auto" w:fill="FFFFFF"/>
        <w:tabs>
          <w:tab w:val="clear" w:pos="709"/>
          <w:tab w:val="left" w:pos="567" w:leader="none"/>
          <w:tab w:val="left" w:pos="1134" w:leader="none"/>
        </w:tabs>
        <w:ind w:left="0" w:firstLine="708"/>
        <w:jc w:val="both"/>
        <w:textAlignment w:val="baseline"/>
        <w:rPr>
          <w:lang w:eastAsia="en-US"/>
        </w:rPr>
      </w:pPr>
      <w:r>
        <w:rPr>
          <w:b/>
          <w:lang w:eastAsia="en-US"/>
        </w:rPr>
        <w:t>«Применимое право»</w:t>
      </w:r>
      <w:r>
        <w:rPr>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а также строительные нормы и правила (СНиП), методическая документация в строительстве (МДС), руководящие документы (РД), своды правил по проектированию и строительству (СП), технические регламенты, национальные стандарты (ГОСТ Р), иные нормативно-правовые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производства работ и охраны труда персонала, относящиеся к Работам.</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«Проектная документация»</w:t>
      </w:r>
      <w:r>
        <w:rPr>
          <w:b w:val="false"/>
          <w:sz w:val="24"/>
          <w:szCs w:val="24"/>
          <w:lang w:val="ru-RU"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 xml:space="preserve">Состав разделов Проектной документации определяется Применимым правом.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b w:val="false"/>
          <w:sz w:val="24"/>
          <w:szCs w:val="24"/>
          <w:lang w:val="ru-RU"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Заказчика.</w:t>
      </w:r>
    </w:p>
    <w:p>
      <w:pPr>
        <w:pStyle w:val="Heading3"/>
        <w:keepNext w:val="false"/>
        <w:widowControl w:val="false"/>
        <w:tabs>
          <w:tab w:val="clear" w:pos="709"/>
          <w:tab w:val="left" w:pos="567" w:leader="none"/>
        </w:tabs>
        <w:spacing w:before="0" w:after="0"/>
        <w:ind w:firstLine="708"/>
        <w:jc w:val="both"/>
        <w:textAlignment w:val="baseline"/>
        <w:rPr>
          <w:sz w:val="24"/>
          <w:szCs w:val="24"/>
          <w:lang w:eastAsia="ru-RU"/>
        </w:rPr>
      </w:pPr>
      <w:r>
        <w:rPr>
          <w:sz w:val="24"/>
          <w:szCs w:val="24"/>
          <w:lang w:val="ru-RU" w:eastAsia="en-US"/>
        </w:rPr>
        <w:t>«Работы»</w:t>
      </w:r>
      <w:r>
        <w:rPr>
          <w:b w:val="false"/>
          <w:sz w:val="24"/>
          <w:szCs w:val="24"/>
          <w:lang w:val="ru-RU" w:eastAsia="en-US"/>
        </w:rPr>
        <w:t xml:space="preserve"> – все выполняемые Подрядчиком на свой риск, с использованием своих и / или привлеченных за свой счет сил и средств (оборудования, инструмента), в соответствии с условиями Договора и Применимым правом работы, в том числе: работы по исправлению</w:t>
      </w:r>
      <w:r>
        <w:rPr>
          <w:sz w:val="24"/>
          <w:szCs w:val="24"/>
          <w:lang w:eastAsia="ru-RU"/>
        </w:rPr>
        <w:t xml:space="preserve"> </w:t>
      </w:r>
      <w:r>
        <w:rPr>
          <w:b w:val="false"/>
          <w:sz w:val="24"/>
          <w:szCs w:val="24"/>
          <w:lang w:val="ru-RU" w:eastAsia="ru-RU"/>
        </w:rPr>
        <w:t>выявленных</w:t>
      </w:r>
      <w:r>
        <w:rPr>
          <w:sz w:val="24"/>
          <w:szCs w:val="24"/>
          <w:lang w:val="ru-RU" w:eastAsia="ru-RU"/>
        </w:rPr>
        <w:t xml:space="preserve"> </w:t>
      </w:r>
      <w:r>
        <w:rPr>
          <w:b w:val="false"/>
          <w:sz w:val="24"/>
          <w:szCs w:val="24"/>
          <w:lang w:eastAsia="ru-RU"/>
        </w:rPr>
        <w:t>недостатков, несоответстви</w:t>
      </w:r>
      <w:r>
        <w:rPr>
          <w:b w:val="false"/>
          <w:sz w:val="24"/>
          <w:szCs w:val="24"/>
          <w:lang w:val="ru-RU" w:eastAsia="ru-RU"/>
        </w:rPr>
        <w:t>й</w:t>
      </w:r>
      <w:r>
        <w:rPr>
          <w:b w:val="false"/>
          <w:sz w:val="24"/>
          <w:szCs w:val="24"/>
          <w:lang w:eastAsia="ru-RU"/>
        </w:rPr>
        <w:t xml:space="preserve"> в </w:t>
      </w:r>
      <w:r>
        <w:rPr>
          <w:b w:val="false"/>
          <w:sz w:val="24"/>
          <w:szCs w:val="24"/>
          <w:lang w:val="ru-RU" w:eastAsia="ru-RU"/>
        </w:rPr>
        <w:t>Результате</w:t>
      </w:r>
      <w:r>
        <w:rPr>
          <w:b w:val="false"/>
          <w:sz w:val="24"/>
          <w:szCs w:val="24"/>
          <w:lang w:eastAsia="ru-RU"/>
        </w:rPr>
        <w:t xml:space="preserve"> </w:t>
      </w:r>
      <w:r>
        <w:rPr>
          <w:b w:val="false"/>
          <w:sz w:val="24"/>
          <w:szCs w:val="24"/>
          <w:lang w:val="ru-RU" w:eastAsia="ru-RU"/>
        </w:rPr>
        <w:t>Работ</w:t>
      </w:r>
      <w:r>
        <w:rPr>
          <w:b w:val="false"/>
          <w:sz w:val="24"/>
          <w:szCs w:val="24"/>
          <w:lang w:eastAsia="ru-RU"/>
        </w:rPr>
        <w:t xml:space="preserve">, а также любые иные работы, необходимые для выполнения Подрядчиком своих обязательств по Договору, независимо от </w:t>
      </w:r>
      <w:r>
        <w:rPr>
          <w:b w:val="false"/>
          <w:sz w:val="24"/>
          <w:szCs w:val="24"/>
          <w:lang w:val="ru-RU" w:eastAsia="ru-RU"/>
        </w:rPr>
        <w:t>их</w:t>
      </w:r>
      <w:r>
        <w:rPr>
          <w:b w:val="false"/>
          <w:sz w:val="24"/>
          <w:szCs w:val="24"/>
          <w:lang w:eastAsia="ru-RU"/>
        </w:rPr>
        <w:t xml:space="preserve"> прямо</w:t>
      </w:r>
      <w:r>
        <w:rPr>
          <w:b w:val="false"/>
          <w:sz w:val="24"/>
          <w:szCs w:val="24"/>
          <w:lang w:val="ru-RU" w:eastAsia="ru-RU"/>
        </w:rPr>
        <w:t>го указания</w:t>
      </w:r>
      <w:r>
        <w:rPr>
          <w:b w:val="false"/>
          <w:sz w:val="24"/>
          <w:szCs w:val="24"/>
          <w:lang w:eastAsia="ru-RU"/>
        </w:rPr>
        <w:t xml:space="preserve"> в Договоре.</w:t>
      </w:r>
      <w:r>
        <w:rPr>
          <w:sz w:val="24"/>
          <w:szCs w:val="24"/>
          <w:lang w:eastAsia="ru-RU"/>
        </w:rPr>
        <w:t xml:space="preserve"> </w:t>
      </w:r>
    </w:p>
    <w:p>
      <w:pPr>
        <w:pStyle w:val="Normal"/>
        <w:widowControl w:val="false"/>
        <w:shd w:val="clear" w:color="auto" w:fill="FFFFFF"/>
        <w:tabs>
          <w:tab w:val="clear" w:pos="709"/>
          <w:tab w:val="left" w:pos="567" w:leader="none"/>
        </w:tabs>
        <w:spacing w:lineRule="auto" w:line="240"/>
        <w:ind w:firstLine="708"/>
        <w:rPr>
          <w:sz w:val="24"/>
          <w:szCs w:val="24"/>
        </w:rPr>
      </w:pPr>
      <w:r>
        <w:rPr>
          <w:sz w:val="24"/>
          <w:szCs w:val="24"/>
        </w:rPr>
        <w:t xml:space="preserve">Термин «Работы» включает в себя упомянутые в настоящем пункте обязанности Подрядчика независимо от возможного использования в тексте Договора терминов, обозначающих такие обязанности, совместно с термином «Работы». </w:t>
      </w:r>
      <w:r>
        <w:rPr>
          <w:b/>
          <w:sz w:val="24"/>
          <w:szCs w:val="24"/>
          <w:highlight w:val="lightGray"/>
          <w:lang w:eastAsia="en-US"/>
        </w:rPr>
        <w:t xml:space="preserve"> </w:t>
      </w:r>
    </w:p>
    <w:p>
      <w:pPr>
        <w:pStyle w:val="Normal"/>
        <w:widowControl w:val="false"/>
        <w:tabs>
          <w:tab w:val="clear" w:pos="709"/>
          <w:tab w:val="left" w:pos="567" w:leader="none"/>
        </w:tabs>
        <w:spacing w:lineRule="auto" w:line="240"/>
        <w:ind w:firstLine="708"/>
        <w:rPr>
          <w:sz w:val="24"/>
          <w:szCs w:val="24"/>
        </w:rPr>
      </w:pPr>
      <w:r>
        <w:rPr>
          <w:b/>
          <w:sz w:val="24"/>
          <w:szCs w:val="24"/>
        </w:rPr>
        <w:t>«Рабочий день»</w:t>
      </w:r>
      <w:r>
        <w:rPr>
          <w:sz w:val="24"/>
          <w:szCs w:val="24"/>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«Результат Работ»</w:t>
      </w:r>
      <w:r>
        <w:rPr>
          <w:b w:val="false"/>
          <w:sz w:val="24"/>
          <w:szCs w:val="24"/>
          <w:lang w:val="ru-RU" w:eastAsia="en-US"/>
        </w:rPr>
        <w:t xml:space="preserve"> – выполненная Подрядчиком и принятая Заказчиком по Акту сдачи-приемки выполненных работ Проектная документация или иной результат Этапа Работ, соответствующий требованиям, изложенным в Техническом задании (Приложение № 1 к Договору), в том числе требованиям к отчетным документам (состав, количество, формат, носитель и т.д.), подлежащим передаче Подрядчиком Заказчику в составе Результата Работ.</w:t>
      </w:r>
    </w:p>
    <w:p>
      <w:pPr>
        <w:pStyle w:val="Normal"/>
        <w:spacing w:lineRule="auto" w:line="240"/>
        <w:ind w:firstLine="709"/>
        <w:rPr>
          <w:sz w:val="24"/>
          <w:szCs w:val="24"/>
          <w:lang w:eastAsia="en-US"/>
        </w:rPr>
      </w:pPr>
      <w:r>
        <w:rPr>
          <w:b/>
          <w:bCs/>
          <w:sz w:val="24"/>
          <w:szCs w:val="24"/>
          <w:lang w:eastAsia="en-US"/>
        </w:rPr>
        <w:t>«Смета»</w:t>
      </w:r>
      <w:r>
        <w:rPr>
          <w:sz w:val="24"/>
          <w:szCs w:val="24"/>
          <w:lang w:eastAsia="en-US"/>
        </w:rPr>
        <w:t xml:space="preserve"> – сметный расчет стоимости Работ, составляемый в соответствии с требованиями Заказчика к оформлению и составлению сметной документации на выполнение Проектных работ.</w:t>
      </w:r>
    </w:p>
    <w:p>
      <w:pPr>
        <w:pStyle w:val="Heading3"/>
        <w:keepNext w:val="false"/>
        <w:widowControl w:val="false"/>
        <w:tabs>
          <w:tab w:val="clear" w:pos="709"/>
          <w:tab w:val="left" w:pos="567" w:leader="none"/>
        </w:tabs>
        <w:spacing w:before="0" w:after="0"/>
        <w:ind w:firstLine="708"/>
        <w:jc w:val="both"/>
        <w:textAlignment w:val="baseline"/>
        <w:rPr>
          <w:sz w:val="24"/>
          <w:szCs w:val="24"/>
          <w:lang w:eastAsia="en-US"/>
        </w:rPr>
      </w:pPr>
      <w:r>
        <w:rPr>
          <w:sz w:val="24"/>
          <w:szCs w:val="24"/>
          <w:lang w:val="ru-RU" w:eastAsia="en-US"/>
        </w:rPr>
        <w:t>«Сводная смета»</w:t>
      </w:r>
      <w:r>
        <w:rPr>
          <w:b w:val="false"/>
          <w:sz w:val="24"/>
          <w:szCs w:val="24"/>
          <w:lang w:val="ru-RU" w:eastAsia="en-US"/>
        </w:rPr>
        <w:t xml:space="preserve"> – сметный расчет, составляемый в случае, если комплект сметной документации на выполнение Работ по Договору включает в себя несколько Смет.</w:t>
      </w:r>
    </w:p>
    <w:p>
      <w:pPr>
        <w:pStyle w:val="Normal"/>
        <w:spacing w:lineRule="auto" w:line="240"/>
        <w:ind w:firstLine="709"/>
        <w:rPr>
          <w:sz w:val="24"/>
          <w:szCs w:val="24"/>
          <w:lang w:val="x-none" w:eastAsia="en-US"/>
        </w:rPr>
      </w:pPr>
      <w:r>
        <w:rPr>
          <w:b/>
          <w:sz w:val="24"/>
          <w:szCs w:val="24"/>
          <w:lang w:eastAsia="en-US"/>
        </w:rPr>
        <w:t>«Субъект МСП»</w:t>
      </w:r>
      <w:r>
        <w:rPr>
          <w:sz w:val="24"/>
          <w:szCs w:val="24"/>
          <w:lang w:eastAsia="en-US"/>
        </w:rPr>
        <w:t xml:space="preserve"> – субъект малого и среднего предпринимательства.</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 xml:space="preserve"> </w:t>
      </w:r>
      <w:r>
        <w:rPr>
          <w:sz w:val="24"/>
          <w:szCs w:val="24"/>
          <w:lang w:val="ru-RU" w:eastAsia="en-US"/>
        </w:rPr>
        <w:t>«Субподрядчик»</w:t>
      </w:r>
      <w:r>
        <w:rPr>
          <w:b w:val="false"/>
          <w:sz w:val="24"/>
          <w:szCs w:val="24"/>
          <w:lang w:val="ru-RU" w:eastAsia="en-US"/>
        </w:rPr>
        <w:t xml:space="preserve"> – юридическое лицо или индивидуальный предприниматель, нанятые Подрядчиком посредством заключения договора для выполнения части обязательств Подрядчика по Договору, в том числе для выполнения любых Работ по Договору.</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«Техническое задание»</w:t>
      </w:r>
      <w:r>
        <w:rPr>
          <w:b w:val="false"/>
          <w:sz w:val="24"/>
          <w:szCs w:val="24"/>
          <w:lang w:val="ru-RU" w:eastAsia="en-US"/>
        </w:rPr>
        <w:t xml:space="preserve"> – документ, содержащий указание на состав исходных данных, объем и состав Работ по Договору, а также требования Заказчика к выполнению Подрядчиком Работ по Договору в целом.</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color w:val="000000"/>
          <w:sz w:val="24"/>
          <w:szCs w:val="24"/>
          <w:lang w:val="ru-RU" w:eastAsia="en-US"/>
        </w:rPr>
        <w:t xml:space="preserve">«Универсальный передаточный документ», «УПД» </w:t>
      </w:r>
      <w:r>
        <w:rPr>
          <w:b w:val="false"/>
          <w:color w:val="000000"/>
          <w:sz w:val="24"/>
          <w:szCs w:val="24"/>
          <w:lang w:val="ru-RU" w:eastAsia="en-US"/>
        </w:rPr>
        <w:t>–</w:t>
      </w:r>
      <w:r>
        <w:rPr>
          <w:color w:val="000000"/>
          <w:sz w:val="24"/>
          <w:szCs w:val="24"/>
          <w:lang w:val="ru-RU" w:eastAsia="en-US"/>
        </w:rPr>
        <w:t xml:space="preserve"> </w:t>
      </w:r>
      <w:r>
        <w:rPr>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sz w:val="24"/>
          <w:szCs w:val="24"/>
          <w:lang w:val="ru-RU" w:eastAsia="en-US"/>
        </w:rPr>
        <w:t xml:space="preserve"> </w:t>
      </w:r>
    </w:p>
    <w:p>
      <w:pPr>
        <w:pStyle w:val="Heading3"/>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«Цена Договора»</w:t>
      </w:r>
      <w:r>
        <w:rPr>
          <w:b w:val="false"/>
          <w:sz w:val="24"/>
          <w:szCs w:val="24"/>
          <w:lang w:val="ru-RU" w:eastAsia="en-US"/>
        </w:rPr>
        <w:t xml:space="preserve"> – определяемая в соответствии с разделом 3 Договора сумма, которую Заказчик обязуется уплатить Подрядчику в порядке и на условиях, установленных Договором, включающая компенсацию всех издержек Подрядчика и причитающееся ему вознаграждение, а также инфляционные риски</w:t>
      </w:r>
      <w:r>
        <w:rPr>
          <w:sz w:val="24"/>
          <w:szCs w:val="24"/>
        </w:rPr>
        <w:t xml:space="preserve"> </w:t>
      </w:r>
      <w:r>
        <w:rPr>
          <w:b w:val="false"/>
          <w:sz w:val="24"/>
          <w:szCs w:val="24"/>
          <w:lang w:val="ru-RU" w:eastAsia="en-US"/>
        </w:rPr>
        <w:t xml:space="preserve">на весь период действия Договора. </w:t>
      </w:r>
    </w:p>
    <w:p>
      <w:pPr>
        <w:pStyle w:val="Heading3"/>
        <w:keepNext w:val="false"/>
        <w:widowControl w:val="false"/>
        <w:tabs>
          <w:tab w:val="clear" w:pos="709"/>
          <w:tab w:val="left" w:pos="567" w:leader="none"/>
        </w:tabs>
        <w:spacing w:before="0" w:after="0"/>
        <w:ind w:firstLine="708"/>
        <w:jc w:val="both"/>
        <w:textAlignment w:val="baseline"/>
        <w:rPr>
          <w:b w:val="false"/>
          <w:sz w:val="24"/>
          <w:szCs w:val="24"/>
          <w:lang w:val="ru-RU" w:eastAsia="en-US"/>
        </w:rPr>
      </w:pPr>
      <w:r>
        <w:rPr>
          <w:sz w:val="24"/>
          <w:szCs w:val="24"/>
          <w:lang w:val="ru-RU" w:eastAsia="en-US"/>
        </w:rPr>
        <w:t>«Этап Работ»</w:t>
      </w:r>
      <w:r>
        <w:rPr>
          <w:b w:val="false"/>
          <w:sz w:val="24"/>
          <w:szCs w:val="24"/>
          <w:lang w:val="ru-RU" w:eastAsia="en-US"/>
        </w:rPr>
        <w:t xml:space="preserve"> – законченный объем Работ, предусмотренный Календарным графиком выполнения Работ, который обладает признаками завершенности. </w:t>
      </w:r>
    </w:p>
    <w:p>
      <w:pPr>
        <w:pStyle w:val="Heading3"/>
        <w:keepNext w:val="false"/>
        <w:widowControl w:val="false"/>
        <w:tabs>
          <w:tab w:val="clear" w:pos="709"/>
          <w:tab w:val="left" w:pos="567" w:leader="none"/>
        </w:tabs>
        <w:spacing w:before="0" w:after="0"/>
        <w:ind w:firstLine="708"/>
        <w:jc w:val="both"/>
        <w:textAlignment w:val="baseline"/>
        <w:rPr>
          <w:bCs/>
          <w:sz w:val="24"/>
          <w:szCs w:val="24"/>
        </w:rPr>
      </w:pPr>
      <w:r>
        <w:rPr>
          <w:b w:val="false"/>
          <w:sz w:val="24"/>
          <w:szCs w:val="24"/>
          <w:lang w:val="ru-RU" w:eastAsia="en-US"/>
        </w:rPr>
        <w:t>Этап как технологически обособленная часть Работ, в отношении которой Сторонами согласованы сроки выполнения Работ и требования к результатам, считается выделенным в рамках общего объема Работ и подлежит отдельной приемке Заказчиком в соответствии с разделом 4 Договора. В ином случае считается, что приемке Заказчиком подлежит только Результат Работ в целом</w:t>
      </w:r>
      <w:r>
        <w:rPr>
          <w:b w:val="false"/>
          <w:sz w:val="24"/>
          <w:szCs w:val="24"/>
        </w:rPr>
        <w:t xml:space="preserve">. </w:t>
      </w:r>
      <w:r>
        <w:rPr>
          <w:bCs/>
          <w:sz w:val="24"/>
          <w:szCs w:val="24"/>
        </w:rPr>
        <w:t xml:space="preserve"> </w:t>
      </w:r>
    </w:p>
    <w:p>
      <w:pPr>
        <w:pStyle w:val="Normal"/>
        <w:spacing w:lineRule="auto" w:line="240"/>
        <w:rPr/>
      </w:pPr>
      <w:r>
        <w:rPr/>
      </w:r>
    </w:p>
    <w:p>
      <w:pPr>
        <w:pStyle w:val="ListParagraph"/>
        <w:numPr>
          <w:ilvl w:val="0"/>
          <w:numId w:val="4"/>
        </w:numPr>
        <w:shd w:val="clear" w:color="auto" w:fill="FFFFFF"/>
        <w:tabs>
          <w:tab w:val="clear" w:pos="709"/>
          <w:tab w:val="left" w:pos="284" w:leader="none"/>
        </w:tabs>
        <w:ind w:left="0" w:hanging="0"/>
        <w:jc w:val="center"/>
        <w:rPr>
          <w:b/>
          <w:bCs/>
        </w:rPr>
      </w:pPr>
      <w:r>
        <w:rPr>
          <w:b/>
          <w:bCs/>
        </w:rPr>
        <w:t>Предмет Договора</w:t>
      </w:r>
    </w:p>
    <w:p>
      <w:pPr>
        <w:pStyle w:val="ListParagraph"/>
        <w:numPr>
          <w:ilvl w:val="1"/>
          <w:numId w:val="4"/>
        </w:numPr>
        <w:shd w:val="clear" w:color="auto" w:fill="FFFFFF"/>
        <w:tabs>
          <w:tab w:val="clear" w:pos="709"/>
          <w:tab w:val="left" w:pos="1134" w:leader="none"/>
        </w:tabs>
        <w:ind w:left="0" w:firstLine="737"/>
        <w:jc w:val="both"/>
        <w:rPr>
          <w:bCs/>
        </w:rPr>
      </w:pPr>
      <w:bookmarkStart w:id="0" w:name="_Ref361410951"/>
      <w:r>
        <w:rPr>
          <w:bCs/>
        </w:rPr>
        <w:t>Подрядчик обязуется по заданию Заказчика в соответствии с Техническим заданием (Приложение № 1 к Договору) выполнить работы по разработке проектной документации системы автоматической пожарной сигнализации и системы оповещения и управления эвакуацией Чебоксарской ГЭС (очередь 2) (далее по тексту – «Работы»), а также сдать Результат работ Заказчику, а Заказчик обязуется создать Подрядчику указанные в Договоре условия для выполнения Работ, принять Результат Работ и уплатить Цену Договора.</w:t>
      </w:r>
      <w:bookmarkEnd w:id="0"/>
    </w:p>
    <w:p>
      <w:pPr>
        <w:pStyle w:val="ListParagraph"/>
        <w:numPr>
          <w:ilvl w:val="1"/>
          <w:numId w:val="4"/>
        </w:numPr>
        <w:shd w:val="clear" w:color="auto" w:fill="FFFFFF"/>
        <w:tabs>
          <w:tab w:val="clear" w:pos="709"/>
          <w:tab w:val="left" w:pos="1134" w:leader="none"/>
        </w:tabs>
        <w:ind w:left="0" w:firstLine="709"/>
        <w:jc w:val="both"/>
        <w:rPr>
          <w:bCs/>
        </w:rPr>
      </w:pPr>
      <w:r>
        <w:rPr>
          <w:bCs/>
        </w:rPr>
        <w:t>В состав Работ по Договору входят:</w:t>
      </w:r>
    </w:p>
    <w:p>
      <w:pPr>
        <w:pStyle w:val="ListParagraph"/>
        <w:numPr>
          <w:ilvl w:val="2"/>
          <w:numId w:val="4"/>
        </w:numPr>
        <w:shd w:val="clear" w:color="auto" w:fill="FFFFFF"/>
        <w:tabs>
          <w:tab w:val="clear" w:pos="709"/>
          <w:tab w:val="left" w:pos="1418" w:leader="none"/>
        </w:tabs>
        <w:ind w:left="0" w:firstLine="709"/>
        <w:jc w:val="both"/>
        <w:rPr>
          <w:bCs/>
          <w:highlight w:val="lightGray"/>
        </w:rPr>
      </w:pPr>
      <w:r>
        <w:rPr>
          <w:bCs/>
          <w:highlight w:val="lightGray"/>
        </w:rPr>
        <w:t>Предпроектное обследование;</w:t>
      </w:r>
    </w:p>
    <w:p>
      <w:pPr>
        <w:pStyle w:val="ListParagraph"/>
        <w:numPr>
          <w:ilvl w:val="2"/>
          <w:numId w:val="4"/>
        </w:numPr>
        <w:shd w:val="clear" w:color="auto" w:fill="FFFFFF"/>
        <w:tabs>
          <w:tab w:val="clear" w:pos="709"/>
          <w:tab w:val="left" w:pos="1418" w:leader="none"/>
        </w:tabs>
        <w:ind w:left="0" w:firstLine="709"/>
        <w:jc w:val="both"/>
        <w:rPr>
          <w:bCs/>
          <w:highlight w:val="lightGray"/>
        </w:rPr>
      </w:pPr>
      <w:r>
        <w:rPr>
          <w:bCs/>
          <w:highlight w:val="lightGray"/>
        </w:rPr>
        <w:t>Разработка Проектной документации.</w:t>
      </w:r>
    </w:p>
    <w:p>
      <w:pPr>
        <w:pStyle w:val="ListParagraph"/>
        <w:numPr>
          <w:ilvl w:val="1"/>
          <w:numId w:val="4"/>
        </w:numPr>
        <w:shd w:val="clear" w:color="auto" w:fill="FFFFFF"/>
        <w:tabs>
          <w:tab w:val="clear" w:pos="709"/>
          <w:tab w:val="left" w:pos="1134" w:leader="none"/>
        </w:tabs>
        <w:ind w:left="0" w:firstLine="709"/>
        <w:jc w:val="both"/>
        <w:rPr>
          <w:bCs/>
        </w:rPr>
      </w:pPr>
      <w:r>
        <w:rPr>
          <w:bCs/>
        </w:rPr>
        <w:t>Объем и состав Работ по Договору определяется Техническим заданием (Приложение № 1 к Договору). Работы по Договору подлежат выполнению Подрядчиком в строгом соответствии с требованиями Применимого права и указаниями Заказчика.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Работы по Договору выполняются для нужд Филиала ПАО «РусГидро» - «Чебоксарская ГЭС».  </w:t>
      </w:r>
    </w:p>
    <w:p>
      <w:pPr>
        <w:pStyle w:val="ListParagraph"/>
        <w:numPr>
          <w:ilvl w:val="1"/>
          <w:numId w:val="4"/>
        </w:numPr>
        <w:shd w:val="clear" w:color="auto" w:fill="FFFFFF"/>
        <w:tabs>
          <w:tab w:val="clear" w:pos="709"/>
          <w:tab w:val="left" w:pos="1134" w:leader="none"/>
        </w:tabs>
        <w:ind w:left="0" w:firstLine="709"/>
        <w:jc w:val="both"/>
        <w:rPr>
          <w:bCs/>
        </w:rPr>
      </w:pPr>
      <w:bookmarkStart w:id="1" w:name="_Ref361320424"/>
      <w:r>
        <w:rPr>
          <w:bCs/>
        </w:rPr>
        <w:t>Работы выполняются Подрядчиком в следующие сроки:</w:t>
      </w:r>
      <w:bookmarkEnd w:id="1"/>
    </w:p>
    <w:p>
      <w:pPr>
        <w:pStyle w:val="ListParagraph"/>
        <w:numPr>
          <w:ilvl w:val="2"/>
          <w:numId w:val="4"/>
        </w:numPr>
        <w:shd w:val="clear" w:color="auto" w:fill="FFFFFF"/>
        <w:tabs>
          <w:tab w:val="clear" w:pos="709"/>
          <w:tab w:val="left" w:pos="1418" w:leader="none"/>
        </w:tabs>
        <w:ind w:left="0" w:firstLine="709"/>
        <w:jc w:val="both"/>
        <w:rPr/>
      </w:pPr>
      <w:r>
        <w:rPr>
          <w:bCs/>
        </w:rPr>
        <w:t xml:space="preserve">начало выполнения Работ: </w:t>
      </w:r>
      <w:r>
        <w:rPr>
          <w:highlight w:val="lightGray"/>
        </w:rPr>
        <w:t>с даты, следующей за датой заключения Договора</w:t>
      </w:r>
      <w:r>
        <w:rPr/>
        <w:t>;</w:t>
      </w:r>
    </w:p>
    <w:p>
      <w:pPr>
        <w:pStyle w:val="ListParagraph"/>
        <w:numPr>
          <w:ilvl w:val="2"/>
          <w:numId w:val="4"/>
        </w:numPr>
        <w:shd w:val="clear" w:color="auto" w:fill="FFFFFF"/>
        <w:tabs>
          <w:tab w:val="clear" w:pos="709"/>
          <w:tab w:val="left" w:pos="1418" w:leader="none"/>
        </w:tabs>
        <w:ind w:left="0" w:firstLine="709"/>
        <w:jc w:val="both"/>
        <w:rPr/>
      </w:pPr>
      <w:r>
        <w:rPr>
          <w:bCs/>
        </w:rPr>
        <w:t xml:space="preserve">окончание выполнения Работ: </w:t>
      </w:r>
      <w:r>
        <w:rPr>
          <w:bCs/>
          <w:highlight w:val="lightGray"/>
        </w:rPr>
        <w:t>11 (одиннадцать)</w:t>
      </w:r>
      <w:r>
        <w:rPr>
          <w:highlight w:val="lightGray"/>
        </w:rPr>
        <w:t xml:space="preserve"> месяцев с даты, следующей за датой начала выполнения Работ по Договору</w:t>
      </w:r>
      <w:r>
        <w:rPr/>
        <w:t>.</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Выполнение Работ осуществляется поэтапно. </w:t>
      </w:r>
      <w:r>
        <w:rPr>
          <w:bCs/>
          <w:lang w:val="en-US"/>
        </w:rPr>
        <w:t>C</w:t>
      </w:r>
      <w:r>
        <w:rPr>
          <w:bCs/>
        </w:rPr>
        <w:t xml:space="preserve">роки выполнения отдельных Этапов Работ определяются Календарным графиком выполнения Работ (Приложение № 2 к Договору) в рамках общих сроков, указанных в пункте 1.5 Договора. </w:t>
      </w:r>
    </w:p>
    <w:p>
      <w:pPr>
        <w:pStyle w:val="Normal"/>
        <w:widowControl w:val="false"/>
        <w:shd w:val="clear" w:color="auto" w:fill="FFFFFF"/>
        <w:spacing w:lineRule="auto" w:line="240"/>
        <w:ind w:left="567" w:hanging="0"/>
        <w:rPr>
          <w:sz w:val="24"/>
          <w:szCs w:val="24"/>
        </w:rPr>
      </w:pPr>
      <w:r>
        <w:rPr>
          <w:sz w:val="24"/>
          <w:szCs w:val="24"/>
        </w:rPr>
      </w:r>
    </w:p>
    <w:p>
      <w:pPr>
        <w:pStyle w:val="ListParagraph"/>
        <w:numPr>
          <w:ilvl w:val="0"/>
          <w:numId w:val="4"/>
        </w:numPr>
        <w:shd w:val="clear" w:color="auto" w:fill="FFFFFF"/>
        <w:tabs>
          <w:tab w:val="clear" w:pos="709"/>
          <w:tab w:val="left" w:pos="284" w:leader="none"/>
        </w:tabs>
        <w:ind w:left="0" w:hanging="0"/>
        <w:jc w:val="center"/>
        <w:rPr>
          <w:b/>
          <w:bCs/>
        </w:rPr>
      </w:pPr>
      <w:r>
        <w:rPr>
          <w:b/>
          <w:bCs/>
        </w:rPr>
        <w:t xml:space="preserve">Права и обязанности Сторон </w:t>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Заказчик обязан</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Сообщить Подрядчику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выполнением Работ. </w:t>
      </w:r>
    </w:p>
    <w:p>
      <w:pPr>
        <w:pStyle w:val="ListParagraph"/>
        <w:numPr>
          <w:ilvl w:val="2"/>
          <w:numId w:val="4"/>
        </w:numPr>
        <w:shd w:val="clear" w:color="auto" w:fill="FFFFFF"/>
        <w:tabs>
          <w:tab w:val="clear" w:pos="709"/>
          <w:tab w:val="left" w:pos="1418" w:leader="none"/>
        </w:tabs>
        <w:ind w:left="0" w:firstLine="709"/>
        <w:jc w:val="both"/>
        <w:rPr/>
      </w:pPr>
      <w:r>
        <w:rPr>
          <w:bCs/>
        </w:rPr>
        <w:t xml:space="preserve">В течение </w:t>
      </w:r>
      <w:r>
        <w:rPr>
          <w:bCs/>
          <w:highlight w:val="lightGray"/>
        </w:rPr>
        <w:t>3 (трех)</w:t>
      </w:r>
      <w:r>
        <w:rPr>
          <w:bCs/>
        </w:rPr>
        <w:t xml:space="preserve"> рабочих дней с даты вступления Договора в силу, но не ранее получения соответствующего письменного запроса Подрядчика, передать (предоставить) последнему:</w:t>
      </w:r>
    </w:p>
    <w:p>
      <w:pPr>
        <w:pStyle w:val="ListParagraph"/>
        <w:numPr>
          <w:ilvl w:val="0"/>
          <w:numId w:val="8"/>
        </w:numPr>
        <w:shd w:val="clear" w:color="auto" w:fill="FFFFFF"/>
        <w:tabs>
          <w:tab w:val="left" w:pos="709" w:leader="none"/>
          <w:tab w:val="left" w:pos="1418" w:leader="none"/>
        </w:tabs>
        <w:ind w:left="0" w:firstLine="709"/>
        <w:jc w:val="both"/>
        <w:rPr/>
      </w:pPr>
      <w:r>
        <w:rPr/>
        <w:t xml:space="preserve">место производства Работ, </w:t>
      </w:r>
      <w:r>
        <w:rPr>
          <w:highlight w:val="lightGray"/>
        </w:rPr>
        <w:t xml:space="preserve">место (помещение) для складирования </w:t>
      </w:r>
      <w:r>
        <w:rPr>
          <w:bCs/>
          <w:highlight w:val="lightGray"/>
        </w:rPr>
        <w:t>Материально-технических ресурсов и оборудования</w:t>
      </w:r>
      <w:r>
        <w:rPr>
          <w:highlight w:val="lightGray"/>
        </w:rPr>
        <w:t xml:space="preserve"> по соответствующим актам сдачи-приемки (Приложение № 4.1 к Договору);</w:t>
      </w:r>
    </w:p>
    <w:p>
      <w:pPr>
        <w:pStyle w:val="ListParagraph"/>
        <w:numPr>
          <w:ilvl w:val="0"/>
          <w:numId w:val="8"/>
        </w:numPr>
        <w:shd w:val="clear" w:color="auto" w:fill="FFFFFF"/>
        <w:tabs>
          <w:tab w:val="left" w:pos="709" w:leader="none"/>
          <w:tab w:val="left" w:pos="1418" w:leader="none"/>
        </w:tabs>
        <w:ind w:left="0" w:firstLine="709"/>
        <w:jc w:val="both"/>
        <w:rPr/>
      </w:pPr>
      <w:bookmarkStart w:id="2" w:name="_Ref361396847"/>
      <w:bookmarkStart w:id="3" w:name="_Ref361320734"/>
      <w:bookmarkStart w:id="4" w:name="_Ref361401696"/>
      <w:r>
        <w:rPr/>
        <w:t>техническую и иную документацию, указанную в Техническом задании (Приложение № 1 к Договору), содержащую исходные данные для выполнения Подрядчиком Работ по Договору, по Акту сдачи-приемки технической и иной документации (Приложение № 4.2 к Договору).</w:t>
      </w:r>
      <w:bookmarkEnd w:id="2"/>
      <w:bookmarkEnd w:id="3"/>
      <w:bookmarkEnd w:id="4"/>
    </w:p>
    <w:p>
      <w:pPr>
        <w:pStyle w:val="ListParagraph"/>
        <w:numPr>
          <w:ilvl w:val="2"/>
          <w:numId w:val="4"/>
        </w:numPr>
        <w:shd w:val="clear" w:color="auto" w:fill="FFFFFF"/>
        <w:tabs>
          <w:tab w:val="clear" w:pos="709"/>
          <w:tab w:val="left" w:pos="1418" w:leader="none"/>
        </w:tabs>
        <w:ind w:left="0" w:firstLine="709"/>
        <w:jc w:val="both"/>
        <w:rPr>
          <w:bCs/>
        </w:rPr>
      </w:pPr>
      <w:r>
        <w:rPr>
          <w:bCs/>
        </w:rPr>
        <w:t>При наличии технической возможности обеспечить Подрядчику возможность подключения к имеющимся у Заказчика бытовым источникам электроснабжения, водоснабжения, канализации для целей выполнения Работ по Договору (в части Инженерных изысканий).</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Ознакомить Подрядчика с локальными нормативными актами Заказчика, устанавливающими требования по охране труда, промышленной и пожарной безопасности, правилами пропускного и внутриобъектового режима Заказчика. </w:t>
      </w:r>
    </w:p>
    <w:p>
      <w:pPr>
        <w:pStyle w:val="ListParagraph"/>
        <w:numPr>
          <w:ilvl w:val="2"/>
          <w:numId w:val="4"/>
        </w:numPr>
        <w:shd w:val="clear" w:color="auto" w:fill="FFFFFF"/>
        <w:tabs>
          <w:tab w:val="left" w:pos="709" w:leader="none"/>
        </w:tabs>
        <w:ind w:left="0" w:firstLine="709"/>
        <w:jc w:val="both"/>
        <w:rPr>
          <w:bCs/>
        </w:rPr>
      </w:pPr>
      <w:r>
        <w:rPr>
          <w:bCs/>
        </w:rPr>
        <w:t>Принять и оплатить выполненные Подрядчиком Работы на условиях, по цене и в сроки, предусмотренные Договором.</w:t>
      </w:r>
    </w:p>
    <w:p>
      <w:pPr>
        <w:pStyle w:val="ListParagraph"/>
        <w:numPr>
          <w:ilvl w:val="2"/>
          <w:numId w:val="4"/>
        </w:numPr>
        <w:shd w:val="clear" w:color="auto" w:fill="FFFFFF"/>
        <w:tabs>
          <w:tab w:val="left" w:pos="709" w:leader="none"/>
        </w:tabs>
        <w:ind w:left="0" w:firstLine="710"/>
        <w:jc w:val="both"/>
        <w:rPr>
          <w:bCs/>
        </w:rPr>
      </w:pPr>
      <w:r>
        <w:rPr>
          <w:bCs/>
        </w:rPr>
        <w:t>В случае необходимости выдать Подрядчику доверенность на совершение действий, необходимых для выполнения последним своих обязательств по Договору.</w:t>
      </w:r>
    </w:p>
    <w:p>
      <w:pPr>
        <w:pStyle w:val="ListParagraph"/>
        <w:numPr>
          <w:ilvl w:val="2"/>
          <w:numId w:val="4"/>
        </w:numPr>
        <w:shd w:val="clear" w:color="auto" w:fill="FFFFFF"/>
        <w:tabs>
          <w:tab w:val="left" w:pos="709" w:leader="none"/>
        </w:tabs>
        <w:ind w:left="0" w:firstLine="709"/>
        <w:jc w:val="both"/>
        <w:rPr>
          <w:bCs/>
        </w:rPr>
      </w:pPr>
      <w:r>
        <w:rPr>
          <w:bCs/>
        </w:rPr>
        <w:t>Выполнять иные обязанности, предусмотренные Договором.</w:t>
      </w:r>
    </w:p>
    <w:p>
      <w:pPr>
        <w:pStyle w:val="Normal"/>
        <w:tabs>
          <w:tab w:val="left" w:pos="709" w:leader="none"/>
        </w:tabs>
        <w:spacing w:lineRule="auto" w:line="240"/>
        <w:ind w:hanging="0"/>
        <w:rPr>
          <w:b/>
          <w:sz w:val="24"/>
          <w:szCs w:val="24"/>
        </w:rPr>
      </w:pPr>
      <w:r>
        <w:rPr>
          <w:b/>
          <w:sz w:val="24"/>
          <w:szCs w:val="24"/>
        </w:rPr>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Заказчик имеет право</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Самостоятельно или с привлечением третьих лиц осуществлять контроль и надзор за ходом и качеством выполняемых Подрядчиком и Субподрядчиками по Договору Работ, соблюдением сроков выполнения, не вмешиваясь при этом в их оперативно-хозяйственную деятельность. Проведение Заказчиком контроля не снимает с Подрядчика ответственности за ненадлежащее выполнение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Круглосуточно осуществлять доступ к месту производства Работ.</w:t>
      </w:r>
    </w:p>
    <w:p>
      <w:pPr>
        <w:pStyle w:val="ListParagraph"/>
        <w:numPr>
          <w:ilvl w:val="2"/>
          <w:numId w:val="4"/>
        </w:numPr>
        <w:shd w:val="clear" w:color="auto" w:fill="FFFFFF"/>
        <w:tabs>
          <w:tab w:val="clear" w:pos="709"/>
          <w:tab w:val="left" w:pos="1418" w:leader="none"/>
        </w:tabs>
        <w:ind w:left="0" w:firstLine="709"/>
        <w:jc w:val="both"/>
        <w:rPr>
          <w:bCs/>
        </w:rPr>
      </w:pPr>
      <w:bookmarkStart w:id="5" w:name="_Ref361334652"/>
      <w:r>
        <w:rPr>
          <w:bCs/>
        </w:rPr>
        <w:t>Приостанавливать осуществление любых платежей (независимо от наличия оснований и наступления сроков таких платежей) и производство Работ по Договору путем направления Подрядчику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 / или качества выполнения Работ, требований Технического задания, Применимого права, до устранения таких нарушений или их последствий, устанавливать сроки устранения таких нарушений. При этом Заказчик не будет считаться просрочившим и / или нарушившим свои обязательства по Договору. Приостановка Работ по причинам, указанным в настоящем пункте, не является основанием для продления сроков выполнения Подрядчиком Работ, установленных Договором. В случае, когда в результате такой приостановки становится очевидной невозможность завершения Работ в срок, установленный Договором, Заказчик вправе отказаться от его исполнения и потребовать возмещения причиненных убытков.</w:t>
      </w:r>
      <w:bookmarkEnd w:id="5"/>
      <w:r>
        <w:rPr>
          <w:bCs/>
        </w:rPr>
        <w:t xml:space="preserve"> </w:t>
      </w:r>
    </w:p>
    <w:p>
      <w:pPr>
        <w:pStyle w:val="ListParagraph"/>
        <w:numPr>
          <w:ilvl w:val="2"/>
          <w:numId w:val="4"/>
        </w:numPr>
        <w:shd w:val="clear" w:color="auto" w:fill="FFFFFF"/>
        <w:tabs>
          <w:tab w:val="clear" w:pos="709"/>
          <w:tab w:val="left" w:pos="1418" w:leader="none"/>
        </w:tabs>
        <w:ind w:left="0" w:firstLine="709"/>
        <w:jc w:val="both"/>
        <w:rPr>
          <w:bCs/>
        </w:rPr>
      </w:pPr>
      <w:bookmarkStart w:id="6" w:name="_Ref361334468"/>
      <w:r>
        <w:rPr>
          <w:bCs/>
        </w:rPr>
        <w:t>Изымать пропуска и не допускать на территорию Заказчика работников Подрядчика и / или привлеченных им Субподрядчиков при выявлении нарушений такими работниками пропускного и внутриобъектового режима, требований охраны труда, пожарной и промышленной безопасности, природоохранного законодательства, на период до принятия совместного решения Сторон о возобновлении допуска.</w:t>
      </w:r>
      <w:bookmarkEnd w:id="6"/>
    </w:p>
    <w:p>
      <w:pPr>
        <w:pStyle w:val="ListParagraph"/>
        <w:numPr>
          <w:ilvl w:val="2"/>
          <w:numId w:val="4"/>
        </w:numPr>
        <w:shd w:val="clear" w:color="auto" w:fill="FFFFFF"/>
        <w:tabs>
          <w:tab w:val="clear" w:pos="709"/>
          <w:tab w:val="left" w:pos="1418" w:leader="none"/>
        </w:tabs>
        <w:ind w:left="0" w:firstLine="709"/>
        <w:jc w:val="both"/>
        <w:rPr>
          <w:bCs/>
        </w:rPr>
      </w:pPr>
      <w:bookmarkStart w:id="7" w:name="_Ref361319348"/>
      <w:r>
        <w:rPr>
          <w:bCs/>
        </w:rPr>
        <w:t>Вносить изменения в Техническое задание при условии, если вызываемые этим дополнительные работы не меняют характера предусмотренных в Договоре Работ таким образом, что выполнение указаний Заказчика потребовало бы от Подрядчика получения отсутствующих у него допусков, разрешений и / или лицензий. В целях внесения соответствующих изменений Заказчик обязан направить Подрядчику письменное распоряжение, обязательное к выполнению Подрядчиком.</w:t>
      </w:r>
      <w:bookmarkEnd w:id="7"/>
      <w:r>
        <w:rPr>
          <w:bCs/>
        </w:rPr>
        <w:t xml:space="preserve"> </w:t>
      </w:r>
    </w:p>
    <w:p>
      <w:pPr>
        <w:pStyle w:val="ListParagraph"/>
        <w:numPr>
          <w:ilvl w:val="2"/>
          <w:numId w:val="4"/>
        </w:numPr>
        <w:shd w:val="clear" w:color="auto" w:fill="FFFFFF"/>
        <w:tabs>
          <w:tab w:val="clear" w:pos="709"/>
          <w:tab w:val="left" w:pos="1418" w:leader="none"/>
        </w:tabs>
        <w:ind w:left="0" w:firstLine="709"/>
        <w:jc w:val="both"/>
        <w:rPr>
          <w:bCs/>
        </w:rPr>
      </w:pPr>
      <w:r>
        <w:rPr>
          <w:bCs/>
        </w:rPr>
        <w:t>Давать Подрядчику указания о способе выполнения Работ, если такие указания не противоречат условиям Договора и не являются вмешательством в деятельность Подрядчика.</w:t>
      </w:r>
    </w:p>
    <w:p>
      <w:pPr>
        <w:pStyle w:val="ListParagraph"/>
        <w:numPr>
          <w:ilvl w:val="2"/>
          <w:numId w:val="4"/>
        </w:numPr>
        <w:shd w:val="clear" w:color="auto" w:fill="FFFFFF"/>
        <w:tabs>
          <w:tab w:val="clear" w:pos="709"/>
          <w:tab w:val="left" w:pos="1418" w:leader="none"/>
        </w:tabs>
        <w:ind w:left="0" w:firstLine="710"/>
        <w:jc w:val="both"/>
        <w:rPr>
          <w:bCs/>
        </w:rPr>
      </w:pPr>
      <w:r>
        <w:rPr>
          <w:bCs/>
        </w:rPr>
        <w:t>В течение действия Договора обращаться к Подрядчику с устными и письменными запросами с целью разъяснения (уточнения, конкретизации) расчетов, заключений, выводов, содержащихся в Результате Работ, в том числе в Результате Работ по отдельным Этапам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Требовать от Подрядчика представления информации и пояснений о ходе выполнения Работ, требовать представления Заказчику документов, полученных Подрядчиком в ходе выполнения своих обязательств по Договору, в том числе копий предписаний контролирующих и надзорных органов, выданных Подрядчику и/или привлеченным им Субподрядчикам.</w:t>
      </w:r>
    </w:p>
    <w:p>
      <w:pPr>
        <w:pStyle w:val="ListParagraph"/>
        <w:numPr>
          <w:ilvl w:val="2"/>
          <w:numId w:val="4"/>
        </w:numPr>
        <w:shd w:val="clear" w:color="auto" w:fill="FFFFFF"/>
        <w:tabs>
          <w:tab w:val="left" w:pos="709" w:leader="none"/>
        </w:tabs>
        <w:ind w:left="0" w:firstLine="709"/>
        <w:jc w:val="both"/>
        <w:rPr>
          <w:bCs/>
        </w:rPr>
      </w:pPr>
      <w:r>
        <w:rPr>
          <w:bCs/>
        </w:rPr>
        <w:t>Использовать Результат Работ по своему усмотрению, в том числе передавать Результат Работ третьим лицам без письменного согласия Подрядчика.</w:t>
      </w:r>
    </w:p>
    <w:p>
      <w:pPr>
        <w:pStyle w:val="ListParagraph"/>
        <w:shd w:val="clear" w:color="auto" w:fill="FFFFFF"/>
        <w:tabs>
          <w:tab w:val="clear" w:pos="709"/>
          <w:tab w:val="left" w:pos="567" w:leader="none"/>
        </w:tabs>
        <w:ind w:left="0" w:firstLine="567"/>
        <w:jc w:val="both"/>
        <w:rPr>
          <w:bCs/>
          <w:color w:val="FF0000"/>
        </w:rPr>
      </w:pPr>
      <w:r>
        <w:rPr>
          <w:bCs/>
          <w:color w:val="FF0000"/>
        </w:rPr>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Подрядчик обязан</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Выполнить Работы в объеме, сроки и с качеством, соответствующим требованиям Договора и Применимого права</w:t>
      </w:r>
      <w:r>
        <w:rPr/>
        <w:t xml:space="preserve"> </w:t>
      </w:r>
      <w:r>
        <w:rPr>
          <w:bCs/>
        </w:rPr>
        <w:t>и сдать их результат Заказчику.</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В срок, указанный в пункте 2.1.2 Договора, принять от Заказчика на время выполнения Работ по Договору: </w:t>
      </w:r>
    </w:p>
    <w:p>
      <w:pPr>
        <w:pStyle w:val="ListParagraph"/>
        <w:numPr>
          <w:ilvl w:val="0"/>
          <w:numId w:val="18"/>
        </w:numPr>
        <w:shd w:val="clear" w:color="auto" w:fill="FFFFFF"/>
        <w:tabs>
          <w:tab w:val="clear" w:pos="709"/>
          <w:tab w:val="left" w:pos="1418" w:leader="none"/>
        </w:tabs>
        <w:ind w:left="0" w:firstLine="709"/>
        <w:jc w:val="both"/>
        <w:rPr>
          <w:bCs/>
        </w:rPr>
      </w:pPr>
      <w:r>
        <w:rPr>
          <w:bCs/>
        </w:rPr>
        <w:t xml:space="preserve">место производства Работ, </w:t>
      </w:r>
      <w:r>
        <w:rPr>
          <w:bCs/>
          <w:highlight w:val="lightGray"/>
        </w:rPr>
        <w:t>место (помещение) для складирования Материально-технических ресурсов и оборудования, по соответствующим актам сдачи-приемки (Приложение № 4.1 к Договору);</w:t>
      </w:r>
    </w:p>
    <w:p>
      <w:pPr>
        <w:pStyle w:val="ListParagraph"/>
        <w:numPr>
          <w:ilvl w:val="0"/>
          <w:numId w:val="18"/>
        </w:numPr>
        <w:shd w:val="clear" w:color="auto" w:fill="FFFFFF"/>
        <w:tabs>
          <w:tab w:val="clear" w:pos="709"/>
          <w:tab w:val="left" w:pos="1418" w:leader="none"/>
        </w:tabs>
        <w:ind w:left="0" w:firstLine="709"/>
        <w:jc w:val="both"/>
        <w:rPr>
          <w:bCs/>
        </w:rPr>
      </w:pPr>
      <w:r>
        <w:rPr>
          <w:bCs/>
        </w:rPr>
        <w:t>техническую и иную документацию, указанную в Техническом задании (Приложение № 1 к Договору) по Акту сдачи-приемки технической и иной документации (Приложение № 4.2 к Договору).</w:t>
      </w:r>
    </w:p>
    <w:p>
      <w:pPr>
        <w:pStyle w:val="ListParagraph"/>
        <w:numPr>
          <w:ilvl w:val="2"/>
          <w:numId w:val="4"/>
        </w:numPr>
        <w:shd w:val="clear" w:color="auto" w:fill="FFFFFF"/>
        <w:tabs>
          <w:tab w:val="clear" w:pos="709"/>
          <w:tab w:val="left" w:pos="1418" w:leader="none"/>
        </w:tabs>
        <w:ind w:left="0" w:firstLine="709"/>
        <w:jc w:val="both"/>
        <w:rPr>
          <w:bCs/>
          <w:highlight w:val="lightGray"/>
        </w:rPr>
      </w:pPr>
      <w:r>
        <w:rPr>
          <w:bCs/>
        </w:rPr>
        <w:t>При приемке Места производства Работ</w:t>
      </w:r>
      <w:r>
        <w:rPr/>
        <w:t>,</w:t>
      </w:r>
      <w:r>
        <w:rPr>
          <w:bCs/>
        </w:rPr>
        <w:t xml:space="preserve"> </w:t>
      </w:r>
      <w:r>
        <w:rPr>
          <w:bCs/>
          <w:highlight w:val="lightGray"/>
        </w:rPr>
        <w:t xml:space="preserve">места (помещения) для складирования Материально-технических ресурсов и оборудования, </w:t>
      </w:r>
      <w:r>
        <w:rPr>
          <w:bCs/>
        </w:rPr>
        <w:t>указать в соответствующих актах сдачи-приемки все замечания и недостатки, которые могут повлиять на сроки выполнения Работ или Результат Работ, в том числе на безопасность Работ</w:t>
      </w:r>
      <w:r>
        <w:rPr>
          <w:bCs/>
          <w:highlight w:val="lightGray"/>
        </w:rPr>
        <w:t>,</w:t>
      </w:r>
      <w:r>
        <w:rPr>
          <w:highlight w:val="lightGray"/>
        </w:rPr>
        <w:t xml:space="preserve"> </w:t>
      </w:r>
      <w:r>
        <w:rPr>
          <w:bCs/>
          <w:highlight w:val="lightGray"/>
        </w:rPr>
        <w:t>складируемых Материально-технических ресурсов и оборудования.</w:t>
      </w:r>
    </w:p>
    <w:p>
      <w:pPr>
        <w:pStyle w:val="ListParagraph"/>
        <w:shd w:val="clear" w:color="auto" w:fill="FFFFFF"/>
        <w:tabs>
          <w:tab w:val="left" w:pos="709" w:leader="none"/>
        </w:tabs>
        <w:ind w:left="0" w:firstLine="709"/>
        <w:jc w:val="both"/>
        <w:rPr>
          <w:bCs/>
        </w:rPr>
      </w:pPr>
      <w:r>
        <w:rPr/>
        <w:t>В случае невыполнения данной обязанности Подрядчик лишается права предъявлять Заказчику какие-либо претензии, в том числе относительно увеличения объема или сроков выполнения Работ, вызванные наличием у Подрядчика замечаний к переданным Заказчиком местам (помещению).</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Выдать замечания в отношении технической и иной документации, предоставленной Заказчиком, в течение </w:t>
      </w:r>
      <w:r>
        <w:rPr>
          <w:bCs/>
          <w:highlight w:val="lightGray"/>
        </w:rPr>
        <w:t>10 (десяти)</w:t>
      </w:r>
      <w:r>
        <w:rPr>
          <w:bCs/>
        </w:rPr>
        <w:t xml:space="preserve"> рабочих дней с даты принятия ее по Акту сдачи-приемки технической и иной документации (Приложение № 4.2 к Договору). Отсутствие таких замечаний в указанный срок свидетельствует о проверке Подрядчиком технической и иной документации и лишает Подрядчика права ссылаться на недостатки данной документации в дальнейшем.</w:t>
      </w:r>
    </w:p>
    <w:p>
      <w:pPr>
        <w:pStyle w:val="Normal"/>
        <w:widowControl w:val="false"/>
        <w:numPr>
          <w:ilvl w:val="2"/>
          <w:numId w:val="4"/>
        </w:numPr>
        <w:tabs>
          <w:tab w:val="left" w:pos="709" w:leader="none"/>
          <w:tab w:val="left" w:pos="1430" w:leader="none"/>
        </w:tabs>
        <w:spacing w:lineRule="auto" w:line="240"/>
        <w:ind w:left="0" w:firstLine="709"/>
        <w:rPr>
          <w:bCs/>
          <w:sz w:val="24"/>
          <w:szCs w:val="24"/>
        </w:rPr>
      </w:pPr>
      <w:r>
        <w:rPr>
          <w:bCs/>
          <w:sz w:val="24"/>
          <w:szCs w:val="24"/>
        </w:rPr>
        <w:t>В случае недостаточности для производства Работ по Договору в части Инженерных изысканий источников электроснабжения, водоснабжения или канализации, предоставленных Заказчиком в соответствии с пунктом 2.1.3 Договора, а также при отсутствии таких источников в месте производства Работ, самостоятельно обеспечить наличие электроэнергии, воды и других ресурсов, необходимых для выполнения Работ.</w:t>
      </w:r>
    </w:p>
    <w:p>
      <w:pPr>
        <w:pStyle w:val="Normal"/>
        <w:widowControl w:val="false"/>
        <w:numPr>
          <w:ilvl w:val="2"/>
          <w:numId w:val="4"/>
        </w:numPr>
        <w:tabs>
          <w:tab w:val="left" w:pos="709" w:leader="none"/>
          <w:tab w:val="left" w:pos="1430" w:leader="none"/>
        </w:tabs>
        <w:spacing w:lineRule="auto" w:line="240"/>
        <w:ind w:left="0" w:firstLine="709"/>
        <w:rPr>
          <w:sz w:val="24"/>
          <w:szCs w:val="24"/>
        </w:rPr>
      </w:pPr>
      <w:r>
        <w:rPr>
          <w:sz w:val="24"/>
          <w:szCs w:val="24"/>
        </w:rPr>
        <w:t>Запрашивать и получать все исходные данные, необходимые для выполнения Работ по Договору, за исключением исходных данных, содержащихся в технической и иной документации, которую в соответствии Техническим заданием (Приложение № 1 к Договору) должен предоставить Заказчик.</w:t>
      </w:r>
    </w:p>
    <w:p>
      <w:pPr>
        <w:pStyle w:val="ListParagraph"/>
        <w:numPr>
          <w:ilvl w:val="2"/>
          <w:numId w:val="4"/>
        </w:numPr>
        <w:shd w:val="clear" w:color="auto" w:fill="FFFFFF"/>
        <w:tabs>
          <w:tab w:val="clear" w:pos="709"/>
          <w:tab w:val="left" w:pos="1418" w:leader="none"/>
        </w:tabs>
        <w:ind w:left="0" w:firstLine="709"/>
        <w:jc w:val="both"/>
        <w:rPr>
          <w:bCs/>
        </w:rPr>
      </w:pPr>
      <w:r>
        <w:rPr/>
        <w:t>До фактического начала выполнения Работ предоставить Заказчику</w:t>
      </w:r>
      <w:r>
        <w:rPr>
          <w:bCs/>
        </w:rPr>
        <w:t>:</w:t>
      </w:r>
    </w:p>
    <w:p>
      <w:pPr>
        <w:pStyle w:val="ListParagraph"/>
        <w:numPr>
          <w:ilvl w:val="0"/>
          <w:numId w:val="15"/>
        </w:numPr>
        <w:shd w:val="clear" w:color="auto" w:fill="FFFFFF"/>
        <w:tabs>
          <w:tab w:val="clear" w:pos="709"/>
          <w:tab w:val="left" w:pos="1418" w:leader="none"/>
        </w:tabs>
        <w:ind w:left="0" w:firstLine="709"/>
        <w:jc w:val="both"/>
        <w:rPr/>
      </w:pPr>
      <w:r>
        <w:rPr/>
        <w:t>контакты и должность представителей Подрядчика, уполномоченных на оперативное рассмотрение и решение технических и организационных вопросов, связанных с выполнением Работ</w:t>
      </w:r>
      <w:r>
        <w:rPr>
          <w:bCs/>
        </w:rPr>
        <w:t xml:space="preserve">; </w:t>
      </w:r>
    </w:p>
    <w:p>
      <w:pPr>
        <w:pStyle w:val="ListParagraph"/>
        <w:numPr>
          <w:ilvl w:val="0"/>
          <w:numId w:val="15"/>
        </w:numPr>
        <w:shd w:val="clear" w:color="auto" w:fill="FFFFFF"/>
        <w:tabs>
          <w:tab w:val="clear" w:pos="709"/>
          <w:tab w:val="left" w:pos="1418" w:leader="none"/>
        </w:tabs>
        <w:ind w:left="0" w:firstLine="709"/>
        <w:jc w:val="both"/>
        <w:rPr>
          <w:bCs/>
        </w:rPr>
      </w:pPr>
      <w:r>
        <w:rPr>
          <w:bCs/>
        </w:rPr>
        <w:t>контакты и должность представителя Подрядчика, ответственного за соблюдение норм и правил в области охраны труда, электробезопасности, пожарной и промышленной безопасности, природоохранного законодательства в Месте производства Работ. Подрядчик обязан обеспечить присутствие указанного лица в Месте производства Работ в течение всего срока их выполнения.</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Обеспечить сохранность переданной Заказчиком по соответствующим актам сдачи-приемки Места выполнения Работ, технической и иной документации, а также возврат ее Заказчику не позднее даты окончания выполнения Работ, указанной в пункте 1.6.2 Договора, либо, в случаях прекращения (расторжения) Договора, указанных в пункте 2.2.3 и разделе 15 Договора, – не позднее 3 (трех) рабочих дней с даты получения соответствующего требования Заказчика. </w:t>
      </w:r>
    </w:p>
    <w:p>
      <w:pPr>
        <w:pStyle w:val="ListParagraph"/>
        <w:numPr>
          <w:ilvl w:val="2"/>
          <w:numId w:val="4"/>
        </w:numPr>
        <w:shd w:val="clear" w:color="auto" w:fill="FFFFFF"/>
        <w:tabs>
          <w:tab w:val="clear" w:pos="709"/>
          <w:tab w:val="left" w:pos="1418" w:leader="none"/>
        </w:tabs>
        <w:ind w:left="0" w:firstLine="709"/>
        <w:jc w:val="both"/>
        <w:rPr/>
      </w:pPr>
      <w:r>
        <w:rPr/>
        <w:t>Обеспечить наличие допусков, разрешений и лицензий, необходимых для производства Работ.</w:t>
      </w:r>
    </w:p>
    <w:p>
      <w:pPr>
        <w:pStyle w:val="ListParagraph"/>
        <w:shd w:val="clear" w:color="auto" w:fill="FFFFFF"/>
        <w:tabs>
          <w:tab w:val="clear" w:pos="709"/>
          <w:tab w:val="left" w:pos="1418" w:leader="none"/>
        </w:tabs>
        <w:ind w:left="0" w:firstLine="709"/>
        <w:jc w:val="both"/>
        <w:rPr/>
      </w:pPr>
      <w:r>
        <w:rPr/>
        <w:t>Подрядчик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Подрядчиком своих обязательств по Договору</w:t>
      </w:r>
      <w:r>
        <w:rPr>
          <w:bCs/>
        </w:rPr>
        <w:t>, в том числе указанных в Приложении № 5 к Договору</w:t>
      </w:r>
      <w:r>
        <w:rPr/>
        <w:t xml:space="preserve">, а также в разумный срок обеспечить получение соответствующих допусков, разрешений и лицензий в срок, обеспечивающих надлежащее исполнение Подрядчиком обязательств по Договору. </w:t>
      </w:r>
    </w:p>
    <w:p>
      <w:pPr>
        <w:pStyle w:val="ListParagraph"/>
        <w:shd w:val="clear" w:color="auto" w:fill="FFFFFF"/>
        <w:tabs>
          <w:tab w:val="clear" w:pos="709"/>
          <w:tab w:val="left" w:pos="1418" w:leader="none"/>
        </w:tabs>
        <w:ind w:left="0" w:firstLine="709"/>
        <w:jc w:val="both"/>
        <w:rPr/>
      </w:pPr>
      <w:r>
        <w:rPr/>
        <w:t>Если в процессе выполнения Работ по Договору законом или иным нормативным правовым актом будет установлена обязанность Подрядчика получить дополнительные допуски, разрешения и / или лицензии, Подрядчик обязан направить Заказчику соответствующее письменное уведомление, а также в разумный срок получить необходимые допуски, разрешения и / или лицензии и направить их копии Заказчику.</w:t>
      </w:r>
    </w:p>
    <w:p>
      <w:pPr>
        <w:pStyle w:val="ListParagraph"/>
        <w:shd w:val="clear" w:color="auto" w:fill="FFFFFF"/>
        <w:tabs>
          <w:tab w:val="clear" w:pos="709"/>
          <w:tab w:val="left" w:pos="1418" w:leader="none"/>
        </w:tabs>
        <w:ind w:left="0" w:firstLine="709"/>
        <w:jc w:val="both"/>
        <w:rPr/>
      </w:pPr>
      <w:r>
        <w:rPr/>
        <w:t>Во избежание сомнений, принятие соответствующего закона или иного нормативного правового акта не будет рассматриваться для целей Договора как обстоятельство непреодолимой силы (форс-мажор), указанное в пункте 12.1 Договора, и Подрядчик не будет иметь права на продление сроков выполнения Работ или увеличение стоимости Работ, если Сторонами письменно не согласовано иное.</w:t>
      </w:r>
    </w:p>
    <w:p>
      <w:pPr>
        <w:pStyle w:val="ListParagraph"/>
        <w:numPr>
          <w:ilvl w:val="2"/>
          <w:numId w:val="4"/>
        </w:numPr>
        <w:shd w:val="clear" w:color="auto" w:fill="FFFFFF"/>
        <w:tabs>
          <w:tab w:val="clear" w:pos="709"/>
          <w:tab w:val="left" w:pos="1418" w:leader="none"/>
        </w:tabs>
        <w:ind w:left="0" w:firstLine="709"/>
        <w:jc w:val="both"/>
        <w:rPr/>
      </w:pPr>
      <w:r>
        <w:rPr/>
        <w:t>Обеспечить:</w:t>
      </w:r>
    </w:p>
    <w:p>
      <w:pPr>
        <w:pStyle w:val="ListParagraph"/>
        <w:numPr>
          <w:ilvl w:val="0"/>
          <w:numId w:val="16"/>
        </w:numPr>
        <w:shd w:val="clear" w:color="auto" w:fill="FFFFFF"/>
        <w:tabs>
          <w:tab w:val="clear" w:pos="709"/>
          <w:tab w:val="left" w:pos="567" w:leader="none"/>
          <w:tab w:val="left" w:pos="1418" w:leader="none"/>
        </w:tabs>
        <w:ind w:left="0" w:firstLine="709"/>
        <w:jc w:val="both"/>
        <w:rPr>
          <w:bCs/>
        </w:rPr>
      </w:pPr>
      <w:r>
        <w:rPr>
          <w:bCs/>
        </w:rPr>
        <w:t xml:space="preserve">участие в саморегулируемой организации, основанной на членстве лиц, </w:t>
      </w:r>
      <w:r>
        <w:rPr/>
        <w:t xml:space="preserve">выполняющих </w:t>
      </w:r>
      <w:r>
        <w:rPr>
          <w:highlight w:val="lightGray"/>
        </w:rPr>
        <w:t>подготовку проектной документации</w:t>
      </w:r>
      <w:r>
        <w:rPr>
          <w:rStyle w:val="FootnoteReference"/>
        </w:rPr>
        <w:footnoteReference w:id="4"/>
      </w:r>
      <w:r>
        <w:rPr>
          <w:bCs/>
        </w:rPr>
        <w:t xml:space="preserve"> (с учетом исключений, предусмотренных законодательством Российской Федерации</w:t>
      </w:r>
      <w:r>
        <w:rPr>
          <w:rStyle w:val="FootnoteReference"/>
          <w:bCs/>
        </w:rPr>
        <w:footnoteReference w:id="5"/>
      </w:r>
      <w:r>
        <w:rPr>
          <w:bCs/>
        </w:rPr>
        <w:t>);</w:t>
      </w:r>
    </w:p>
    <w:p>
      <w:pPr>
        <w:pStyle w:val="ListParagraph"/>
        <w:numPr>
          <w:ilvl w:val="0"/>
          <w:numId w:val="16"/>
        </w:numPr>
        <w:shd w:val="clear" w:color="auto" w:fill="FFFFFF"/>
        <w:tabs>
          <w:tab w:val="clear" w:pos="709"/>
          <w:tab w:val="left" w:pos="567" w:leader="none"/>
          <w:tab w:val="left" w:pos="1418" w:leader="none"/>
        </w:tabs>
        <w:ind w:left="0" w:firstLine="709"/>
        <w:jc w:val="both"/>
        <w:rPr>
          <w:bCs/>
        </w:rPr>
      </w:pPr>
      <w:r>
        <w:rPr>
          <w:bCs/>
        </w:rPr>
        <w:t>соответствие уровня имущественной ответственности Подрядчика по компенсационному фонду возмещения вреда и компенсационному фонду обеспечения договорных обязательств</w:t>
      </w:r>
      <w:r>
        <w:rPr/>
        <w:t xml:space="preserve"> </w:t>
      </w:r>
      <w:r>
        <w:rPr>
          <w:bCs/>
        </w:rPr>
        <w:t>стоимости выполнения Работ по Договору;</w:t>
      </w:r>
    </w:p>
    <w:p>
      <w:pPr>
        <w:pStyle w:val="ListParagraph"/>
        <w:numPr>
          <w:ilvl w:val="0"/>
          <w:numId w:val="16"/>
        </w:numPr>
        <w:tabs>
          <w:tab w:val="clear" w:pos="709"/>
          <w:tab w:val="left" w:pos="567" w:leader="none"/>
        </w:tabs>
        <w:ind w:left="0" w:firstLine="709"/>
        <w:jc w:val="both"/>
        <w:rPr>
          <w:bCs/>
        </w:rPr>
      </w:pPr>
      <w:r>
        <w:rPr>
          <w:bCs/>
        </w:rPr>
        <w:t>организацию выполнения Работ по Договору лицом (лицами), сведения о которых включены в Национальный реестр специалистов в области инженерных изысканий и архитектурно-строительного проектирования.</w:t>
      </w:r>
    </w:p>
    <w:p>
      <w:pPr>
        <w:pStyle w:val="ListParagraph"/>
        <w:numPr>
          <w:ilvl w:val="2"/>
          <w:numId w:val="4"/>
        </w:numPr>
        <w:shd w:val="clear" w:color="auto" w:fill="FFFFFF"/>
        <w:tabs>
          <w:tab w:val="clear" w:pos="709"/>
          <w:tab w:val="left" w:pos="1418" w:leader="none"/>
        </w:tabs>
        <w:ind w:left="0" w:firstLine="709"/>
        <w:jc w:val="both"/>
        <w:rPr>
          <w:bCs/>
        </w:rPr>
      </w:pPr>
      <w:r>
        <w:rPr/>
        <w:t>Выполнять</w:t>
      </w:r>
      <w:r>
        <w:rPr>
          <w:bCs/>
        </w:rPr>
        <w:t xml:space="preserve"> Работы силами квалифицированных специалистов (в том числе, с учетом требований пункта 2.3.10 Договора), прошедших соответствующую подготовку, квалификация, опыт и компетенция которых позволяет обеспечить надлежащее и качественное выполнение Работ. </w:t>
      </w:r>
    </w:p>
    <w:p>
      <w:pPr>
        <w:pStyle w:val="ListParagraph"/>
        <w:numPr>
          <w:ilvl w:val="2"/>
          <w:numId w:val="4"/>
        </w:numPr>
        <w:shd w:val="clear" w:color="auto" w:fill="FFFFFF"/>
        <w:tabs>
          <w:tab w:val="clear" w:pos="709"/>
          <w:tab w:val="left" w:pos="1418" w:leader="none"/>
        </w:tabs>
        <w:ind w:left="0" w:firstLine="709"/>
        <w:jc w:val="both"/>
        <w:rPr>
          <w:bCs/>
          <w:highlight w:val="lightGray"/>
        </w:rPr>
      </w:pPr>
      <w:r>
        <w:rPr>
          <w:bCs/>
          <w:highlight w:val="lightGray"/>
        </w:rPr>
        <w:t>Обеспечить доставку, приемку, разгрузку, складирование и хранение прибывающих на место производства Работ Материально-технических ресурсов и оборудования, необходимых для выполнения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производстве Работ.</w:t>
      </w:r>
    </w:p>
    <w:p>
      <w:pPr>
        <w:pStyle w:val="ListParagraph"/>
        <w:numPr>
          <w:ilvl w:val="2"/>
          <w:numId w:val="4"/>
        </w:numPr>
        <w:shd w:val="clear" w:color="auto" w:fill="FFFFFF"/>
        <w:tabs>
          <w:tab w:val="clear" w:pos="709"/>
          <w:tab w:val="left" w:pos="1418" w:leader="none"/>
        </w:tabs>
        <w:ind w:left="0" w:firstLine="709"/>
        <w:jc w:val="both"/>
        <w:rPr>
          <w:bCs/>
        </w:rPr>
      </w:pPr>
      <w:r>
        <w:rPr>
          <w:bCs/>
        </w:rPr>
        <w:t>Провести инструктаж персонала, задействованного при выполнении Работ на территории Заказчика, обеспечить соблюдение (в том числе указанным персоналом) правил эксплуатации электроустановок, требований охраны труда, пожарной и промышленной безопасности, экологических, санитарных требований и правил, а также иных нормативных правовых актов и требований локальных нормативных актов Заказчика.</w:t>
      </w:r>
    </w:p>
    <w:p>
      <w:pPr>
        <w:pStyle w:val="ListParagraph"/>
        <w:numPr>
          <w:ilvl w:val="2"/>
          <w:numId w:val="4"/>
        </w:numPr>
        <w:shd w:val="clear" w:color="auto" w:fill="FFFFFF"/>
        <w:tabs>
          <w:tab w:val="clear" w:pos="709"/>
          <w:tab w:val="left" w:pos="1418" w:leader="none"/>
        </w:tabs>
        <w:ind w:left="0" w:firstLine="709"/>
        <w:jc w:val="both"/>
        <w:rPr>
          <w:bCs/>
        </w:rPr>
      </w:pPr>
      <w:r>
        <w:rPr>
          <w:bCs/>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4"/>
        </w:numPr>
        <w:shd w:val="clear" w:color="auto" w:fill="FFFFFF"/>
        <w:tabs>
          <w:tab w:val="clear" w:pos="709"/>
          <w:tab w:val="left" w:pos="1418" w:leader="none"/>
        </w:tabs>
        <w:ind w:left="0" w:firstLine="709"/>
        <w:jc w:val="both"/>
        <w:rPr>
          <w:bCs/>
        </w:rPr>
      </w:pPr>
      <w:r>
        <w:rPr>
          <w:bCs/>
        </w:rPr>
        <w:t>В случае применения контролирующими органами штрафных санкций к Заказчику по фактам нарушения Подрядчиком требований охраны труда, электробезопасности, пожарной и промышленной безопасности, природоохранного законодательства или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Передать Заказчику Результат Работ, соответствующий требованиям Договора. </w:t>
      </w:r>
    </w:p>
    <w:p>
      <w:pPr>
        <w:pStyle w:val="ListParagraph"/>
        <w:numPr>
          <w:ilvl w:val="2"/>
          <w:numId w:val="4"/>
        </w:numPr>
        <w:rPr/>
      </w:pPr>
      <w:r>
        <w:rPr>
          <w:bCs/>
        </w:rPr>
        <w:t>Выполнять полученные в ходе исполнения Договора указания Заказчика</w:t>
      </w:r>
      <w:r>
        <w:rPr/>
        <w:t xml:space="preserve"> </w:t>
      </w:r>
      <w:r>
        <w:rPr>
          <w:bCs/>
        </w:rPr>
        <w:t xml:space="preserve">если такие указания не противоречат условиям Договора и не представляют собой вмешательства в деятельность Подрядчика. </w:t>
      </w:r>
    </w:p>
    <w:p>
      <w:pPr>
        <w:pStyle w:val="Normal"/>
        <w:shd w:val="clear" w:color="auto" w:fill="FFFFFF"/>
        <w:tabs>
          <w:tab w:val="clear" w:pos="709"/>
          <w:tab w:val="left" w:pos="1418" w:leader="none"/>
        </w:tabs>
        <w:spacing w:lineRule="auto" w:line="240"/>
        <w:ind w:firstLine="709"/>
        <w:rPr>
          <w:bCs/>
          <w:sz w:val="24"/>
          <w:szCs w:val="24"/>
        </w:rPr>
      </w:pPr>
      <w:r>
        <w:rPr>
          <w:bCs/>
          <w:sz w:val="24"/>
          <w:szCs w:val="24"/>
        </w:rPr>
        <w:t xml:space="preserve">В случае, если такие указания могут привести к увеличению Цены Договора и сроков выполнения Работ, Подрядчик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Normal"/>
        <w:shd w:val="clear" w:color="auto" w:fill="FFFFFF"/>
        <w:tabs>
          <w:tab w:val="clear" w:pos="709"/>
          <w:tab w:val="left" w:pos="1418" w:leader="none"/>
        </w:tabs>
        <w:spacing w:lineRule="auto" w:line="240"/>
        <w:ind w:firstLine="709"/>
        <w:rPr>
          <w:bCs/>
          <w:sz w:val="24"/>
          <w:szCs w:val="24"/>
        </w:rPr>
      </w:pPr>
      <w:r>
        <w:rPr>
          <w:bCs/>
          <w:sz w:val="24"/>
          <w:szCs w:val="24"/>
        </w:rPr>
        <w:t xml:space="preserve">Подрядчик не несет ответственности за возможные убытки, возникшие в результате исполнения указаний Заказчика, только если Подрядчик письменно известил Заказчика о возможных негативных последствиях исполнения таких указаний в соответствии с пунктом 2.3.19.1 Договора. </w:t>
      </w:r>
    </w:p>
    <w:p>
      <w:pPr>
        <w:pStyle w:val="ListParagraph"/>
        <w:shd w:val="clear" w:color="auto" w:fill="FFFFFF"/>
        <w:tabs>
          <w:tab w:val="clear" w:pos="709"/>
          <w:tab w:val="left" w:pos="1418" w:leader="none"/>
        </w:tabs>
        <w:ind w:left="0" w:firstLine="709"/>
        <w:jc w:val="both"/>
        <w:rPr>
          <w:bCs/>
        </w:rPr>
      </w:pPr>
      <w:r>
        <w:rPr>
          <w:bCs/>
        </w:rPr>
        <w:t xml:space="preserve">Подрядчик не вправе отказаться от выполнения или задержать выполнение указаний Заказчика в части сокращения объемов Работ, прекращения и / или исключения отдельных видов Работ, кроме случая, указанного в пункте 2.3.19.1 Договора. </w:t>
      </w:r>
    </w:p>
    <w:p>
      <w:pPr>
        <w:pStyle w:val="ListParagraph"/>
        <w:numPr>
          <w:ilvl w:val="2"/>
          <w:numId w:val="4"/>
        </w:numPr>
        <w:shd w:val="clear" w:color="auto" w:fill="FFFFFF"/>
        <w:tabs>
          <w:tab w:val="clear" w:pos="709"/>
          <w:tab w:val="left" w:pos="1418" w:leader="none"/>
        </w:tabs>
        <w:ind w:left="0" w:firstLine="709"/>
        <w:jc w:val="both"/>
        <w:rPr>
          <w:bCs/>
        </w:rPr>
      </w:pPr>
      <w:r>
        <w:rPr>
          <w:bCs/>
        </w:rPr>
        <w:t>Письменно известить Заказчика и до получения от него необходимых указаний приостановить Работу при обнаружении:</w:t>
      </w:r>
    </w:p>
    <w:p>
      <w:pPr>
        <w:pStyle w:val="ListParagraph"/>
        <w:numPr>
          <w:ilvl w:val="3"/>
          <w:numId w:val="4"/>
        </w:numPr>
        <w:shd w:val="clear" w:color="auto" w:fill="FFFFFF"/>
        <w:tabs>
          <w:tab w:val="clear" w:pos="709"/>
          <w:tab w:val="left" w:pos="1701" w:leader="none"/>
        </w:tabs>
        <w:ind w:left="0" w:firstLine="709"/>
        <w:jc w:val="both"/>
        <w:rPr>
          <w:bCs/>
        </w:rPr>
      </w:pPr>
      <w:r>
        <w:rPr>
          <w:bCs/>
        </w:rPr>
        <w:t xml:space="preserve">возможных неблагоприятных для Заказчика последствий выполнения его указаний – в любом случае не позднее момента начала выполнения таких указаний; </w:t>
      </w:r>
    </w:p>
    <w:p>
      <w:pPr>
        <w:pStyle w:val="ListParagraph"/>
        <w:numPr>
          <w:ilvl w:val="3"/>
          <w:numId w:val="4"/>
        </w:numPr>
        <w:shd w:val="clear" w:color="auto" w:fill="FFFFFF"/>
        <w:tabs>
          <w:tab w:val="clear" w:pos="709"/>
          <w:tab w:val="left" w:pos="1701" w:leader="none"/>
        </w:tabs>
        <w:ind w:left="0" w:firstLine="709"/>
        <w:jc w:val="both"/>
        <w:rPr>
          <w:bCs/>
        </w:rPr>
      </w:pPr>
      <w:r>
        <w:rPr>
          <w:bCs/>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 таких отклонений;</w:t>
      </w:r>
    </w:p>
    <w:p>
      <w:pPr>
        <w:pStyle w:val="ListParagraph"/>
        <w:numPr>
          <w:ilvl w:val="3"/>
          <w:numId w:val="4"/>
        </w:numPr>
        <w:shd w:val="clear" w:color="auto" w:fill="FFFFFF"/>
        <w:tabs>
          <w:tab w:val="clear" w:pos="709"/>
          <w:tab w:val="left" w:pos="1701" w:leader="none"/>
        </w:tabs>
        <w:ind w:left="0" w:firstLine="709"/>
        <w:jc w:val="both"/>
        <w:rPr>
          <w:bCs/>
        </w:rPr>
      </w:pPr>
      <w:r>
        <w:rPr>
          <w:bCs/>
        </w:rPr>
        <w:t>любых иных обстоятельств, угрожающих годности или безопасности Результата Работ, либо способных повлечь изменение объемов, сроков, качества или стоимости выполнения Работ, предусмотренных Договором – в любом случае не позднее следующего рабочего дня после обнаружения таких обстоятельств.</w:t>
      </w:r>
    </w:p>
    <w:p>
      <w:pPr>
        <w:pStyle w:val="ListParagraph"/>
        <w:shd w:val="clear" w:color="auto" w:fill="FFFFFF"/>
        <w:tabs>
          <w:tab w:val="clear" w:pos="709"/>
          <w:tab w:val="left" w:pos="567" w:leader="none"/>
        </w:tabs>
        <w:ind w:left="0" w:firstLine="709"/>
        <w:jc w:val="both"/>
        <w:rPr>
          <w:bCs/>
        </w:rPr>
      </w:pPr>
      <w:r>
        <w:rPr>
          <w:bCs/>
        </w:rPr>
        <w:t>Невыполнение Подрядчиком требований пункта 2.3.20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4"/>
        </w:numPr>
        <w:shd w:val="clear" w:color="auto" w:fill="FFFFFF"/>
        <w:tabs>
          <w:tab w:val="clear" w:pos="709"/>
          <w:tab w:val="left" w:pos="1418" w:leader="none"/>
        </w:tabs>
        <w:ind w:left="0" w:firstLine="709"/>
        <w:jc w:val="both"/>
        <w:rPr>
          <w:bCs/>
        </w:rPr>
      </w:pPr>
      <w:r>
        <w:rPr>
          <w:bCs/>
        </w:rPr>
        <w:t>Письменно уведомлять</w:t>
      </w:r>
      <w:r>
        <w:rPr/>
        <w:t xml:space="preserve">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17"/>
        </w:numPr>
        <w:tabs>
          <w:tab w:val="clear" w:pos="709"/>
          <w:tab w:val="left" w:pos="1134" w:leader="none"/>
        </w:tabs>
        <w:ind w:left="0" w:right="23" w:firstLine="709"/>
        <w:jc w:val="both"/>
        <w:rPr/>
      </w:pPr>
      <w:r>
        <w:rPr/>
        <w:t>аварии – в течение 2 (двух) часов;</w:t>
      </w:r>
    </w:p>
    <w:p>
      <w:pPr>
        <w:pStyle w:val="ListParagraph"/>
        <w:numPr>
          <w:ilvl w:val="0"/>
          <w:numId w:val="17"/>
        </w:numPr>
        <w:tabs>
          <w:tab w:val="clear" w:pos="709"/>
          <w:tab w:val="left" w:pos="1134" w:leader="none"/>
        </w:tabs>
        <w:ind w:left="0" w:right="23" w:firstLine="709"/>
        <w:jc w:val="both"/>
        <w:rPr/>
      </w:pPr>
      <w:r>
        <w:rPr/>
        <w:t>любом несчастном случае независимо от степени его тяжести – в течение суток по форме Приложения, установленной Минтрудом России, а после окончания расследования предоставлять копии соответствующих материалов;</w:t>
      </w:r>
    </w:p>
    <w:p>
      <w:pPr>
        <w:pStyle w:val="ListParagraph"/>
        <w:numPr>
          <w:ilvl w:val="0"/>
          <w:numId w:val="17"/>
        </w:numPr>
        <w:tabs>
          <w:tab w:val="clear" w:pos="709"/>
          <w:tab w:val="left" w:pos="1134" w:leader="none"/>
        </w:tabs>
        <w:ind w:left="0" w:right="23" w:firstLine="709"/>
        <w:jc w:val="both"/>
        <w:rPr/>
      </w:pPr>
      <w:r>
        <w:rPr/>
        <w:t>хищении и иных противоправных действиях – в течение 24 (двадцати четырех) часов;</w:t>
      </w:r>
    </w:p>
    <w:p>
      <w:pPr>
        <w:pStyle w:val="ListParagraph"/>
        <w:numPr>
          <w:ilvl w:val="0"/>
          <w:numId w:val="17"/>
        </w:numPr>
        <w:tabs>
          <w:tab w:val="clear" w:pos="709"/>
          <w:tab w:val="left" w:pos="1134" w:leader="none"/>
        </w:tabs>
        <w:ind w:left="0" w:right="23" w:firstLine="709"/>
        <w:jc w:val="both"/>
        <w:rPr/>
      </w:pPr>
      <w:r>
        <w:rPr/>
        <w:t>аресте и / или блокировании счетов и / 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17"/>
        </w:numPr>
        <w:tabs>
          <w:tab w:val="clear" w:pos="709"/>
          <w:tab w:val="left" w:pos="1134" w:leader="none"/>
        </w:tabs>
        <w:ind w:left="0" w:right="23" w:firstLine="709"/>
        <w:jc w:val="both"/>
        <w:rPr/>
      </w:pPr>
      <w:r>
        <w:rPr/>
        <w:t>забастовке персонала Субподрядчика, 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17"/>
        </w:numPr>
        <w:tabs>
          <w:tab w:val="clear" w:pos="709"/>
          <w:tab w:val="left" w:pos="1134" w:leader="none"/>
        </w:tabs>
        <w:ind w:left="0" w:right="23" w:firstLine="709"/>
        <w:jc w:val="both"/>
        <w:rPr/>
      </w:pPr>
      <w:r>
        <w:rPr/>
        <w:t>иных обстоятельствах, фактах, сообщениях в средствах массовой информации – в течение 24 (двадцати четырех) часов.</w:t>
      </w:r>
    </w:p>
    <w:p>
      <w:pPr>
        <w:pStyle w:val="ListParagraph"/>
        <w:numPr>
          <w:ilvl w:val="2"/>
          <w:numId w:val="4"/>
        </w:numPr>
        <w:shd w:val="clear" w:color="auto" w:fill="FFFFFF"/>
        <w:tabs>
          <w:tab w:val="clear" w:pos="709"/>
          <w:tab w:val="left" w:pos="1418" w:leader="none"/>
        </w:tabs>
        <w:ind w:left="0" w:firstLine="709"/>
        <w:jc w:val="both"/>
        <w:rPr>
          <w:bCs/>
        </w:rPr>
      </w:pPr>
      <w:r>
        <w:rPr/>
        <w:t xml:space="preserve">По требованию и в сроки, установленные Заказчиком, своими силами, средствами и за свой счет устранять недостатки, несоответствия, выявленные Заказчиком, а также недостатки и несоответствия, связанные с несогласованными с Заказчиком отступлениями от </w:t>
      </w:r>
      <w:r>
        <w:rPr>
          <w:bCs/>
        </w:rPr>
        <w:t>требований Договора.</w:t>
      </w:r>
    </w:p>
    <w:p>
      <w:pPr>
        <w:pStyle w:val="ListParagraph"/>
        <w:numPr>
          <w:ilvl w:val="2"/>
          <w:numId w:val="4"/>
        </w:numPr>
        <w:shd w:val="clear" w:color="auto" w:fill="FFFFFF"/>
        <w:tabs>
          <w:tab w:val="clear" w:pos="709"/>
          <w:tab w:val="left" w:pos="1418" w:leader="none"/>
        </w:tabs>
        <w:ind w:left="0" w:firstLine="709"/>
        <w:jc w:val="both"/>
        <w:rPr>
          <w:bCs/>
        </w:rPr>
      </w:pPr>
      <w:r>
        <w:rPr>
          <w:bCs/>
        </w:rPr>
        <w:t>Незамедлительно приступить к устранению недостатков Результата Работ, о которых ему стало известно.</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Подрядчик несет ответственность за несоответствие Результата Работ Техническому заданию (Приложение № 1 к Договору), Исходно-разрешительной документации, предоставленным Заказчиком или полученным Подрядчиком в рамках исполнения Договора исходным данным для проектирования, положениям Применимого права. Подрядчик несет ответственность за недостатки </w:t>
      </w:r>
      <w:r>
        <w:rPr>
          <w:highlight w:val="lightGray"/>
          <w:lang w:eastAsia="en-US"/>
        </w:rPr>
        <w:t>Проектной документации</w:t>
      </w:r>
      <w:r>
        <w:rPr>
          <w:bCs/>
        </w:rPr>
        <w:t xml:space="preserve">, включая обнаруженные в последствии в ходе строительства / реконструкции, а также в процессе эксплуатации Объекта, созданного на основе </w:t>
      </w:r>
      <w:r>
        <w:rPr>
          <w:highlight w:val="lightGray"/>
          <w:lang w:eastAsia="en-US"/>
        </w:rPr>
        <w:t>Проектной документации</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В случае предъявления налоговыми органами претензий и требований к Заказчику, связанных с недобросовестностью Субподрядчиков (любого лица из цепочки субподрядчиков),</w:t>
      </w:r>
      <w:r>
        <w:rPr/>
        <w:t xml:space="preserve"> </w:t>
      </w:r>
      <w:r>
        <w:rPr>
          <w:bCs/>
        </w:rPr>
        <w:t xml:space="preserve">привлеченных Подрядчиком к выполнению Работ по Договору, компенсировать все убытки Заказчика, вызванные такими претензиями и требованиями.  </w:t>
      </w:r>
    </w:p>
    <w:p>
      <w:pPr>
        <w:pStyle w:val="ListParagraph"/>
        <w:numPr>
          <w:ilvl w:val="2"/>
          <w:numId w:val="4"/>
        </w:numPr>
        <w:ind w:left="0" w:firstLine="709"/>
        <w:jc w:val="both"/>
        <w:rPr>
          <w:color w:val="000000"/>
        </w:rPr>
      </w:pPr>
      <w:r>
        <w:rPr>
          <w:color w:val="000000"/>
        </w:rPr>
        <w:t>Предоставить Заказчику банковские гарантии в соответствии с разделом 6 Договора.</w:t>
      </w:r>
    </w:p>
    <w:p>
      <w:pPr>
        <w:pStyle w:val="ListParagraph"/>
        <w:numPr>
          <w:ilvl w:val="2"/>
          <w:numId w:val="4"/>
        </w:numPr>
        <w:shd w:val="clear" w:color="auto" w:fill="FFFFFF"/>
        <w:tabs>
          <w:tab w:val="clear" w:pos="709"/>
          <w:tab w:val="left" w:pos="1418" w:leader="none"/>
        </w:tabs>
        <w:ind w:left="0" w:firstLine="709"/>
        <w:jc w:val="both"/>
        <w:rPr>
          <w:highlight w:val="lightGray"/>
        </w:rPr>
      </w:pPr>
      <w:r>
        <w:rPr/>
        <w:t xml:space="preserve"> </w:t>
      </w:r>
      <w:r>
        <w:rPr>
          <w:highlight w:val="lightGray"/>
        </w:rPr>
        <w:t xml:space="preserve">Организовать выполнение </w:t>
      </w:r>
      <w:r>
        <w:rPr>
          <w:highlight w:val="lightGray"/>
          <w:lang w:eastAsia="en-US"/>
        </w:rPr>
        <w:t>Работ по оформлению прав Заказчика на земельные участки, необходимые для строительства</w:t>
      </w:r>
      <w:r>
        <w:rPr>
          <w:highlight w:val="lightGray"/>
        </w:rPr>
        <w:t xml:space="preserve">, в случае, если в процессе выполнения Работ возникнет необходимость в проведении вышеуказанных работ. При этом, Стороны обязуются согласовать и заключить дополнительное соглашение к Договору на соответствующий предмет.  </w:t>
      </w:r>
    </w:p>
    <w:p>
      <w:pPr>
        <w:pStyle w:val="ListParagraph"/>
        <w:numPr>
          <w:ilvl w:val="2"/>
          <w:numId w:val="4"/>
        </w:numPr>
        <w:shd w:val="clear" w:color="auto" w:fill="FFFFFF"/>
        <w:tabs>
          <w:tab w:val="clear" w:pos="709"/>
          <w:tab w:val="left" w:pos="1418" w:leader="none"/>
        </w:tabs>
        <w:ind w:left="0" w:firstLine="710"/>
        <w:jc w:val="both"/>
        <w:rPr/>
      </w:pPr>
      <w:r>
        <w:rPr/>
        <w:t>Не передавать Результат Работ, а также иные документы, оформленные или полученные в ходе выполнения Подрядчиком обязательств по Договору, третьим лицам без письменного согласия Заказчика, за исключением случаев, когда такая передача предусмотрена законодательством Российской Федерации и / или Договором.</w:t>
      </w:r>
    </w:p>
    <w:p>
      <w:pPr>
        <w:pStyle w:val="ListParagraph"/>
        <w:numPr>
          <w:ilvl w:val="2"/>
          <w:numId w:val="4"/>
        </w:numPr>
        <w:shd w:val="clear" w:color="auto" w:fill="FFFFFF"/>
        <w:tabs>
          <w:tab w:val="clear" w:pos="709"/>
          <w:tab w:val="left" w:pos="1418" w:leader="none"/>
        </w:tabs>
        <w:ind w:left="0" w:firstLine="710"/>
        <w:jc w:val="both"/>
        <w:rPr/>
      </w:pPr>
      <w:r>
        <w:rPr/>
        <w:t>Подписать акты сверки взаимных расчетов, направленные Заказчиком в 2 (двух) экземплярах, и вернуть 1 (один) экземпляр Заказчику в течение 5 (пяти) рабочих дней с даты получения экземпляров актов сверки расчетов от Заказчика.</w:t>
      </w:r>
    </w:p>
    <w:p>
      <w:pPr>
        <w:pStyle w:val="ListParagraph"/>
        <w:numPr>
          <w:ilvl w:val="2"/>
          <w:numId w:val="4"/>
        </w:numPr>
        <w:shd w:val="clear" w:color="auto" w:fill="FFFFFF"/>
        <w:tabs>
          <w:tab w:val="clear" w:pos="709"/>
          <w:tab w:val="left" w:pos="1418" w:leader="none"/>
        </w:tabs>
        <w:ind w:left="0" w:firstLine="709"/>
        <w:jc w:val="both"/>
        <w:rPr/>
      </w:pPr>
      <w:r>
        <w:rPr/>
        <w:t xml:space="preserve">Исполнять иные обязанности, предусмотренные Договором и </w:t>
      </w:r>
      <w:r>
        <w:rPr>
          <w:bCs/>
        </w:rPr>
        <w:t>законодательством Российской Федерации.</w:t>
      </w:r>
      <w:r>
        <w:rPr/>
        <w:t xml:space="preserve"> </w:t>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Подрядчик имеет право</w:t>
      </w:r>
      <w:r>
        <w:rPr>
          <w:bCs/>
        </w:rPr>
        <w:t>:</w:t>
      </w:r>
    </w:p>
    <w:p>
      <w:pPr>
        <w:pStyle w:val="ListParagraph"/>
        <w:numPr>
          <w:ilvl w:val="2"/>
          <w:numId w:val="4"/>
        </w:numPr>
        <w:shd w:val="clear" w:color="auto" w:fill="FFFFFF"/>
        <w:tabs>
          <w:tab w:val="clear" w:pos="709"/>
          <w:tab w:val="left" w:pos="1418" w:leader="none"/>
        </w:tabs>
        <w:ind w:left="0" w:firstLine="709"/>
        <w:jc w:val="both"/>
        <w:rPr>
          <w:bCs/>
        </w:rPr>
      </w:pPr>
      <w:r>
        <w:rPr>
          <w:bCs/>
        </w:rPr>
        <w:t>Самостоятельно организовать выполнение Работ.</w:t>
      </w:r>
    </w:p>
    <w:p>
      <w:pPr>
        <w:pStyle w:val="ListParagraph"/>
        <w:numPr>
          <w:ilvl w:val="2"/>
          <w:numId w:val="4"/>
        </w:numPr>
        <w:shd w:val="clear" w:color="auto" w:fill="FFFFFF"/>
        <w:tabs>
          <w:tab w:val="clear" w:pos="709"/>
          <w:tab w:val="left" w:pos="1418" w:leader="none"/>
        </w:tabs>
        <w:ind w:left="0" w:firstLine="710"/>
        <w:jc w:val="both"/>
        <w:rPr/>
      </w:pPr>
      <w:r>
        <w:rPr/>
        <w:t xml:space="preserve">При необходимости по предварительному письменному согласованию </w:t>
        <w:br/>
        <w:t>с Заказчиком заключать договоры субподряда в совокупности не более чем на 10 (десять) процентов от Цены Договора, неся при этом ответственность за действия Субподрядчиков, как за свои собственные.</w:t>
      </w:r>
    </w:p>
    <w:p>
      <w:pPr>
        <w:pStyle w:val="ListParagraph"/>
        <w:shd w:val="clear" w:color="auto" w:fill="FFFFFF"/>
        <w:tabs>
          <w:tab w:val="clear" w:pos="709"/>
          <w:tab w:val="left" w:pos="851" w:leader="none"/>
        </w:tabs>
        <w:ind w:left="0" w:firstLine="709"/>
        <w:jc w:val="both"/>
        <w:rPr>
          <w:bCs/>
        </w:rPr>
      </w:pPr>
      <w:r>
        <w:rPr>
          <w:bCs/>
        </w:rPr>
        <w:t xml:space="preserve">При согласовании привлечения Субподрядчика Подрядчик представляет Заказчику: </w:t>
      </w:r>
    </w:p>
    <w:p>
      <w:pPr>
        <w:pStyle w:val="ListParagraph"/>
        <w:numPr>
          <w:ilvl w:val="0"/>
          <w:numId w:val="22"/>
        </w:numPr>
        <w:shd w:val="clear" w:color="auto" w:fill="FFFFFF"/>
        <w:tabs>
          <w:tab w:val="left" w:pos="709" w:leader="none"/>
          <w:tab w:val="left" w:pos="1418" w:leader="none"/>
        </w:tabs>
        <w:ind w:left="0" w:firstLine="709"/>
        <w:jc w:val="both"/>
        <w:rPr>
          <w:bCs/>
        </w:rPr>
      </w:pPr>
      <w:r>
        <w:rPr>
          <w:bCs/>
        </w:rPr>
        <w:t>проект договора с Субподрядчиком;</w:t>
      </w:r>
    </w:p>
    <w:p>
      <w:pPr>
        <w:pStyle w:val="ListParagraph"/>
        <w:numPr>
          <w:ilvl w:val="0"/>
          <w:numId w:val="22"/>
        </w:numPr>
        <w:shd w:val="clear" w:color="auto" w:fill="FFFFFF"/>
        <w:tabs>
          <w:tab w:val="left" w:pos="709" w:leader="none"/>
          <w:tab w:val="left" w:pos="1418" w:leader="none"/>
        </w:tabs>
        <w:ind w:left="0" w:firstLine="709"/>
        <w:jc w:val="both"/>
        <w:rPr>
          <w:bCs/>
        </w:rPr>
      </w:pPr>
      <w:r>
        <w:rPr>
          <w:bCs/>
        </w:rPr>
        <w:t>сведения об объемах выполнения работ Субподрядчиком;</w:t>
      </w:r>
    </w:p>
    <w:p>
      <w:pPr>
        <w:pStyle w:val="ListParagraph"/>
        <w:numPr>
          <w:ilvl w:val="0"/>
          <w:numId w:val="22"/>
        </w:numPr>
        <w:tabs>
          <w:tab w:val="left" w:pos="709" w:leader="none"/>
        </w:tabs>
        <w:ind w:left="0" w:firstLine="709"/>
        <w:jc w:val="both"/>
        <w:rPr>
          <w:bCs/>
        </w:rPr>
      </w:pPr>
      <w:r>
        <w:rPr>
          <w:bCs/>
        </w:rPr>
        <w:t>пофамильный перечень персонала Субподрядчика, который будет задействован при производстве Работ;</w:t>
      </w:r>
    </w:p>
    <w:p>
      <w:pPr>
        <w:pStyle w:val="ListParagraph"/>
        <w:numPr>
          <w:ilvl w:val="0"/>
          <w:numId w:val="21"/>
        </w:numPr>
        <w:tabs>
          <w:tab w:val="left" w:pos="709" w:leader="none"/>
        </w:tabs>
        <w:ind w:left="0" w:firstLine="709"/>
        <w:jc w:val="both"/>
        <w:rPr>
          <w:bCs/>
        </w:rPr>
      </w:pPr>
      <w:r>
        <w:rPr>
          <w:bCs/>
        </w:rPr>
        <w:t>копии документов, подтверждающих наличие у Субподрядчика и его персонала допусков, разрешений и лицензий, необходимых для выполнения Работ.</w:t>
      </w:r>
    </w:p>
    <w:p>
      <w:pPr>
        <w:pStyle w:val="ListParagraph"/>
        <w:numPr>
          <w:ilvl w:val="1"/>
          <w:numId w:val="4"/>
        </w:numPr>
        <w:shd w:val="clear" w:color="auto" w:fill="FFFFFF"/>
        <w:tabs>
          <w:tab w:val="clear" w:pos="709"/>
          <w:tab w:val="left" w:pos="1134" w:leader="none"/>
        </w:tabs>
        <w:ind w:left="0" w:firstLine="709"/>
        <w:jc w:val="both"/>
        <w:rPr>
          <w:bCs/>
        </w:rPr>
      </w:pPr>
      <w:r>
        <w:rPr>
          <w:bCs/>
          <w:u w:val="single"/>
        </w:rPr>
        <w:t>Иные права и обязанности Сторон</w:t>
      </w:r>
      <w:r>
        <w:rPr>
          <w:bCs/>
        </w:rPr>
        <w:t>:</w:t>
      </w:r>
    </w:p>
    <w:p>
      <w:pPr>
        <w:pStyle w:val="ListParagraph"/>
        <w:numPr>
          <w:ilvl w:val="2"/>
          <w:numId w:val="4"/>
        </w:numPr>
        <w:tabs>
          <w:tab w:val="left" w:pos="709" w:leader="none"/>
          <w:tab w:val="left" w:pos="851" w:leader="none"/>
        </w:tabs>
        <w:ind w:left="0" w:firstLine="709"/>
        <w:jc w:val="both"/>
        <w:rPr>
          <w:highlight w:val="lightGray"/>
        </w:rPr>
      </w:pPr>
      <w:r>
        <w:rPr>
          <w:highlight w:val="lightGray"/>
        </w:rPr>
        <w:t xml:space="preserve">Подрядчик не позднее дня, следующего за днем заключения договора </w:t>
        <w:br/>
        <w:t>с каждым соответствующим Субподрядчиком, обязан представить Заказчику справку обо всех договорах, заключенных в рамках исполнения Договора с Субподрядчиками, являющимися Субъектом МСП, составленную по форме Приложения № 8 к Договору.</w:t>
      </w:r>
    </w:p>
    <w:p>
      <w:pPr>
        <w:pStyle w:val="ListParagraph"/>
        <w:numPr>
          <w:ilvl w:val="1"/>
          <w:numId w:val="4"/>
        </w:numPr>
        <w:tabs>
          <w:tab w:val="left" w:pos="709" w:leader="none"/>
          <w:tab w:val="left" w:pos="851" w:leader="none"/>
        </w:tabs>
        <w:ind w:left="0" w:firstLine="709"/>
        <w:jc w:val="both"/>
        <w:rPr>
          <w:highlight w:val="lightGray"/>
        </w:rPr>
      </w:pPr>
      <w:r>
        <w:rPr>
          <w:highlight w:val="lightGray"/>
        </w:rPr>
        <w:t>В случае нарушения Подрядчиком условий, предусмотренных пунктами 2.5.1 Договора, а также в случае предоставления заведомо неверной информации о привлечённых Субподрядчиках по Договору, Заказчик вправе требовать от Подрядчика уплаты штрафа в размере 300 000 (триста тысяч) рублей за каждый случай нарушения.</w:t>
      </w:r>
    </w:p>
    <w:p>
      <w:pPr>
        <w:pStyle w:val="Normal"/>
        <w:shd w:val="clear" w:color="auto" w:fill="FFFFFF"/>
        <w:tabs>
          <w:tab w:val="clear" w:pos="709"/>
          <w:tab w:val="left" w:pos="1418" w:leader="none"/>
        </w:tabs>
        <w:ind w:hanging="0"/>
        <w:rPr/>
      </w:pPr>
      <w:r>
        <w:rPr/>
      </w:r>
    </w:p>
    <w:p>
      <w:pPr>
        <w:pStyle w:val="ListParagraph"/>
        <w:numPr>
          <w:ilvl w:val="0"/>
          <w:numId w:val="4"/>
        </w:numPr>
        <w:shd w:val="clear" w:color="auto" w:fill="FFFFFF"/>
        <w:tabs>
          <w:tab w:val="clear" w:pos="709"/>
          <w:tab w:val="left" w:pos="284" w:leader="none"/>
        </w:tabs>
        <w:ind w:left="0" w:hanging="0"/>
        <w:jc w:val="center"/>
        <w:rPr/>
      </w:pPr>
      <w:r>
        <w:rPr>
          <w:b/>
          <w:bCs/>
        </w:rPr>
        <w:t>Цена Договора и порядок расчетов</w:t>
      </w:r>
    </w:p>
    <w:p>
      <w:pPr>
        <w:pStyle w:val="ListParagraph"/>
        <w:numPr>
          <w:ilvl w:val="1"/>
          <w:numId w:val="4"/>
        </w:numPr>
        <w:shd w:val="clear" w:color="auto" w:fill="FFFFFF"/>
        <w:tabs>
          <w:tab w:val="clear" w:pos="709"/>
          <w:tab w:val="left" w:pos="1134" w:leader="none"/>
        </w:tabs>
        <w:ind w:left="0" w:firstLine="709"/>
        <w:jc w:val="both"/>
        <w:rPr>
          <w:bCs/>
        </w:rPr>
      </w:pPr>
      <w:bookmarkStart w:id="8" w:name="_Ref361335465"/>
      <w:bookmarkEnd w:id="8"/>
      <w:r>
        <w:rPr>
          <w:bCs/>
        </w:rPr>
        <w:t xml:space="preserve">Цена </w:t>
      </w:r>
      <w:r>
        <w:rPr/>
        <w:t xml:space="preserve">Договора </w:t>
      </w:r>
      <w:r>
        <w:rPr>
          <w:bCs/>
        </w:rPr>
        <w:t xml:space="preserve">в соответствии со Сводной сметой с приложениями (Приложение № 3 к Договору) является </w:t>
      </w:r>
      <w:r>
        <w:rPr>
          <w:bCs/>
          <w:highlight w:val="lightGray"/>
        </w:rPr>
        <w:t xml:space="preserve">предельной </w:t>
      </w:r>
      <w:r>
        <w:rPr>
          <w:bCs/>
        </w:rPr>
        <w:t xml:space="preserve">и составляет </w:t>
      </w:r>
      <w:r>
        <w:rPr>
          <w:highlight w:val="lightGray"/>
        </w:rPr>
        <w:t>_______</w:t>
      </w:r>
      <w:r>
        <w:rPr>
          <w:bCs/>
        </w:rPr>
        <w:t xml:space="preserve"> (</w:t>
      </w:r>
      <w:r>
        <w:rPr>
          <w:highlight w:val="lightGray"/>
        </w:rPr>
        <w:t>__________________</w:t>
      </w:r>
      <w:r>
        <w:rPr>
          <w:bCs/>
          <w:highlight w:val="lightGray"/>
        </w:rPr>
        <w:t>)</w:t>
      </w:r>
      <w:r>
        <w:rPr>
          <w:bCs/>
        </w:rPr>
        <w:t xml:space="preserve"> рублей </w:t>
      </w:r>
      <w:r>
        <w:rPr>
          <w:highlight w:val="lightGray"/>
        </w:rPr>
        <w:t>___</w:t>
      </w:r>
      <w:r>
        <w:rPr>
          <w:bCs/>
        </w:rPr>
        <w:t xml:space="preserve"> копеек, без учёта НДС, при этом НДС исчисляется дополнительно по ставке, установленной ст.164 Налогового кодекса РФ. </w:t>
      </w:r>
    </w:p>
    <w:p>
      <w:pPr>
        <w:pStyle w:val="ListParagraph"/>
        <w:numPr>
          <w:ilvl w:val="1"/>
          <w:numId w:val="4"/>
        </w:numPr>
        <w:shd w:val="clear" w:color="auto" w:fill="FFFFFF"/>
        <w:tabs>
          <w:tab w:val="clear" w:pos="709"/>
          <w:tab w:val="left" w:pos="1134" w:leader="none"/>
        </w:tabs>
        <w:ind w:left="0" w:firstLine="709"/>
        <w:jc w:val="both"/>
        <w:rPr>
          <w:highlight w:val="lightGray"/>
        </w:rPr>
      </w:pPr>
      <w:bookmarkStart w:id="9" w:name="_Ref361834605"/>
      <w:r>
        <w:rPr>
          <w:highlight w:val="lightGray"/>
        </w:rPr>
        <w:t>Сметы подлежат согласованию Сторонами не позднее истечения 30 (тридцати) календарных дней с даты вступления Договора в силу. При несогласовании вышеуказанных документов в установленный срок Подрядчик обязан по соответствующему письменному требованию Заказчика приостановить исполнение Договора полностью или в части до момента такого согласования. После согласования смет Стороны обязаны уточнить Сводную смету с приложениями (Приложение № 3 к Договору) путем заключения дополнительного соглашения к Договору, а также продлить сроки выполнения Работ на срок их приостановки по предусмотренному в настоящем пункте основанию.</w:t>
      </w:r>
      <w:bookmarkEnd w:id="9"/>
    </w:p>
    <w:p>
      <w:pPr>
        <w:pStyle w:val="ListParagraph"/>
        <w:numPr>
          <w:ilvl w:val="1"/>
          <w:numId w:val="4"/>
        </w:numPr>
        <w:shd w:val="clear" w:color="auto" w:fill="FFFFFF"/>
        <w:tabs>
          <w:tab w:val="clear" w:pos="709"/>
          <w:tab w:val="left" w:pos="1134" w:leader="none"/>
        </w:tabs>
        <w:ind w:left="0" w:firstLine="709"/>
        <w:jc w:val="both"/>
        <w:rPr/>
      </w:pPr>
      <w:bookmarkStart w:id="10" w:name="_Ref361335465_Копия_1"/>
      <w:bookmarkEnd w:id="10"/>
      <w:r>
        <w:rPr>
          <w:bCs/>
        </w:rPr>
        <w:t>Цена Договора включает в себя прибыль Подрядчика, а также все расходы и затраты Подрядчика на:</w:t>
      </w:r>
    </w:p>
    <w:p>
      <w:pPr>
        <w:pStyle w:val="ListParagraph"/>
        <w:numPr>
          <w:ilvl w:val="2"/>
          <w:numId w:val="4"/>
        </w:numPr>
        <w:shd w:val="clear" w:color="auto" w:fill="FFFFFF"/>
        <w:tabs>
          <w:tab w:val="clear" w:pos="709"/>
          <w:tab w:val="left" w:pos="1418" w:leader="none"/>
        </w:tabs>
        <w:ind w:left="0" w:firstLine="709"/>
        <w:jc w:val="both"/>
        <w:rPr/>
      </w:pPr>
      <w:r>
        <w:rPr>
          <w:highlight w:val="lightGray"/>
        </w:rPr>
        <w:t xml:space="preserve">Приобретение Материально-технических ресурсов </w:t>
      </w:r>
      <w:r>
        <w:rPr>
          <w:bCs/>
          <w:highlight w:val="lightGray"/>
        </w:rPr>
        <w:t>и оборудования</w:t>
      </w:r>
      <w:r>
        <w:rPr>
          <w:highlight w:val="lightGray"/>
        </w:rPr>
        <w:t>, необходимых для выполнения Работ по Договору, включая стоимость необходимых для эксплуатации Результата работ лицензий</w:t>
      </w:r>
      <w:r>
        <w:rPr/>
        <w:t>;</w:t>
      </w:r>
    </w:p>
    <w:p>
      <w:pPr>
        <w:pStyle w:val="ListParagraph"/>
        <w:numPr>
          <w:ilvl w:val="2"/>
          <w:numId w:val="4"/>
        </w:numPr>
        <w:shd w:val="clear" w:color="auto" w:fill="FFFFFF"/>
        <w:tabs>
          <w:tab w:val="clear" w:pos="709"/>
          <w:tab w:val="left" w:pos="1418" w:leader="none"/>
        </w:tabs>
        <w:ind w:left="0" w:firstLine="709"/>
        <w:jc w:val="both"/>
        <w:rPr/>
      </w:pPr>
      <w:r>
        <w:rPr/>
        <w:t>Получение и оформление Исходно-разрешительной документации;</w:t>
      </w:r>
    </w:p>
    <w:p>
      <w:pPr>
        <w:pStyle w:val="ListParagraph"/>
        <w:numPr>
          <w:ilvl w:val="2"/>
          <w:numId w:val="4"/>
        </w:numPr>
        <w:shd w:val="clear" w:color="auto" w:fill="FFFFFF"/>
        <w:tabs>
          <w:tab w:val="clear" w:pos="709"/>
          <w:tab w:val="left" w:pos="1418" w:leader="none"/>
        </w:tabs>
        <w:ind w:left="0" w:firstLine="709"/>
        <w:jc w:val="both"/>
        <w:rPr/>
      </w:pPr>
      <w:r>
        <w:rPr/>
        <w:t xml:space="preserve">Заработную плату, накладные и командировочные расходы, перемещение и размещение персонала Подрядчика; </w:t>
      </w:r>
    </w:p>
    <w:p>
      <w:pPr>
        <w:pStyle w:val="ListParagraph"/>
        <w:numPr>
          <w:ilvl w:val="2"/>
          <w:numId w:val="4"/>
        </w:numPr>
        <w:shd w:val="clear" w:color="auto" w:fill="FFFFFF"/>
        <w:tabs>
          <w:tab w:val="clear" w:pos="709"/>
          <w:tab w:val="left" w:pos="1418" w:leader="none"/>
        </w:tabs>
        <w:ind w:left="0" w:firstLine="709"/>
        <w:jc w:val="both"/>
        <w:rPr/>
      </w:pPr>
      <w:r>
        <w:rPr/>
        <w:t>Подлежащие уплате налоги, сборы и пошлины (в том числе по таможенному оформлению Материально-технических ресурсов</w:t>
      </w:r>
      <w:r>
        <w:rPr>
          <w:bCs/>
        </w:rPr>
        <w:t xml:space="preserve"> и оборудования</w:t>
      </w:r>
      <w:r>
        <w:rPr/>
        <w:t xml:space="preserve">, если применимо); </w:t>
      </w:r>
    </w:p>
    <w:p>
      <w:pPr>
        <w:pStyle w:val="ListParagraph"/>
        <w:numPr>
          <w:ilvl w:val="2"/>
          <w:numId w:val="4"/>
        </w:numPr>
        <w:ind w:left="0" w:firstLine="710"/>
        <w:jc w:val="both"/>
        <w:rPr/>
      </w:pPr>
      <w:r>
        <w:rPr/>
        <w:t xml:space="preserve">Все прочие затраты и расходы Подрядчика, связанные выполнением Работ и исполнением иных обязательств по Договору (за исключением случаев, когда законодательством Российской Федерации предусмотрено несение соответствующих расходов Заказчиком самостоятельно), а также все непредвиденные расходы, которые могут возникнуть у Подрядчика в течение срока действия Договора. </w:t>
      </w:r>
    </w:p>
    <w:p>
      <w:pPr>
        <w:pStyle w:val="ListParagraph"/>
        <w:numPr>
          <w:ilvl w:val="1"/>
          <w:numId w:val="4"/>
        </w:numPr>
        <w:shd w:val="clear" w:color="auto" w:fill="FFFFFF"/>
        <w:tabs>
          <w:tab w:val="clear" w:pos="709"/>
          <w:tab w:val="left" w:pos="1134" w:leader="none"/>
        </w:tabs>
        <w:ind w:left="0" w:firstLine="709"/>
        <w:jc w:val="both"/>
        <w:rPr>
          <w:bCs/>
        </w:rPr>
      </w:pPr>
      <w:r>
        <w:rPr>
          <w:bCs/>
        </w:rPr>
        <w:t>Изменение стоимости Работ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ListParagraph"/>
        <w:numPr>
          <w:ilvl w:val="1"/>
          <w:numId w:val="4"/>
        </w:numPr>
        <w:shd w:val="clear" w:color="auto" w:fill="FFFFFF"/>
        <w:tabs>
          <w:tab w:val="clear" w:pos="709"/>
          <w:tab w:val="left" w:pos="1134" w:leader="none"/>
        </w:tabs>
        <w:ind w:left="0" w:firstLine="709"/>
        <w:jc w:val="both"/>
        <w:rPr>
          <w:bCs/>
        </w:rPr>
      </w:pPr>
      <w:bookmarkStart w:id="11" w:name="_Ref361834675"/>
      <w:bookmarkStart w:id="12" w:name="_Ref361858588"/>
      <w:r>
        <w:rPr>
          <w:bCs/>
        </w:rPr>
        <w:t>Оплата по Договору осуществляется Заказчиком в следующем порядке:</w:t>
      </w:r>
      <w:bookmarkEnd w:id="11"/>
      <w:bookmarkEnd w:id="12"/>
      <w:r>
        <w:rPr>
          <w:bCs/>
        </w:rPr>
        <w:t xml:space="preserve"> </w:t>
      </w:r>
    </w:p>
    <w:p>
      <w:pPr>
        <w:pStyle w:val="ListParagraph"/>
        <w:numPr>
          <w:ilvl w:val="2"/>
          <w:numId w:val="4"/>
        </w:numPr>
        <w:shd w:val="clear" w:color="auto" w:fill="FFFFFF"/>
        <w:tabs>
          <w:tab w:val="clear" w:pos="709"/>
          <w:tab w:val="left" w:pos="1418" w:leader="none"/>
        </w:tabs>
        <w:ind w:left="0" w:firstLine="709"/>
        <w:jc w:val="both"/>
        <w:rPr/>
      </w:pPr>
      <w:bookmarkStart w:id="13" w:name="_Ref373242755"/>
      <w:bookmarkStart w:id="14" w:name="_Ref361335057"/>
      <w:bookmarkEnd w:id="13"/>
      <w:bookmarkEnd w:id="14"/>
      <w:r>
        <w:rPr/>
        <w:t>Подрядчик не позднее, чем за 3 (три) рабочих дня до предполагаемой даты выплаты авансового платежа, обязан предоставить Заказчику Банковскую гарантию возврата авансового платежа, соответствующую требованиям, установленным разделом 6 Договора.</w:t>
      </w:r>
    </w:p>
    <w:p>
      <w:pPr>
        <w:pStyle w:val="ListParagraph"/>
        <w:numPr>
          <w:ilvl w:val="2"/>
          <w:numId w:val="4"/>
        </w:numPr>
        <w:shd w:val="clear" w:color="auto" w:fill="FFFFFF"/>
        <w:tabs>
          <w:tab w:val="clear" w:pos="709"/>
          <w:tab w:val="left" w:pos="1418" w:leader="none"/>
        </w:tabs>
        <w:ind w:left="0" w:firstLine="709"/>
        <w:jc w:val="both"/>
        <w:rPr/>
      </w:pPr>
      <w:bookmarkStart w:id="15" w:name="_Ref373242766"/>
      <w:bookmarkStart w:id="16" w:name="_Ref373242755_Копия_1"/>
      <w:bookmarkStart w:id="17" w:name="_Ref361335057_Копия_1"/>
      <w:bookmarkEnd w:id="16"/>
      <w:bookmarkEnd w:id="17"/>
      <w:r>
        <w:rPr/>
        <w:t>Авансовые платежи в счет стоимости каждого Этапа Работ в размере 30 (тридцати) процентов от стоимости соответствующего Этапа Работ без учета НДС, кроме того НДС исчисляется дополнительно по ставке, установленной статьёй 164 Налогового кодекса, РФ, выплачиваются в течение 30 (тридцати) календарных дней с даты получения Заказчиком счета, выставленного Подрядчиком, но не ранее, чем за 30 (тридцать) календарных дней до даты начала Этапа Работ, определенной в соответствии с Календарным графиком выполнения Работ (Приложение № 2 к Договору), при условии согласования Сторонами сметной документации на соответствующий Этап Работ в соответствии с пунктом 3.2 Договора, и с учетом пунктов 3.5.1, 3.5.</w:t>
      </w:r>
      <w:bookmarkEnd w:id="15"/>
      <w:r>
        <w:rPr/>
        <w:t>4 Договора.</w:t>
      </w:r>
    </w:p>
    <w:p>
      <w:pPr>
        <w:pStyle w:val="ListParagraph"/>
        <w:numPr>
          <w:ilvl w:val="2"/>
          <w:numId w:val="4"/>
        </w:numPr>
        <w:shd w:val="clear" w:color="auto" w:fill="FFFFFF"/>
        <w:tabs>
          <w:tab w:val="clear" w:pos="709"/>
          <w:tab w:val="left" w:pos="1418" w:leader="none"/>
        </w:tabs>
        <w:ind w:left="0" w:firstLine="709"/>
        <w:jc w:val="both"/>
        <w:rPr/>
      </w:pPr>
      <w:r>
        <w:rPr/>
        <w:t>Последующие платежи в размере разницы между стоимостью каждого Этапа Работ, определенной с учетом НДС по ставке, установленной статьёй 164 Налогового кодекса РФ на дату подписания Сторонами документов, указанных в пункте 4.1 Договора, и суммой авансового платежа, ранее уплаченного в соответствии с пунктом 3.5.2 Договора, выплачиваются в течение 45 (сорока пяти) календарных дней / 7 (семи) рабочих дней</w:t>
      </w:r>
      <w:r>
        <w:rPr>
          <w:rStyle w:val="FootnoteReference"/>
        </w:rPr>
        <w:footnoteReference w:id="6"/>
      </w:r>
      <w:r>
        <w:rPr/>
        <w:t xml:space="preserve"> с даты подписания Сторонами документов, указанных в пункте 4.1 Договора, на основании счёта, выставленного Подрядчиком, и с учетом пункта 3.5.4 Договора. </w:t>
      </w:r>
    </w:p>
    <w:p>
      <w:pPr>
        <w:pStyle w:val="ListParagraph"/>
        <w:numPr>
          <w:ilvl w:val="2"/>
          <w:numId w:val="4"/>
        </w:numPr>
        <w:shd w:val="clear" w:color="auto" w:fill="FFFFFF"/>
        <w:tabs>
          <w:tab w:val="clear" w:pos="709"/>
          <w:tab w:val="left" w:pos="1418" w:leader="none"/>
        </w:tabs>
        <w:ind w:left="0" w:firstLine="709"/>
        <w:jc w:val="both"/>
        <w:rPr/>
      </w:pPr>
      <w:bookmarkStart w:id="18" w:name="_Ref361834178"/>
      <w:r>
        <w:rPr/>
        <w:t>В случае выставления Подрядчиком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Заказчиком не принимается и подлежит замене Подрядчиком независимо от его фактического вручения Заказчику. В случае выставления Подрядчиком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18"/>
    </w:p>
    <w:p>
      <w:pPr>
        <w:pStyle w:val="ListParagraph"/>
        <w:numPr>
          <w:ilvl w:val="2"/>
          <w:numId w:val="4"/>
        </w:numPr>
        <w:shd w:val="clear" w:color="auto" w:fill="FFFFFF"/>
        <w:tabs>
          <w:tab w:val="clear" w:pos="709"/>
          <w:tab w:val="left" w:pos="1134" w:leader="none"/>
          <w:tab w:val="left" w:pos="1418" w:leader="none"/>
        </w:tabs>
        <w:ind w:left="0" w:firstLine="709"/>
        <w:jc w:val="both"/>
        <w:rPr/>
      </w:pPr>
      <w:r>
        <w:rPr/>
        <w:t xml:space="preserve">Заказчик вправе не выплачивать предварительную оплату (аванс), расторгнуть Договор в одностороннем внесудебном порядке и предъявить требование о возмещении убытков в случае, если Подрядчик не предоставил финансового обеспечения исполнения обязательств, предусмотренного пунктом 3.5.1 Договора, в установленный срок и при этом не приступил к исполнению обязательств по Договору. </w:t>
      </w:r>
    </w:p>
    <w:p>
      <w:pPr>
        <w:pStyle w:val="ListParagraph"/>
        <w:numPr>
          <w:ilvl w:val="1"/>
          <w:numId w:val="4"/>
        </w:numPr>
        <w:shd w:val="clear" w:color="auto" w:fill="FFFFFF"/>
        <w:tabs>
          <w:tab w:val="clear" w:pos="709"/>
          <w:tab w:val="left" w:pos="1134" w:leader="none"/>
        </w:tabs>
        <w:ind w:left="0" w:firstLine="709"/>
        <w:jc w:val="both"/>
        <w:rPr>
          <w:bCs/>
        </w:rPr>
      </w:pPr>
      <w:r>
        <w:rPr>
          <w:bCs/>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Подрядчика,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bookmarkStart w:id="19" w:name="_Ref361336647"/>
      <w:bookmarkEnd w:id="19"/>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За исключением случая, указанного в пункте 2.3.19 Договора, любое превышение фактических объемов Работ над объемами Работ, предусмотренными Договором, к оплате Заказчиком не принимается и считается включенным в Цену Договора. </w:t>
      </w:r>
    </w:p>
    <w:p>
      <w:pPr>
        <w:pStyle w:val="ListParagraph"/>
        <w:numPr>
          <w:ilvl w:val="1"/>
          <w:numId w:val="4"/>
        </w:numPr>
        <w:shd w:val="clear" w:color="auto" w:fill="FFFFFF"/>
        <w:tabs>
          <w:tab w:val="clear" w:pos="709"/>
          <w:tab w:val="left" w:pos="1134" w:leader="none"/>
        </w:tabs>
        <w:ind w:left="0" w:firstLine="709"/>
        <w:jc w:val="both"/>
        <w:rPr>
          <w:bCs/>
        </w:rPr>
      </w:pPr>
      <w:bookmarkStart w:id="20" w:name="_Ref361335023"/>
      <w:r>
        <w:rPr>
          <w:bCs/>
        </w:rPr>
        <w:t>Командировочные расходы включаются в стоимость Этапов Работ в соответствии с расчетом, прилагаемым к Сводной смете с приложениями (Приложение № 3 к Договору). Размеры расходов, связанных со служебными командировками, определяются коллективным договором и / или локальным нормативным актом Подрядчика, но не выше нормативов возмещения расходов, связанных со служебными командировками, установленных локальным нормативным актом Заказчика, который предоставляется Подрядчику по запросу. Оплата командировочных расходов производится Заказчиком в порядке, установленном Договором для оплаты стоимости соответствующих Этапов Работ. Подрядчик обязан представлять по запросу Заказчика копии следующих документов, заверенных Подрядчиком, в том числе: приказ о командировке, проездные билеты, счета на оплату за проживание в гостинице и авансовые отчеты.</w:t>
      </w:r>
      <w:bookmarkEnd w:id="20"/>
      <w:r>
        <w:rPr>
          <w:bCs/>
        </w:rPr>
        <w:t>Индексация Цены Договора не допускается.</w:t>
      </w:r>
    </w:p>
    <w:p>
      <w:pPr>
        <w:pStyle w:val="ListParagraph"/>
        <w:numPr>
          <w:ilvl w:val="1"/>
          <w:numId w:val="4"/>
        </w:numPr>
        <w:shd w:val="clear" w:color="auto" w:fill="FFFFFF"/>
        <w:tabs>
          <w:tab w:val="clear" w:pos="709"/>
          <w:tab w:val="left" w:pos="1134" w:leader="none"/>
        </w:tabs>
        <w:ind w:left="0" w:firstLine="709"/>
        <w:jc w:val="both"/>
        <w:rPr>
          <w:bCs/>
        </w:rPr>
      </w:pPr>
      <w:r>
        <w:rPr>
          <w:bCs/>
        </w:rPr>
        <w:t>Заказчик вправе произвести сальдо взаимных обязательств Сторон путем уменьшения сумм причитающихся Подрядчику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Подрядчика перед Заказчиком,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выполненных Подрядчиком Работ.</w:t>
      </w:r>
    </w:p>
    <w:p>
      <w:pPr>
        <w:pStyle w:val="ListParagraph"/>
        <w:shd w:val="clear" w:color="auto" w:fill="FFFFFF"/>
        <w:tabs>
          <w:tab w:val="clear" w:pos="709"/>
          <w:tab w:val="left" w:pos="1134" w:leader="none"/>
        </w:tabs>
        <w:ind w:left="0" w:firstLine="709"/>
        <w:jc w:val="both"/>
        <w:rPr>
          <w:bCs/>
        </w:rPr>
      </w:pPr>
      <w:bookmarkStart w:id="21" w:name="_Ref361834251"/>
      <w:r>
        <w:rPr>
          <w:bCs/>
        </w:rPr>
        <w:t>Заказчик направляет Подрядчику уведомление о проведении сальдо взаимных обязательств Сторон по Договору.</w:t>
      </w:r>
      <w:bookmarkEnd w:id="21"/>
    </w:p>
    <w:p>
      <w:pPr>
        <w:pStyle w:val="ListParagraph"/>
        <w:shd w:val="clear" w:color="auto" w:fill="FFFFFF"/>
        <w:tabs>
          <w:tab w:val="clear" w:pos="709"/>
          <w:tab w:val="left" w:pos="1134" w:leader="none"/>
        </w:tabs>
        <w:ind w:left="0" w:firstLine="567"/>
        <w:jc w:val="both"/>
        <w:rPr>
          <w:bCs/>
        </w:rPr>
      </w:pPr>
      <w:r>
        <w:rPr>
          <w:bCs/>
        </w:rPr>
      </w:r>
    </w:p>
    <w:p>
      <w:pPr>
        <w:pStyle w:val="ListParagraph"/>
        <w:numPr>
          <w:ilvl w:val="0"/>
          <w:numId w:val="4"/>
        </w:numPr>
        <w:shd w:val="clear" w:color="auto" w:fill="FFFFFF"/>
        <w:tabs>
          <w:tab w:val="clear" w:pos="709"/>
          <w:tab w:val="left" w:pos="284" w:leader="none"/>
        </w:tabs>
        <w:jc w:val="center"/>
        <w:rPr>
          <w:b/>
          <w:bCs/>
        </w:rPr>
      </w:pPr>
      <w:r>
        <w:rPr>
          <w:b/>
          <w:bCs/>
        </w:rPr>
        <w:t>Порядок сдачи-приемки Работ</w:t>
      </w:r>
    </w:p>
    <w:p>
      <w:pPr>
        <w:pStyle w:val="ListParagraph"/>
        <w:numPr>
          <w:ilvl w:val="1"/>
          <w:numId w:val="4"/>
        </w:numPr>
        <w:shd w:val="clear" w:color="auto" w:fill="FFFFFF"/>
        <w:tabs>
          <w:tab w:val="clear" w:pos="709"/>
          <w:tab w:val="left" w:pos="1134" w:leader="none"/>
        </w:tabs>
        <w:ind w:left="0" w:firstLine="709"/>
        <w:jc w:val="both"/>
        <w:rPr>
          <w:bCs/>
        </w:rPr>
      </w:pPr>
      <w:bookmarkStart w:id="22" w:name="_Ref361336754"/>
      <w:bookmarkStart w:id="23" w:name="_Ref361335138"/>
      <w:bookmarkStart w:id="24" w:name="_Ref373242517"/>
      <w:bookmarkEnd w:id="22"/>
      <w:bookmarkEnd w:id="23"/>
      <w:bookmarkEnd w:id="24"/>
      <w:r>
        <w:rPr>
          <w:bCs/>
        </w:rPr>
        <w:t>По завершении выполнения Работ по каждому Этапу Работ, указанному в Календарном графике выполнения Работ (Приложение № 2 к Договору), Подрядчик представляет Заказчику подписанный со своей стороны в 2 (двух) экземплярах Акт сдачи-приемки выполненных работ по форме Приложения № 7 к Договору/УПД с приложением Результата работ по соответствующему Этапу Работ.</w:t>
      </w:r>
    </w:p>
    <w:p>
      <w:pPr>
        <w:pStyle w:val="ListParagraph"/>
        <w:shd w:val="clear" w:color="auto" w:fill="FFFFFF"/>
        <w:tabs>
          <w:tab w:val="clear" w:pos="709"/>
          <w:tab w:val="left" w:pos="0" w:leader="none"/>
        </w:tabs>
        <w:ind w:left="0" w:firstLine="709"/>
        <w:jc w:val="both"/>
        <w:rPr>
          <w:bCs/>
        </w:rPr>
      </w:pPr>
      <w:r>
        <w:rPr>
          <w:bCs/>
        </w:rPr>
        <w:t>Требования к отчетным документам (состав, количество, формат, носитель и т.д.), подлежащим передаче Подрядчиком Заказчику в составе Результата Работ по соответствующему Этапу Работ, устанавливаются Техническим заданием (Приложение № 1 к Договору).</w:t>
      </w:r>
    </w:p>
    <w:p>
      <w:pPr>
        <w:pStyle w:val="ListParagraph"/>
        <w:numPr>
          <w:ilvl w:val="2"/>
          <w:numId w:val="4"/>
        </w:numPr>
        <w:shd w:val="clear" w:color="auto" w:fill="FFFFFF"/>
        <w:tabs>
          <w:tab w:val="clear" w:pos="709"/>
          <w:tab w:val="left" w:pos="1418" w:leader="none"/>
        </w:tabs>
        <w:ind w:left="0" w:firstLine="709"/>
        <w:jc w:val="both"/>
        <w:rPr>
          <w:bCs/>
        </w:rPr>
      </w:pPr>
      <w:bookmarkStart w:id="25" w:name="_Ref361335138_Копия_1"/>
      <w:bookmarkStart w:id="26" w:name="_Ref361336754_Копия_1"/>
      <w:bookmarkStart w:id="27" w:name="_Ref373242517_Копия_1"/>
      <w:bookmarkEnd w:id="25"/>
      <w:bookmarkEnd w:id="26"/>
      <w:bookmarkEnd w:id="27"/>
      <w:r>
        <w:rPr>
          <w:bCs/>
        </w:rPr>
        <w:t>В течение 15 (пятнадцати) рабочих дней с даты получения полного комплекта документов, указанных в пункте 4.1 Договора, Заказчик подписывает и передает Подрядчику 1 (один) экземпляр Акта сдачи-приемки выполненных работ, либо направляет Подрядчику письменный мотивированный отказ от приемки Работ (Этапа Работ) (далее – «Ведомость замечаний»), в котором отражает недостатки и / или несоответствия Результата Работ (Этапа Работ), а также срок на их устранение.</w:t>
      </w:r>
      <w:r>
        <w:rPr/>
        <w:t xml:space="preserve"> </w:t>
      </w:r>
    </w:p>
    <w:p>
      <w:pPr>
        <w:pStyle w:val="ListParagraph"/>
        <w:numPr>
          <w:ilvl w:val="1"/>
          <w:numId w:val="4"/>
        </w:numPr>
        <w:shd w:val="clear" w:color="auto" w:fill="FFFFFF"/>
        <w:tabs>
          <w:tab w:val="clear" w:pos="709"/>
          <w:tab w:val="left" w:pos="568" w:leader="none"/>
          <w:tab w:val="left" w:pos="1134" w:leader="none"/>
        </w:tabs>
        <w:ind w:left="0" w:firstLine="709"/>
        <w:jc w:val="both"/>
        <w:rPr>
          <w:bCs/>
        </w:rPr>
      </w:pPr>
      <w:r>
        <w:rPr>
          <w:bCs/>
        </w:rPr>
        <w:t xml:space="preserve">Устранение указанных недостатков и / или несоответствий, выявленных Заказчиком, осуществляется Подрядчиком своими силами и за свой счет в срок, указанный в Ведомости замечаний. Указание Заказчиком срока новой приемки не влечет переноса установленного Договором срока выполнения Работ (Этапа Работ) и не исключает ответственности Подрядчика за его нарушение. </w:t>
      </w:r>
    </w:p>
    <w:p>
      <w:pPr>
        <w:pStyle w:val="ListParagraph"/>
        <w:numPr>
          <w:ilvl w:val="1"/>
          <w:numId w:val="4"/>
        </w:numPr>
        <w:shd w:val="clear" w:color="auto" w:fill="FFFFFF"/>
        <w:tabs>
          <w:tab w:val="clear" w:pos="709"/>
          <w:tab w:val="left" w:pos="1134" w:leader="none"/>
        </w:tabs>
        <w:ind w:left="0" w:firstLine="709"/>
        <w:jc w:val="both"/>
        <w:rPr>
          <w:bCs/>
        </w:rPr>
      </w:pPr>
      <w:r>
        <w:rPr>
          <w:bCs/>
        </w:rPr>
        <w:t>Повторная приемка Заказчиком выполненных Работ после устранения недостатков, указанных в Ведомости замечаний, осуществляется в порядке, предусмотренном пунктами 4.1, 4.1.1 Договора.</w:t>
      </w:r>
    </w:p>
    <w:p>
      <w:pPr>
        <w:pStyle w:val="ListParagraph"/>
        <w:numPr>
          <w:ilvl w:val="1"/>
          <w:numId w:val="4"/>
        </w:numPr>
        <w:shd w:val="clear" w:color="auto" w:fill="FFFFFF"/>
        <w:tabs>
          <w:tab w:val="clear" w:pos="709"/>
          <w:tab w:val="left" w:pos="1134" w:leader="none"/>
        </w:tabs>
        <w:ind w:left="0" w:firstLine="709"/>
        <w:jc w:val="both"/>
        <w:rPr>
          <w:highlight w:val="lightGray"/>
        </w:rPr>
      </w:pPr>
      <w:r>
        <w:rPr>
          <w:bCs/>
        </w:rPr>
        <w:t xml:space="preserve">Если Подрядчик не устранит недостатки и / или несоответствия Результата Работ (Этапа Работ) в срок, установленный Заказчиком в соответствии с пунктом 4.1.1. Договора, Заказчик вправе собственными силами и (или) силами третьих лиц выполнить работы по устранению недостатков, выявленных в ходе приемки результатов Работ, с отнесением на Подрядчика соответствующих расходов. Подрядчик обязан возместить указанные расходы в течение 10 (десяти) рабочих дней с даты получения соответствующего письменного требования Заказчика. </w:t>
      </w:r>
    </w:p>
    <w:p>
      <w:pPr>
        <w:pStyle w:val="ListParagraph"/>
        <w:numPr>
          <w:ilvl w:val="1"/>
          <w:numId w:val="4"/>
        </w:numPr>
        <w:shd w:val="clear" w:color="auto" w:fill="FFFFFF"/>
        <w:tabs>
          <w:tab w:val="clear" w:pos="709"/>
          <w:tab w:val="left" w:pos="1134" w:leader="none"/>
        </w:tabs>
        <w:ind w:left="0" w:firstLine="709"/>
        <w:jc w:val="both"/>
        <w:rPr>
          <w:bCs/>
        </w:rPr>
      </w:pPr>
      <w:r>
        <w:rPr>
          <w:bCs/>
        </w:rPr>
        <w:t>Досрочное исполнение Подрядчиком обязательств по Договору возможно только при условии предварительного письменного согласия Заказчика.</w:t>
      </w:r>
    </w:p>
    <w:p>
      <w:pPr>
        <w:pStyle w:val="ListParagraph"/>
        <w:numPr>
          <w:ilvl w:val="1"/>
          <w:numId w:val="4"/>
        </w:numPr>
        <w:shd w:val="clear" w:color="auto" w:fill="FFFFFF"/>
        <w:tabs>
          <w:tab w:val="clear" w:pos="709"/>
          <w:tab w:val="left" w:pos="1134" w:leader="none"/>
        </w:tabs>
        <w:ind w:left="0" w:firstLine="709"/>
        <w:jc w:val="both"/>
        <w:rPr>
          <w:bCs/>
        </w:rPr>
      </w:pPr>
      <w:bookmarkStart w:id="28" w:name="_Ref361337635"/>
      <w:r>
        <w:rPr>
          <w:bCs/>
        </w:rPr>
        <w:t>Подрядчик обязан представить Заказчику счета-фактуры/УПД, выставленные в сроки и оформленные в порядке, установленном законодательством Российской Федерации. В случае нарушения Подрядчиком указанной обязанности он обязан произвести замену счета-фактуры/УПД в течение 3 (трех) рабочих дней с даты получения соответствующего письменного требования Заказчика. В случае непредставления Подрядчиком в течение 5 (пяти) календарных дней с даты получения авансового платежа счета-фактуры, подтверждающего право Заказчика на вычет НДС, уплаченного дополнительно к такому авансу, Подрядчик обязан в тот же срок возвратить Заказчику разницу между суммой, фактически перечисленной Заказчиком, и суммой соответствующего авансового платежа без учета НДС.</w:t>
      </w:r>
      <w:bookmarkEnd w:id="28"/>
    </w:p>
    <w:p>
      <w:pPr>
        <w:pStyle w:val="ListParagraph"/>
        <w:shd w:val="clear" w:color="auto" w:fill="FFFFFF"/>
        <w:tabs>
          <w:tab w:val="clear" w:pos="709"/>
          <w:tab w:val="left" w:pos="1134" w:leader="none"/>
        </w:tabs>
        <w:ind w:left="567" w:hanging="0"/>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Право собственности и переход рисков</w:t>
      </w:r>
    </w:p>
    <w:p>
      <w:pPr>
        <w:pStyle w:val="ListParagraph"/>
        <w:numPr>
          <w:ilvl w:val="1"/>
          <w:numId w:val="4"/>
        </w:numPr>
        <w:shd w:val="clear" w:color="auto" w:fill="FFFFFF"/>
        <w:tabs>
          <w:tab w:val="clear" w:pos="709"/>
          <w:tab w:val="left" w:pos="1134" w:leader="none"/>
        </w:tabs>
        <w:ind w:left="0" w:firstLine="709"/>
        <w:jc w:val="both"/>
        <w:rPr>
          <w:bCs/>
        </w:rPr>
      </w:pPr>
      <w:bookmarkStart w:id="29" w:name="_Ref361405028"/>
      <w:r>
        <w:rPr>
          <w:bCs/>
        </w:rPr>
        <w:t>Право собственности, риск случайной гибели или повреждения Результата Работ переходит к Заказчику с момента подписания Сторонами Акта сдачи-приемки выполненных работ по форме Приложения № 7 к Договору/УПД по соответствующему Этапу Работ.</w:t>
      </w:r>
      <w:bookmarkEnd w:id="29"/>
    </w:p>
    <w:p>
      <w:pPr>
        <w:pStyle w:val="ListParagraph"/>
        <w:shd w:val="clear" w:color="auto" w:fill="FFFFFF"/>
        <w:tabs>
          <w:tab w:val="clear" w:pos="709"/>
          <w:tab w:val="left" w:pos="0" w:leader="none"/>
          <w:tab w:val="left" w:pos="1134" w:leader="none"/>
        </w:tabs>
        <w:ind w:left="0" w:firstLine="709"/>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Банковские гарантии</w:t>
      </w:r>
    </w:p>
    <w:p>
      <w:pPr>
        <w:pStyle w:val="ListParagraph"/>
        <w:numPr>
          <w:ilvl w:val="1"/>
          <w:numId w:val="4"/>
        </w:numPr>
        <w:shd w:val="clear" w:color="auto" w:fill="FFFFFF"/>
        <w:tabs>
          <w:tab w:val="clear" w:pos="709"/>
          <w:tab w:val="left" w:pos="1134" w:leader="none"/>
        </w:tabs>
        <w:ind w:left="0" w:firstLine="709"/>
        <w:jc w:val="both"/>
        <w:rPr>
          <w:bCs/>
        </w:rPr>
      </w:pPr>
      <w:r>
        <w:rPr>
          <w:bCs/>
        </w:rPr>
        <w:t>Банковская гарантия, предоставляемая Подрядчиком Заказчику по Договору, должна соответствовать следующим требованиям:</w:t>
      </w:r>
    </w:p>
    <w:p>
      <w:pPr>
        <w:pStyle w:val="ListParagraph"/>
        <w:numPr>
          <w:ilvl w:val="2"/>
          <w:numId w:val="4"/>
        </w:numPr>
        <w:shd w:val="clear" w:color="auto" w:fill="FFFFFF"/>
        <w:tabs>
          <w:tab w:val="clear" w:pos="709"/>
          <w:tab w:val="left" w:pos="1418" w:leader="none"/>
        </w:tabs>
        <w:ind w:left="0" w:firstLine="709"/>
        <w:jc w:val="both"/>
        <w:rPr>
          <w:bCs/>
        </w:rPr>
      </w:pPr>
      <w:r>
        <w:rPr>
          <w:bCs/>
        </w:rPr>
        <w:t>Банковская гарантия должна быть безотзывной и безусловной (гарантия по первому требованию);</w:t>
      </w:r>
    </w:p>
    <w:p>
      <w:pPr>
        <w:pStyle w:val="ListParagraph"/>
        <w:numPr>
          <w:ilvl w:val="2"/>
          <w:numId w:val="4"/>
        </w:numPr>
        <w:shd w:val="clear" w:color="auto" w:fill="FFFFFF"/>
        <w:tabs>
          <w:tab w:val="clear" w:pos="709"/>
          <w:tab w:val="left" w:pos="1418" w:leader="none"/>
        </w:tabs>
        <w:ind w:left="0" w:firstLine="709"/>
        <w:jc w:val="both"/>
        <w:rPr>
          <w:bCs/>
        </w:rPr>
      </w:pPr>
      <w:r>
        <w:rPr>
          <w:bCs/>
        </w:rPr>
        <w:t>Бенефициар по Банковской гарантии – Заказчик, принципал – Подрядчик;</w:t>
      </w:r>
    </w:p>
    <w:p>
      <w:pPr>
        <w:pStyle w:val="ListParagraph"/>
        <w:numPr>
          <w:ilvl w:val="2"/>
          <w:numId w:val="4"/>
        </w:numPr>
        <w:shd w:val="clear" w:color="auto" w:fill="FFFFFF"/>
        <w:tabs>
          <w:tab w:val="clear" w:pos="709"/>
          <w:tab w:val="left" w:pos="1418" w:leader="none"/>
        </w:tabs>
        <w:ind w:left="0" w:firstLine="709"/>
        <w:jc w:val="both"/>
        <w:rPr>
          <w:bCs/>
        </w:rPr>
      </w:pPr>
      <w:r>
        <w:rPr>
          <w:bCs/>
        </w:rPr>
        <w:t>Сумма Банковской гарантии должна быть выражена в валюте расчетов по Договору;</w:t>
      </w:r>
    </w:p>
    <w:p>
      <w:pPr>
        <w:pStyle w:val="ListParagraph"/>
        <w:numPr>
          <w:ilvl w:val="2"/>
          <w:numId w:val="4"/>
        </w:numPr>
        <w:shd w:val="clear" w:color="auto" w:fill="FFFFFF"/>
        <w:tabs>
          <w:tab w:val="clear" w:pos="709"/>
          <w:tab w:val="left" w:pos="1418" w:leader="none"/>
        </w:tabs>
        <w:ind w:left="0" w:firstLine="709"/>
        <w:jc w:val="both"/>
        <w:rPr>
          <w:bCs/>
        </w:rPr>
      </w:pPr>
      <w:r>
        <w:rPr>
          <w:bCs/>
        </w:rPr>
        <w:t xml:space="preserve">Сумма Банковской гарантии возврата авансового платежа – не менее 100 (ста) процентов от размера уплачиваемой по Договору предварительной оплаты (аванса) в совокупной сумме с учётом ранее выплаченных Подрядчику и неотработанных авансовых платежей; </w:t>
      </w:r>
    </w:p>
    <w:p>
      <w:pPr>
        <w:pStyle w:val="ListParagraph"/>
        <w:numPr>
          <w:ilvl w:val="2"/>
          <w:numId w:val="4"/>
        </w:numPr>
        <w:shd w:val="clear" w:color="auto" w:fill="FFFFFF"/>
        <w:tabs>
          <w:tab w:val="clear" w:pos="709"/>
          <w:tab w:val="left" w:pos="1418" w:leader="none"/>
        </w:tabs>
        <w:ind w:left="0" w:firstLine="709"/>
        <w:jc w:val="both"/>
        <w:rPr>
          <w:bCs/>
        </w:rPr>
      </w:pPr>
      <w:r>
        <w:rPr>
          <w:bCs/>
        </w:rPr>
        <w:t>Банковская гарантия должна предусматривать, что для истребования суммы обеспечения Заказчик направляет Банку-Гаранту только письменное требование о предъявлении суммы обеспечения к оплате</w:t>
      </w:r>
      <w:r>
        <w:rPr/>
        <w:t xml:space="preserve"> </w:t>
      </w:r>
      <w:r>
        <w:rPr>
          <w:bCs/>
        </w:rPr>
        <w:t>как полностью, так и частично, с указанием на существо допущенных Подрядчиком нарушений, в том числе в случаях:</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отказа Подрядчика от исполнения обязательств по Договору, в том числе одностороннего отказа от Договора;</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отказа Подрядчика от возврата неотработанного аванса при досрочном прекращении Договора / признании Договора недействительным;</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нарушения Подрядчиком сроков</w:t>
      </w:r>
      <w:r>
        <w:rPr>
          <w:sz w:val="24"/>
          <w:szCs w:val="24"/>
        </w:rPr>
        <w:t xml:space="preserve"> </w:t>
      </w:r>
      <w:r>
        <w:rPr>
          <w:bCs/>
          <w:sz w:val="24"/>
          <w:szCs w:val="24"/>
        </w:rPr>
        <w:t>выполнения Работ, установленных Календарным графиком выполнения Работ (Приложение № 2 к Договору) более, чем на 60 (шестьдесят) календарных дней;</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утраты Подрядчиком специальных разрешений (в том числе отзыв, прекращение (приостановление) действия допусков, разрешений и / или лицензий, предоставляющих Подрядчику возможность надлежащего исполнения обязательств по Договору;</w:t>
      </w:r>
    </w:p>
    <w:p>
      <w:pPr>
        <w:pStyle w:val="Normal"/>
        <w:numPr>
          <w:ilvl w:val="0"/>
          <w:numId w:val="6"/>
        </w:numPr>
        <w:tabs>
          <w:tab w:val="clear" w:pos="709"/>
          <w:tab w:val="left" w:pos="1418" w:leader="none"/>
        </w:tabs>
        <w:spacing w:lineRule="auto" w:line="240"/>
        <w:ind w:left="0" w:firstLine="709"/>
        <w:rPr>
          <w:bCs/>
          <w:sz w:val="24"/>
          <w:szCs w:val="24"/>
        </w:rPr>
      </w:pPr>
      <w:r>
        <w:rPr>
          <w:sz w:val="24"/>
          <w:szCs w:val="24"/>
        </w:rPr>
        <w:t>прекращения членства в СРО, основанной на членстве лиц, осуществляющих / выполняющих инженерные изыскания / подготовку проектной документации</w:t>
      </w:r>
      <w:r>
        <w:rPr>
          <w:rStyle w:val="FootnoteReference"/>
          <w:sz w:val="24"/>
          <w:szCs w:val="24"/>
        </w:rPr>
        <w:footnoteReference w:id="7"/>
      </w:r>
      <w:r>
        <w:rPr>
          <w:bCs/>
          <w:sz w:val="24"/>
          <w:szCs w:val="24"/>
        </w:rPr>
        <w:t>;</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r>
      <w:r>
        <w:rPr>
          <w:bCs/>
          <w:sz w:val="24"/>
          <w:szCs w:val="24"/>
        </w:rPr>
        <w:t>в отношении Подрядчика;</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не предоставления Подрядчиком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гарантии в части увеличения срока ее действия на новый период, в случаях если срок исполнения обязательств Подрядчиком по Договору превышает срок действия Банковской гарантии либо срок исполнения обязательств продлен;</w:t>
      </w:r>
    </w:p>
    <w:p>
      <w:pPr>
        <w:pStyle w:val="Normal"/>
        <w:numPr>
          <w:ilvl w:val="0"/>
          <w:numId w:val="6"/>
        </w:numPr>
        <w:tabs>
          <w:tab w:val="clear" w:pos="709"/>
          <w:tab w:val="left" w:pos="1418" w:leader="none"/>
        </w:tabs>
        <w:spacing w:lineRule="auto" w:line="240"/>
        <w:ind w:left="0" w:firstLine="709"/>
        <w:rPr>
          <w:bCs/>
          <w:sz w:val="24"/>
          <w:szCs w:val="24"/>
        </w:rPr>
      </w:pPr>
      <w:r>
        <w:rPr>
          <w:color w:val="000000"/>
          <w:sz w:val="24"/>
          <w:szCs w:val="24"/>
        </w:rPr>
        <w:t>признания Договора недействительным по причинам отсутствия необходимых</w:t>
      </w:r>
      <w:r>
        <w:rPr>
          <w:sz w:val="24"/>
          <w:szCs w:val="24"/>
        </w:rPr>
        <w:t xml:space="preserve"> корпоративных одобрений у Подрядчика;</w:t>
      </w:r>
    </w:p>
    <w:p>
      <w:pPr>
        <w:pStyle w:val="Normal"/>
        <w:numPr>
          <w:ilvl w:val="0"/>
          <w:numId w:val="6"/>
        </w:numPr>
        <w:tabs>
          <w:tab w:val="clear" w:pos="709"/>
          <w:tab w:val="left" w:pos="1418" w:leader="none"/>
        </w:tabs>
        <w:spacing w:lineRule="auto" w:line="240"/>
        <w:ind w:left="0" w:firstLine="709"/>
        <w:rPr>
          <w:bCs/>
          <w:sz w:val="24"/>
          <w:szCs w:val="24"/>
        </w:rPr>
      </w:pPr>
      <w:r>
        <w:rPr>
          <w:bCs/>
          <w:sz w:val="24"/>
          <w:szCs w:val="24"/>
        </w:rPr>
        <w:t>установления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pPr>
        <w:pStyle w:val="ListParagraph"/>
        <w:ind w:left="0" w:firstLine="709"/>
        <w:jc w:val="both"/>
        <w:rPr>
          <w:bCs/>
        </w:rPr>
      </w:pPr>
      <w:r>
        <w:rPr/>
        <w:t>Вместе с требованием о предъявлении суммы обеспечения к оплате Заказчик направляет Банку-Гаранту копию Банковской гарантии</w:t>
      </w:r>
      <w:r>
        <w:rPr>
          <w:bCs/>
        </w:rPr>
        <w:t>.</w:t>
      </w:r>
    </w:p>
    <w:p>
      <w:pPr>
        <w:pStyle w:val="ListParagraph"/>
        <w:shd w:val="clear" w:color="auto" w:fill="FFFFFF"/>
        <w:tabs>
          <w:tab w:val="clear" w:pos="709"/>
          <w:tab w:val="left" w:pos="1418" w:leader="none"/>
        </w:tabs>
        <w:ind w:left="0" w:firstLine="709"/>
        <w:jc w:val="both"/>
        <w:rPr>
          <w:bCs/>
        </w:rPr>
      </w:pPr>
      <w:r>
        <w:rPr>
          <w:bCs/>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Заказчика, подтверждающего факт осуществления Заказчиком авансового платежа, с отметкой банка об исполнении.</w:t>
      </w:r>
    </w:p>
    <w:p>
      <w:pPr>
        <w:pStyle w:val="ListParagraph"/>
        <w:shd w:val="clear" w:color="auto" w:fill="FFFFFF"/>
        <w:tabs>
          <w:tab w:val="clear" w:pos="709"/>
          <w:tab w:val="left" w:pos="1418" w:leader="none"/>
        </w:tabs>
        <w:ind w:left="0" w:firstLine="709"/>
        <w:jc w:val="both"/>
        <w:rPr>
          <w:bCs/>
        </w:rPr>
      </w:pPr>
      <w:r>
        <w:rPr>
          <w:bCs/>
          <w:color w:val="000000"/>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ind w:firstLine="709"/>
        <w:rPr>
          <w:bCs/>
          <w:sz w:val="24"/>
          <w:szCs w:val="24"/>
          <w:shd w:fill="FFFF00" w:val="clear"/>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Заказчика.</w:t>
      </w:r>
    </w:p>
    <w:p>
      <w:pPr>
        <w:pStyle w:val="ListParagraph"/>
        <w:numPr>
          <w:ilvl w:val="2"/>
          <w:numId w:val="4"/>
        </w:numPr>
        <w:shd w:val="clear" w:color="auto" w:fill="FFFFFF"/>
        <w:tabs>
          <w:tab w:val="clear" w:pos="709"/>
          <w:tab w:val="left" w:pos="1418" w:leader="none"/>
        </w:tabs>
        <w:ind w:left="0" w:firstLine="709"/>
        <w:jc w:val="both"/>
        <w:rPr>
          <w:bCs/>
        </w:rPr>
      </w:pPr>
      <w:r>
        <w:rPr>
          <w:bCs/>
        </w:rPr>
        <w:t>Срок окончания Банковской гарантии – не ранее 70 (семидесяти) календарных дней после наступления даты завершения Работ по Этапу Работ, установленной Договором.</w:t>
      </w:r>
    </w:p>
    <w:p>
      <w:pPr>
        <w:pStyle w:val="ListParagraph"/>
        <w:numPr>
          <w:ilvl w:val="2"/>
          <w:numId w:val="4"/>
        </w:numPr>
        <w:shd w:val="clear" w:color="auto" w:fill="FFFFFF"/>
        <w:tabs>
          <w:tab w:val="clear" w:pos="709"/>
          <w:tab w:val="left" w:pos="1418" w:leader="none"/>
        </w:tabs>
        <w:ind w:left="0" w:firstLine="709"/>
        <w:jc w:val="both"/>
        <w:rPr>
          <w:bCs/>
        </w:rPr>
      </w:pPr>
      <w:r>
        <w:rPr>
          <w:bCs/>
        </w:rPr>
        <w:t>Внесение изменений и дополнений в Договор в период срока действия Банковской гарантии не освобождает Банк-Гарант от обязательств перед Заказчиком по Банковской гарантии.</w:t>
      </w:r>
    </w:p>
    <w:p>
      <w:pPr>
        <w:pStyle w:val="ListParagraph"/>
        <w:numPr>
          <w:ilvl w:val="2"/>
          <w:numId w:val="4"/>
        </w:numPr>
        <w:shd w:val="clear" w:color="auto" w:fill="FFFFFF"/>
        <w:tabs>
          <w:tab w:val="clear" w:pos="709"/>
          <w:tab w:val="left" w:pos="1418" w:leader="none"/>
        </w:tabs>
        <w:ind w:left="0" w:firstLine="709"/>
        <w:jc w:val="both"/>
        <w:rPr>
          <w:bCs/>
        </w:rPr>
      </w:pPr>
      <w:r>
        <w:rPr>
          <w:bCs/>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numPr>
          <w:ilvl w:val="2"/>
          <w:numId w:val="4"/>
        </w:numPr>
        <w:shd w:val="clear" w:color="auto" w:fill="FFFFFF"/>
        <w:tabs>
          <w:tab w:val="clear" w:pos="709"/>
          <w:tab w:val="left" w:pos="1418" w:leader="none"/>
        </w:tabs>
        <w:ind w:left="0" w:firstLine="709"/>
        <w:jc w:val="both"/>
        <w:rPr>
          <w:bCs/>
        </w:rPr>
      </w:pPr>
      <w:r>
        <w:rPr>
          <w:bCs/>
        </w:rPr>
        <w:t>Банковская гарантия не должна содержать условий или требований, противоречащих требованиям, указанным в пункте 6.1 Договора, или делающих такие требования неисполнимыми.</w:t>
      </w:r>
    </w:p>
    <w:p>
      <w:pPr>
        <w:pStyle w:val="ListParagraph"/>
        <w:numPr>
          <w:ilvl w:val="2"/>
          <w:numId w:val="4"/>
        </w:numPr>
        <w:shd w:val="clear" w:color="auto" w:fill="FFFFFF"/>
        <w:tabs>
          <w:tab w:val="clear" w:pos="709"/>
          <w:tab w:val="left" w:pos="1418" w:leader="none"/>
        </w:tabs>
        <w:ind w:left="0" w:firstLine="709"/>
        <w:jc w:val="both"/>
        <w:rPr>
          <w:bCs/>
        </w:rPr>
      </w:pPr>
      <w:r>
        <w:rPr/>
        <w:t xml:space="preserve">Банковские гарантии, предусмотренные настоящим разделом Договора, предоставляются (по выбору Заказчика): </w:t>
      </w:r>
    </w:p>
    <w:p>
      <w:pPr>
        <w:pStyle w:val="ListParagraph"/>
        <w:shd w:val="clear" w:color="auto" w:fill="FFFFFF"/>
        <w:tabs>
          <w:tab w:val="clear" w:pos="709"/>
          <w:tab w:val="left" w:pos="1418" w:leader="none"/>
        </w:tabs>
        <w:ind w:left="0" w:firstLine="709"/>
        <w:jc w:val="both"/>
        <w:rPr>
          <w:bCs/>
        </w:rPr>
      </w:pPr>
      <w:r>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shd w:val="clear" w:color="auto" w:fill="FFFFFF"/>
        <w:tabs>
          <w:tab w:val="clear" w:pos="709"/>
          <w:tab w:val="left" w:pos="1418" w:leader="none"/>
        </w:tabs>
        <w:ind w:left="0" w:firstLine="709"/>
        <w:jc w:val="both"/>
        <w:rPr>
          <w:bCs/>
        </w:rPr>
      </w:pPr>
      <w:r>
        <w:rPr/>
        <w:t>- в оригинале на бумажном носителе.</w:t>
      </w:r>
    </w:p>
    <w:p>
      <w:pPr>
        <w:pStyle w:val="Normal"/>
        <w:numPr>
          <w:ilvl w:val="1"/>
          <w:numId w:val="4"/>
        </w:numPr>
        <w:tabs>
          <w:tab w:val="clear" w:pos="709"/>
          <w:tab w:val="left" w:pos="1134" w:leader="none"/>
        </w:tabs>
        <w:spacing w:lineRule="auto" w:line="240"/>
        <w:ind w:left="0" w:firstLine="709"/>
        <w:rPr>
          <w:bCs/>
          <w:sz w:val="24"/>
          <w:szCs w:val="24"/>
        </w:rPr>
      </w:pPr>
      <w:r>
        <w:rPr>
          <w:bCs/>
          <w:sz w:val="24"/>
          <w:szCs w:val="24"/>
        </w:rPr>
        <w:t>Банк, выдавший Банковскую гарантию, должен соответствовать критериям, указанным в Приложении № 9 к Договору.</w:t>
      </w:r>
    </w:p>
    <w:p>
      <w:pPr>
        <w:pStyle w:val="ListParagraph"/>
        <w:numPr>
          <w:ilvl w:val="1"/>
          <w:numId w:val="4"/>
        </w:numPr>
        <w:shd w:val="clear" w:color="auto" w:fill="FFFFFF"/>
        <w:tabs>
          <w:tab w:val="clear" w:pos="709"/>
          <w:tab w:val="left" w:pos="1134" w:leader="none"/>
        </w:tabs>
        <w:ind w:left="0" w:firstLine="709"/>
        <w:jc w:val="both"/>
        <w:rPr>
          <w:bCs/>
        </w:rPr>
      </w:pPr>
      <w:r>
        <w:rPr>
          <w:bCs/>
        </w:rPr>
        <w:t>Банковская гарантия возвращается Банку-Гаранту или Подрядчику после прекращения ее действия в течение 10 (десяти) рабочих дней с даты получения Заказчиком соответствующего письменного уведомления.</w:t>
      </w:r>
    </w:p>
    <w:p>
      <w:pPr>
        <w:pStyle w:val="ListParagraph"/>
        <w:numPr>
          <w:ilvl w:val="1"/>
          <w:numId w:val="4"/>
        </w:numPr>
        <w:shd w:val="clear" w:color="auto" w:fill="FFFFFF"/>
        <w:tabs>
          <w:tab w:val="clear" w:pos="709"/>
          <w:tab w:val="left" w:pos="1134" w:leader="none"/>
        </w:tabs>
        <w:ind w:left="0" w:firstLine="709"/>
        <w:jc w:val="both"/>
        <w:rPr>
          <w:bCs/>
        </w:rPr>
      </w:pPr>
      <w:r>
        <w:rPr>
          <w:bCs/>
        </w:rPr>
        <w:t>Сумма Банковской гарантии возврата авансового платежа по согласованию с Заказчиком может быть уменьшена пропорционально сумме выполненных Подрядчиком обязательств по Договору (соответствующего Этапа Работ) при условии подтверждения их выполнения.</w:t>
      </w:r>
    </w:p>
    <w:p>
      <w:pPr>
        <w:pStyle w:val="ListParagraph"/>
        <w:numPr>
          <w:ilvl w:val="1"/>
          <w:numId w:val="4"/>
        </w:numPr>
        <w:shd w:val="clear" w:color="auto" w:fill="FFFFFF"/>
        <w:tabs>
          <w:tab w:val="clear" w:pos="709"/>
          <w:tab w:val="left" w:pos="1134" w:leader="none"/>
        </w:tabs>
        <w:ind w:left="0" w:firstLine="709"/>
        <w:jc w:val="both"/>
        <w:rPr>
          <w:bCs/>
        </w:rPr>
      </w:pPr>
      <w:r>
        <w:rPr>
          <w:bCs/>
        </w:rPr>
        <w:t>В случае увеличения Цены Договора или продления срока выполнения Подрядчиком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numPr>
          <w:ilvl w:val="1"/>
          <w:numId w:val="4"/>
        </w:numPr>
        <w:shd w:val="clear" w:color="auto" w:fill="FFFFFF"/>
        <w:tabs>
          <w:tab w:val="clear" w:pos="709"/>
          <w:tab w:val="left" w:pos="1134" w:leader="none"/>
        </w:tabs>
        <w:ind w:left="0" w:firstLine="709"/>
        <w:jc w:val="both"/>
        <w:rPr>
          <w:bCs/>
        </w:rPr>
      </w:pPr>
      <w:r>
        <w:rPr>
          <w:bCs/>
        </w:rPr>
        <w:t>В случаях</w:t>
      </w:r>
      <w:r>
        <w:rPr>
          <w:bCs/>
          <w:lang w:val="en-US"/>
        </w:rPr>
        <w:t>:</w:t>
      </w:r>
      <w:r>
        <w:rPr>
          <w:bCs/>
        </w:rPr>
        <w:t xml:space="preserve"> </w:t>
      </w:r>
    </w:p>
    <w:p>
      <w:pPr>
        <w:pStyle w:val="ListParagraph"/>
        <w:numPr>
          <w:ilvl w:val="1"/>
          <w:numId w:val="14"/>
        </w:numPr>
        <w:shd w:val="clear" w:color="auto" w:fill="FFFFFF"/>
        <w:tabs>
          <w:tab w:val="clear" w:pos="709"/>
          <w:tab w:val="left" w:pos="1134" w:leader="none"/>
        </w:tabs>
        <w:ind w:left="0" w:firstLine="709"/>
        <w:jc w:val="both"/>
        <w:rPr>
          <w:bCs/>
        </w:rPr>
      </w:pPr>
      <w:r>
        <w:rPr>
          <w:bCs/>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numPr>
          <w:ilvl w:val="1"/>
          <w:numId w:val="14"/>
        </w:numPr>
        <w:shd w:val="clear" w:color="auto" w:fill="FFFFFF"/>
        <w:tabs>
          <w:tab w:val="clear" w:pos="709"/>
          <w:tab w:val="left" w:pos="1134" w:leader="none"/>
        </w:tabs>
        <w:ind w:left="0" w:firstLine="709"/>
        <w:jc w:val="both"/>
        <w:rPr>
          <w:bCs/>
        </w:rPr>
      </w:pPr>
      <w:r>
        <w:rPr>
          <w:bCs/>
        </w:rPr>
        <w:t xml:space="preserve">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 </w:t>
      </w:r>
    </w:p>
    <w:p>
      <w:pPr>
        <w:pStyle w:val="ListParagraph"/>
        <w:shd w:val="clear" w:color="auto" w:fill="FFFFFF"/>
        <w:tabs>
          <w:tab w:val="clear" w:pos="709"/>
          <w:tab w:val="left" w:pos="1134" w:leader="none"/>
        </w:tabs>
        <w:ind w:left="0" w:firstLine="709"/>
        <w:jc w:val="both"/>
        <w:rPr>
          <w:bCs/>
        </w:rPr>
      </w:pPr>
      <w:r>
        <w:rPr>
          <w:bCs/>
        </w:rPr>
        <w:t>Подрядчик обязан предоставить Заказчику новую Банковскую гарантию</w:t>
      </w:r>
      <w:r>
        <w:rPr/>
        <w:t xml:space="preserve"> </w:t>
      </w:r>
      <w:r>
        <w:rPr>
          <w:bCs/>
        </w:rPr>
        <w:t>Банка-Гаранта, согласованного с Заказчиком, соответствующую требованиям, установленным Договором, не позднее 10 (десяти) календарных дней с момента, когда ему стало известно либо должно было стать известно об указанных обстоятельствах, либо с момента обращения Заказчика с требованием о замене Банковской гарантии.</w:t>
      </w:r>
    </w:p>
    <w:p>
      <w:pPr>
        <w:pStyle w:val="ListParagraph"/>
        <w:shd w:val="clear" w:color="auto" w:fill="FFFFFF"/>
        <w:ind w:left="0" w:firstLine="709"/>
        <w:jc w:val="both"/>
        <w:rPr>
          <w:bCs/>
        </w:rPr>
      </w:pPr>
      <w:r>
        <w:rPr>
          <w:bCs/>
        </w:rPr>
        <w:t>В случае непредставления Подрядчиком в установленный срок новой Банковской гарантии Заказчик вправе удерживать сумму неотработанного аванса</w:t>
      </w:r>
      <w:r>
        <w:rPr>
          <w:rStyle w:val="FootnoteReference"/>
          <w:bCs/>
        </w:rPr>
        <w:footnoteReference w:id="8"/>
      </w:r>
      <w:r>
        <w:rPr>
          <w:bCs/>
        </w:rPr>
        <w:t xml:space="preserve"> при выплате каждого платежа, причитающегося Подрядчику, до полного зачета неотработанного аванса</w:t>
      </w:r>
      <w:r>
        <w:rPr/>
        <w:t>.</w:t>
      </w:r>
    </w:p>
    <w:p>
      <w:pPr>
        <w:pStyle w:val="ListParagraph"/>
        <w:numPr>
          <w:ilvl w:val="1"/>
          <w:numId w:val="4"/>
        </w:numPr>
        <w:shd w:val="clear" w:color="auto" w:fill="FFFFFF"/>
        <w:tabs>
          <w:tab w:val="clear" w:pos="709"/>
          <w:tab w:val="left" w:pos="1134" w:leader="none"/>
        </w:tabs>
        <w:ind w:left="0" w:firstLine="709"/>
        <w:jc w:val="both"/>
        <w:rPr>
          <w:bCs/>
        </w:rPr>
      </w:pPr>
      <w:r>
        <w:rPr>
          <w:bCs/>
        </w:rPr>
        <w:t>Во всех случаях, предусмотренных Договором, Подрядчик вправе представить Заказчику вместо новой Банковской гарантии изменения к ранее выданной Банковской гарантии, приводящие ее в соответствие с требованиями Договора. Любое изменение, внесенное Банком-Гарантом в условия Банковской гарантии, должно быть письменно согласовано с Заказчиком.</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Положения пункта 3.5.1 Договора применяются, если совокупный размер авансовых платежей, уплаченных и подлежащих уплате по Договору в соответствии </w:t>
        <w:br/>
        <w:t>с выставленными счетами Подрядчика составляет 5 000 000 (Пять миллионов) рублей и более без учета НДС.</w:t>
      </w:r>
    </w:p>
    <w:p>
      <w:pPr>
        <w:pStyle w:val="ListParagraph"/>
        <w:numPr>
          <w:ilvl w:val="1"/>
          <w:numId w:val="4"/>
        </w:numPr>
        <w:shd w:val="clear" w:color="auto" w:fill="FFFFFF"/>
        <w:tabs>
          <w:tab w:val="clear" w:pos="709"/>
          <w:tab w:val="left" w:pos="1134" w:leader="none"/>
        </w:tabs>
        <w:ind w:left="0" w:firstLine="709"/>
        <w:jc w:val="both"/>
        <w:rPr>
          <w:bCs/>
        </w:rPr>
      </w:pPr>
      <w:r>
        <w:rPr>
          <w:highlight w:val="lightGray"/>
        </w:rPr>
        <w:t>Стороны вправе изменить способы и порядок обеспечения обязательств по Договору, указанные в настоящем разделе, путем подписания дополнительного соглашения к Договору</w:t>
      </w:r>
      <w:r>
        <w:rPr>
          <w:rStyle w:val="FootnoteReference"/>
          <w:highlight w:val="lightGray"/>
        </w:rPr>
        <w:footnoteReference w:id="9"/>
      </w:r>
      <w:r>
        <w:rPr>
          <w:highlight w:val="lightGray"/>
        </w:rPr>
        <w:t>.</w:t>
      </w:r>
    </w:p>
    <w:p>
      <w:pPr>
        <w:pStyle w:val="ListParagraph"/>
        <w:numPr>
          <w:ilvl w:val="1"/>
          <w:numId w:val="4"/>
        </w:numPr>
        <w:shd w:val="clear" w:color="auto" w:fill="FFFFFF"/>
        <w:tabs>
          <w:tab w:val="clear" w:pos="709"/>
          <w:tab w:val="left" w:pos="1134" w:leader="none"/>
        </w:tabs>
        <w:ind w:left="0" w:firstLine="709"/>
        <w:jc w:val="both"/>
        <w:rPr>
          <w:bCs/>
        </w:rPr>
      </w:pPr>
      <w:r>
        <w:rPr/>
        <w:t>Принадлежащее Заказчику по Банковской гарантии право требования к Банку-Гаранту может быть передано новому бенефициару - компании, входящей в Группу РусГидро, с последующим письменным уведомлением Заказчиком Банка-Гаранта о смене бенефициара по Банковской гарантии.</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4"/>
        </w:numPr>
        <w:shd w:val="clear" w:color="auto" w:fill="FFFFFF"/>
        <w:tabs>
          <w:tab w:val="clear" w:pos="709"/>
          <w:tab w:val="left" w:pos="284" w:leader="none"/>
        </w:tabs>
        <w:ind w:left="0" w:hanging="0"/>
        <w:jc w:val="center"/>
        <w:rPr>
          <w:b/>
          <w:bCs/>
        </w:rPr>
      </w:pPr>
      <w:r>
        <w:rPr>
          <w:b/>
          <w:bCs/>
        </w:rPr>
        <w:t>Ответственность Сторон</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4"/>
        </w:numPr>
        <w:tabs>
          <w:tab w:val="clear" w:pos="709"/>
          <w:tab w:val="left" w:pos="1134" w:leader="none"/>
        </w:tabs>
        <w:spacing w:lineRule="auto" w:line="240"/>
        <w:ind w:left="0" w:firstLine="709"/>
        <w:rPr>
          <w:bCs/>
          <w:sz w:val="24"/>
          <w:szCs w:val="24"/>
        </w:rPr>
      </w:pPr>
      <w:r>
        <w:rPr>
          <w:bCs/>
          <w:sz w:val="24"/>
          <w:szCs w:val="24"/>
        </w:rPr>
        <w:t>Заказчик не несет ответственность за ненадлежащее исполнение обязательств по внесению предварительной оплаты (аванса). В случае нарушения Заказчиком сроков оплаты авансовых платежей Подрядчик имеет право приостановить выполнение Работ по Договору при условии предварительного письменного уведомления Заказчика о таком приостановлении.</w:t>
      </w:r>
    </w:p>
    <w:p>
      <w:pPr>
        <w:pStyle w:val="Normal"/>
        <w:numPr>
          <w:ilvl w:val="1"/>
          <w:numId w:val="4"/>
        </w:numPr>
        <w:tabs>
          <w:tab w:val="clear" w:pos="709"/>
          <w:tab w:val="left" w:pos="1276" w:leader="none"/>
        </w:tabs>
        <w:spacing w:lineRule="auto" w:line="240"/>
        <w:ind w:left="0" w:firstLine="709"/>
        <w:rPr>
          <w:bCs/>
          <w:sz w:val="24"/>
          <w:szCs w:val="24"/>
        </w:rPr>
      </w:pPr>
      <w:r>
        <w:rPr>
          <w:sz w:val="24"/>
        </w:rPr>
        <w:t>В случае нарушения Заказчиком сроков оплаты, установленных разделом 3 Договора (за исключением срока оплаты авансовых платежей), Подрядчик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w:t>
      </w:r>
      <w:r>
        <w:rPr>
          <w:bCs/>
          <w:sz w:val="24"/>
          <w:szCs w:val="24"/>
        </w:rPr>
        <w:t xml:space="preserve">. </w:t>
      </w:r>
    </w:p>
    <w:p>
      <w:pPr>
        <w:pStyle w:val="Normal"/>
        <w:numPr>
          <w:ilvl w:val="1"/>
          <w:numId w:val="4"/>
        </w:numPr>
        <w:tabs>
          <w:tab w:val="clear" w:pos="709"/>
          <w:tab w:val="left" w:pos="1276" w:leader="none"/>
        </w:tabs>
        <w:spacing w:lineRule="auto" w:line="240"/>
        <w:ind w:left="0" w:firstLine="709"/>
        <w:rPr>
          <w:bCs/>
          <w:sz w:val="24"/>
          <w:szCs w:val="24"/>
        </w:rPr>
      </w:pPr>
      <w:r>
        <w:rPr>
          <w:bCs/>
          <w:sz w:val="24"/>
          <w:szCs w:val="24"/>
        </w:rPr>
        <w:t xml:space="preserve">В случае </w:t>
      </w:r>
      <w:r>
        <w:rPr>
          <w:sz w:val="24"/>
          <w:szCs w:val="24"/>
        </w:rPr>
        <w:t>нарушения Подрядчиком обязательств по выполнению Работ, в том числе сроков выполнения Работ, установленных Календарным графиком выполнения Работ (Приложение № 3 к Договору), а также в случае несвоевременного устранения выявленных недостатков Результата работ, Заказчик вправе требовать уплаты Подрядчиком:</w:t>
      </w:r>
    </w:p>
    <w:p>
      <w:pPr>
        <w:pStyle w:val="ListParagraph"/>
        <w:numPr>
          <w:ilvl w:val="2"/>
          <w:numId w:val="4"/>
        </w:numPr>
        <w:shd w:val="clear" w:color="auto" w:fill="FFFFFF"/>
        <w:tabs>
          <w:tab w:val="left" w:pos="709" w:leader="none"/>
          <w:tab w:val="left" w:pos="1276" w:leader="none"/>
          <w:tab w:val="left" w:pos="1418" w:leader="none"/>
        </w:tabs>
        <w:ind w:left="0" w:firstLine="709"/>
        <w:jc w:val="both"/>
        <w:rPr>
          <w:bCs/>
        </w:rPr>
      </w:pPr>
      <w:r>
        <w:rPr/>
        <w:t>Неустойки в размере 0,1 (ноль целых и одна десятая) процента от стоимости Этапа Работ за каждый день просрочки</w:t>
      </w:r>
      <w:r>
        <w:rPr>
          <w:rFonts w:eastAsia="Calibri"/>
          <w:bCs/>
        </w:rPr>
        <w:t>;</w:t>
      </w:r>
    </w:p>
    <w:p>
      <w:pPr>
        <w:pStyle w:val="ListParagraph"/>
        <w:numPr>
          <w:ilvl w:val="2"/>
          <w:numId w:val="4"/>
        </w:numPr>
        <w:shd w:val="clear" w:color="auto" w:fill="FFFFFF"/>
        <w:tabs>
          <w:tab w:val="left" w:pos="709" w:leader="none"/>
          <w:tab w:val="left" w:pos="1276" w:leader="none"/>
          <w:tab w:val="left" w:pos="1418" w:leader="none"/>
        </w:tabs>
        <w:ind w:left="0" w:firstLine="709"/>
        <w:jc w:val="both"/>
        <w:rPr>
          <w:bCs/>
        </w:rPr>
      </w:pPr>
      <w:r>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Результата Работ в целом по Договору</w:t>
      </w:r>
      <w:r>
        <w:rPr>
          <w:rFonts w:eastAsia="Calibri"/>
          <w:bCs/>
        </w:rPr>
        <w:t xml:space="preserve">; </w:t>
      </w:r>
    </w:p>
    <w:p>
      <w:pPr>
        <w:pStyle w:val="ListParagraph"/>
        <w:numPr>
          <w:ilvl w:val="2"/>
          <w:numId w:val="4"/>
        </w:numPr>
        <w:shd w:val="clear" w:color="auto" w:fill="FFFFFF"/>
        <w:tabs>
          <w:tab w:val="left" w:pos="709" w:leader="none"/>
          <w:tab w:val="left" w:pos="1276" w:leader="none"/>
          <w:tab w:val="left" w:pos="1418" w:leader="none"/>
        </w:tabs>
        <w:ind w:left="0" w:firstLine="709"/>
        <w:jc w:val="both"/>
        <w:rPr>
          <w:bCs/>
        </w:rPr>
      </w:pPr>
      <w:r>
        <w:rPr>
          <w:rFonts w:eastAsia="Calibri"/>
          <w:bCs/>
        </w:rPr>
        <w:t xml:space="preserve">Неустойки в размере 0,1 (ноль целых и одна десятая) процента от стоимости Этапа Работ за каждый день просрочки – в случае несвоевременного устранения недостатков, не влияющих на возможность эксплуатации (использования) Результата Работ </w:t>
      </w:r>
      <w:r>
        <w:rPr>
          <w:bCs/>
        </w:rPr>
        <w:t xml:space="preserve">в целом </w:t>
      </w:r>
      <w:r>
        <w:rPr>
          <w:rFonts w:eastAsia="Calibri"/>
          <w:bCs/>
        </w:rPr>
        <w:t>по Договору.</w:t>
      </w:r>
    </w:p>
    <w:p>
      <w:pPr>
        <w:pStyle w:val="Normal"/>
        <w:numPr>
          <w:ilvl w:val="1"/>
          <w:numId w:val="4"/>
        </w:numPr>
        <w:tabs>
          <w:tab w:val="clear" w:pos="709"/>
          <w:tab w:val="left" w:pos="1276" w:leader="none"/>
        </w:tabs>
        <w:spacing w:lineRule="auto" w:line="240"/>
        <w:ind w:left="0" w:firstLine="709"/>
        <w:rPr>
          <w:bCs/>
          <w:sz w:val="24"/>
          <w:szCs w:val="24"/>
        </w:rPr>
      </w:pPr>
      <w:r>
        <w:rPr>
          <w:bCs/>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В случае нарушения Подрядчиком или привлеченными им Субподрядчиками требований пропускного и внутриобъектового режима, требований охраны труда, пожарной и промышленной безопасности, </w:t>
      </w:r>
      <w:r>
        <w:rPr>
          <w:bCs/>
          <w:shd w:fill="C0C0C0" w:val="clear"/>
        </w:rPr>
        <w:t>экологических, санитарно-</w:t>
      </w:r>
      <w:r>
        <w:rPr>
          <w:bCs/>
          <w:color w:val="000000"/>
          <w:shd w:fill="C0C0C0" w:val="clear"/>
        </w:rPr>
        <w:t>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внутренним водном и морском транспорте, а также требований, установленных локальными нормативными правовыми актами (документами) Заказчика в области обращения с Отходами на территории Заказчика</w:t>
      </w:r>
      <w:r>
        <w:rPr>
          <w:rStyle w:val="FootnoteReference"/>
          <w:bCs/>
          <w:color w:val="000000"/>
          <w:shd w:fill="C0C0C0" w:val="clear"/>
        </w:rPr>
        <w:footnoteReference w:id="10"/>
      </w:r>
      <w:r>
        <w:rPr>
          <w:bCs/>
          <w:color w:val="000000"/>
          <w:shd w:fill="C0C0C0" w:val="clear"/>
        </w:rPr>
        <w:t>,</w:t>
      </w:r>
      <w:r>
        <w:rPr>
          <w:bCs/>
          <w:color w:val="000000"/>
        </w:rPr>
        <w:t xml:space="preserve"> </w:t>
      </w:r>
      <w:r>
        <w:rPr>
          <w:bCs/>
        </w:rPr>
        <w:t xml:space="preserve">если они зафиксированы Заказчиком или уполномоченным государственным органом, Заказчик, помимо возмещения убытков, </w:t>
      </w:r>
      <w:r>
        <w:rPr>
          <w:bCs/>
          <w:shd w:fill="C0C0C0" w:val="clear"/>
        </w:rPr>
        <w:t xml:space="preserve">включая реальный ущерб в виде возмещения расходов по уплате </w:t>
      </w:r>
      <w:r>
        <w:rPr>
          <w:bCs/>
          <w:color w:val="000000"/>
          <w:shd w:fill="C0C0C0" w:val="clear"/>
        </w:rPr>
        <w:t>соответствующих</w:t>
      </w:r>
      <w:r>
        <w:rPr>
          <w:bCs/>
          <w:shd w:fill="C0C0C0" w:val="clear"/>
        </w:rPr>
        <w:t xml:space="preserve"> административных штрафов</w:t>
      </w:r>
      <w:r>
        <w:rPr>
          <w:rStyle w:val="FootnoteReference"/>
          <w:bCs/>
          <w:shd w:fill="C0C0C0" w:val="clear"/>
        </w:rPr>
        <w:footnoteReference w:id="11"/>
      </w:r>
      <w:r>
        <w:rPr>
          <w:bCs/>
          <w:shd w:fill="C0C0C0" w:val="clear"/>
        </w:rPr>
        <w:t xml:space="preserve">, </w:t>
      </w:r>
      <w:r>
        <w:rPr>
          <w:bCs/>
        </w:rPr>
        <w:t xml:space="preserve">вправе требовать уплаты Подрядчиком штрафа в размерах, установленных Приложением № 6 к Договору. </w:t>
      </w:r>
    </w:p>
    <w:p>
      <w:pPr>
        <w:pStyle w:val="ListParagraph"/>
        <w:numPr>
          <w:ilvl w:val="1"/>
          <w:numId w:val="4"/>
        </w:numPr>
        <w:shd w:val="clear" w:color="auto" w:fill="FFFFFF"/>
        <w:tabs>
          <w:tab w:val="clear" w:pos="709"/>
          <w:tab w:val="left" w:pos="1134" w:leader="none"/>
        </w:tabs>
        <w:ind w:left="0" w:firstLine="709"/>
        <w:jc w:val="both"/>
        <w:rPr>
          <w:bCs/>
        </w:rPr>
      </w:pPr>
      <w:r>
        <w:rPr>
          <w:bCs/>
        </w:rPr>
        <w:t>Если в результате составления и выставления Подрядчиком счетов-фактур/УПД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Подрядчик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Подрядчиком в течение 10 (десяти) рабочих дней с даты получения соответствующего письменного требования Заказчика. В случае нарушения Подрядчиком сроков предоставления счетов-фактур/УПД, установленных пунктом 4.6 Договора, Заказчик вправе требовать уплаты Подрядчиком штрафа в размере 50 000 (пятидесяти тысяч) рублей за каждый случай нарушения.</w:t>
      </w:r>
    </w:p>
    <w:p>
      <w:pPr>
        <w:pStyle w:val="ListParagraph"/>
        <w:numPr>
          <w:ilvl w:val="1"/>
          <w:numId w:val="4"/>
        </w:numPr>
        <w:shd w:val="clear" w:color="auto" w:fill="FFFFFF"/>
        <w:tabs>
          <w:tab w:val="clear" w:pos="709"/>
          <w:tab w:val="left" w:pos="1276" w:leader="none"/>
        </w:tabs>
        <w:ind w:left="0" w:firstLine="709"/>
        <w:jc w:val="both"/>
        <w:rPr>
          <w:bCs/>
        </w:rPr>
      </w:pPr>
      <w:r>
        <w:rPr>
          <w:bCs/>
        </w:rPr>
        <w:t>За непредоставление либо несвоевременное предоставление / переоформление Подрядчиком банковских гарантий, предусмотренных Договором, в порядке и сроки, установленные разделом 6 Договора, Заказчик вправе требовать уплаты Подрядчиком неустойки в размере 0,03 (ноль целях и три сотых) процента от Цены Договора за каждый день просрочки.</w:t>
      </w:r>
    </w:p>
    <w:p>
      <w:pPr>
        <w:pStyle w:val="ListParagraph"/>
        <w:numPr>
          <w:ilvl w:val="1"/>
          <w:numId w:val="4"/>
        </w:numPr>
        <w:shd w:val="clear" w:color="auto" w:fill="FFFFFF"/>
        <w:tabs>
          <w:tab w:val="clear" w:pos="709"/>
          <w:tab w:val="left" w:pos="1276" w:leader="none"/>
        </w:tabs>
        <w:ind w:left="0" w:firstLine="709"/>
        <w:jc w:val="both"/>
        <w:rPr>
          <w:bCs/>
        </w:rPr>
      </w:pPr>
      <w:r>
        <w:rPr>
          <w:bCs/>
        </w:rPr>
        <w:t>Подрядчик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Подрядчиком своих обязательств, произведенных для восстановления нарушенного права, а также упущенной выгоды.</w:t>
      </w:r>
    </w:p>
    <w:p>
      <w:pPr>
        <w:pStyle w:val="ListParagraph"/>
        <w:numPr>
          <w:ilvl w:val="1"/>
          <w:numId w:val="4"/>
        </w:numPr>
        <w:shd w:val="clear" w:color="auto" w:fill="FFFFFF"/>
        <w:tabs>
          <w:tab w:val="clear" w:pos="709"/>
          <w:tab w:val="left" w:pos="1134" w:leader="none"/>
        </w:tabs>
        <w:ind w:left="0" w:firstLine="709"/>
        <w:jc w:val="both"/>
        <w:rPr>
          <w:bCs/>
          <w:highlight w:val="lightGray"/>
        </w:rPr>
      </w:pPr>
      <w:r>
        <w:rPr>
          <w:highlight w:val="lightGray"/>
        </w:rPr>
        <w:t xml:space="preserve">В случае нарушения Подрядчиком сроков исполнения обязательств, установленных пунктом 3.1.1 </w:t>
      </w:r>
      <w:r>
        <w:rPr>
          <w:bCs/>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numPr>
          <w:ilvl w:val="1"/>
          <w:numId w:val="4"/>
        </w:numPr>
        <w:shd w:val="clear" w:color="auto" w:fill="FFFFFF"/>
        <w:tabs>
          <w:tab w:val="clear" w:pos="709"/>
          <w:tab w:val="left" w:pos="1134" w:leader="none"/>
        </w:tabs>
        <w:ind w:left="0" w:firstLine="709"/>
        <w:jc w:val="both"/>
        <w:rPr>
          <w:bCs/>
        </w:rPr>
      </w:pPr>
      <w:r>
        <w:rPr>
          <w:bCs/>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numPr>
          <w:ilvl w:val="1"/>
          <w:numId w:val="4"/>
        </w:numPr>
        <w:shd w:val="clear" w:color="auto" w:fill="FFFFFF"/>
        <w:tabs>
          <w:tab w:val="clear" w:pos="709"/>
          <w:tab w:val="left" w:pos="1134" w:leader="none"/>
        </w:tabs>
        <w:ind w:left="0" w:firstLine="709"/>
        <w:jc w:val="both"/>
        <w:rPr>
          <w:bCs/>
        </w:rPr>
      </w:pPr>
      <w:r>
        <w:rPr>
          <w:bCs/>
        </w:rPr>
        <w:t>Учитывая, что для Заказчика надлежащее и своевременное выполнение Подрядчиком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Подрядчиком соответствующих обязательств по Договору.</w:t>
      </w:r>
    </w:p>
    <w:p>
      <w:pPr>
        <w:pStyle w:val="ListParagraph"/>
        <w:numPr>
          <w:ilvl w:val="1"/>
          <w:numId w:val="4"/>
        </w:numPr>
        <w:shd w:val="clear" w:color="auto" w:fill="FFFFFF"/>
        <w:tabs>
          <w:tab w:val="clear" w:pos="709"/>
          <w:tab w:val="left" w:pos="1134" w:leader="none"/>
        </w:tabs>
        <w:ind w:left="0" w:firstLine="709"/>
        <w:jc w:val="both"/>
        <w:rPr>
          <w:bCs/>
        </w:rPr>
      </w:pPr>
      <w:r>
        <w:rPr>
          <w:bCs/>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t xml:space="preserve"> </w:t>
      </w:r>
      <w:r>
        <w:rPr>
          <w:bCs/>
        </w:rPr>
        <w:t>сумма неустойки, подлежащая уплате виновной Стороной, определяется на основании решения суда.</w:t>
      </w:r>
    </w:p>
    <w:p>
      <w:pPr>
        <w:pStyle w:val="ListParagraph"/>
        <w:numPr>
          <w:ilvl w:val="0"/>
          <w:numId w:val="4"/>
        </w:numPr>
        <w:shd w:val="clear" w:color="auto" w:fill="FFFFFF"/>
        <w:tabs>
          <w:tab w:val="clear" w:pos="709"/>
          <w:tab w:val="left" w:pos="426" w:leader="none"/>
        </w:tabs>
        <w:ind w:left="0" w:hanging="0"/>
        <w:jc w:val="center"/>
        <w:rPr>
          <w:b/>
          <w:bCs/>
        </w:rPr>
      </w:pPr>
      <w:r>
        <w:rPr>
          <w:b/>
          <w:bCs/>
        </w:rPr>
        <w:t>Исключительные права и патенты</w:t>
      </w:r>
    </w:p>
    <w:p>
      <w:pPr>
        <w:pStyle w:val="ListParagraph"/>
        <w:numPr>
          <w:ilvl w:val="1"/>
          <w:numId w:val="4"/>
        </w:numPr>
        <w:shd w:val="clear" w:color="auto" w:fill="FFFFFF"/>
        <w:tabs>
          <w:tab w:val="clear" w:pos="709"/>
          <w:tab w:val="left" w:pos="1134" w:leader="none"/>
        </w:tabs>
        <w:ind w:left="0" w:firstLine="709"/>
        <w:jc w:val="both"/>
        <w:rPr>
          <w:bCs/>
        </w:rPr>
      </w:pPr>
      <w:r>
        <w:rPr>
          <w:bCs/>
        </w:rPr>
        <w:t>Подрядчик гарантирует, что выполнение Работ, предусмотренных Договором, а также передача Заказчику Результата работ не нарушит исключительных и иных интеллектуальных прав третьих лиц</w:t>
      </w:r>
      <w:r>
        <w:rPr/>
        <w:t xml:space="preserve"> </w:t>
      </w:r>
      <w:r>
        <w:rPr>
          <w:bCs/>
        </w:rPr>
        <w:t>на результаты интеллектуальной деятельности или средства индивидуализации, которым предоставляется правовая охрана, в том числе авторских и смежных с ними прав, патентных прав, прав на секрет производства.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Подрядчик вправе использовать при выполнении Работ результаты интеллектуальной деятельности, принадлежащие третьим лицам, только если он получил на это соответствующие разрешения (лицензии) этих лиц. </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В состав Результата работ по Договору считаются включенными все разрешения (лицензии), необходимые для использования Заказчиком Результата работ. </w:t>
      </w:r>
    </w:p>
    <w:p>
      <w:pPr>
        <w:pStyle w:val="ListParagraph"/>
        <w:numPr>
          <w:ilvl w:val="1"/>
          <w:numId w:val="4"/>
        </w:numPr>
        <w:shd w:val="clear" w:color="auto" w:fill="FFFFFF"/>
        <w:tabs>
          <w:tab w:val="clear" w:pos="709"/>
          <w:tab w:val="left" w:pos="1134" w:leader="none"/>
        </w:tabs>
        <w:ind w:left="0" w:firstLine="709"/>
        <w:jc w:val="both"/>
        <w:rPr>
          <w:bCs/>
        </w:rPr>
      </w:pPr>
      <w:r>
        <w:rPr>
          <w:bCs/>
        </w:rPr>
        <w:t>В случае, если Заказчику будут предъявлены требования, связанные с нарушением Подрядчиком при выполнении Работ по Договору исключительных и / или иных интеллектуальных прав третьих лиц, Подрядчик обязан полностью возместить Заказчику все расходы и убытки, связанные с такими требованиями, включая расходы на юридических консультантов.</w:t>
      </w:r>
    </w:p>
    <w:p>
      <w:pPr>
        <w:pStyle w:val="ListParagraph"/>
        <w:numPr>
          <w:ilvl w:val="1"/>
          <w:numId w:val="4"/>
        </w:numPr>
        <w:shd w:val="clear" w:color="auto" w:fill="FFFFFF"/>
        <w:tabs>
          <w:tab w:val="clear" w:pos="709"/>
          <w:tab w:val="left" w:pos="1134" w:leader="none"/>
        </w:tabs>
        <w:ind w:left="0" w:firstLine="709"/>
        <w:jc w:val="both"/>
        <w:rPr>
          <w:bCs/>
        </w:rPr>
      </w:pPr>
      <w:r>
        <w:rPr>
          <w:bCs/>
        </w:rPr>
        <w:t>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возникают непосредственно у Заказчика, либо, если в соответствии с законодательством Российской Федерации такие исключительные права возникают у Подрядчика, эти права переходят к Заказчику сразу после их возникновения в силу Договора.</w:t>
      </w:r>
    </w:p>
    <w:p>
      <w:pPr>
        <w:pStyle w:val="ListParagraph"/>
        <w:shd w:val="clear" w:color="auto" w:fill="FFFFFF"/>
        <w:tabs>
          <w:tab w:val="clear" w:pos="709"/>
          <w:tab w:val="left" w:pos="1134" w:leader="none"/>
        </w:tabs>
        <w:ind w:left="0" w:firstLine="709"/>
        <w:jc w:val="both"/>
        <w:rPr>
          <w:bCs/>
        </w:rPr>
      </w:pPr>
      <w:r>
        <w:rPr>
          <w:bCs/>
        </w:rPr>
        <w:t>В случае, если в соответствии с законодательством Российской Федерации исключительные права на результаты интеллектуальной деятельности, создаваемые в процессе исполнения Подрядчиком Договора, не могут переходить к Заказчику в порядке, указанном в настоящем пункте Договора, Стороны пришли к соглашению о том, что Подрядчик передаст Заказчику неисключительные права (неисключительную лицензию) на право использования такого результата</w:t>
      </w:r>
      <w:r>
        <w:rPr/>
        <w:t xml:space="preserve"> </w:t>
      </w:r>
      <w:r>
        <w:rPr>
          <w:bCs/>
        </w:rPr>
        <w:t xml:space="preserve">интеллектуальной деятельности на срок и в том объеме (пределах), которые требуются для эксплуатации. При этом Стороны признают, что плата за использование прав на результаты интеллектуальной деятельности входит в Цену Договора. </w:t>
      </w:r>
    </w:p>
    <w:p>
      <w:pPr>
        <w:pStyle w:val="ListParagraph"/>
        <w:numPr>
          <w:ilvl w:val="1"/>
          <w:numId w:val="4"/>
        </w:numPr>
        <w:shd w:val="clear" w:color="auto" w:fill="FFFFFF"/>
        <w:tabs>
          <w:tab w:val="clear" w:pos="709"/>
          <w:tab w:val="left" w:pos="1134" w:leader="none"/>
        </w:tabs>
        <w:ind w:left="0" w:firstLine="709"/>
        <w:jc w:val="both"/>
        <w:rPr>
          <w:bCs/>
        </w:rPr>
      </w:pPr>
      <w:r>
        <w:rPr>
          <w:bCs/>
        </w:rPr>
        <w:t>В случае появления в рамках исполнения Договора или в составе Результата работ патентоспособного результата интеллектуальной деятельности, Подрядчик не позднее 10 (десяти) календарных дней обязуется письменно сообщить об этом Заказчику и в разумный срок заключить дополнительное соглашение к Договору о порядке регистрации прав Заказчика на такой результат интеллектуальной деятельности, без уплаты Заказчиком какого-либо дополнительного вознаграждения.</w:t>
      </w:r>
    </w:p>
    <w:p>
      <w:pPr>
        <w:pStyle w:val="ListParagraph"/>
        <w:numPr>
          <w:ilvl w:val="1"/>
          <w:numId w:val="4"/>
        </w:numPr>
        <w:shd w:val="clear" w:color="auto" w:fill="FFFFFF"/>
        <w:tabs>
          <w:tab w:val="clear" w:pos="709"/>
          <w:tab w:val="left" w:pos="1134" w:leader="none"/>
        </w:tabs>
        <w:ind w:left="0" w:firstLine="709"/>
        <w:jc w:val="both"/>
        <w:rPr>
          <w:bCs/>
        </w:rPr>
      </w:pPr>
      <w:r>
        <w:rPr>
          <w:bCs/>
        </w:rPr>
        <w:t>Переход прав на исключительные права (за исключением личных неимущественных прав автора) на произведения, программы для ЭВМ, изобретения и иные результаты интеллектуальной деятельности, создаваемые в процессе исполнения Подрядчиком Договора, подтверждается подписанием Сторонами Акта сдачи-приемки выполненных работ.</w:t>
      </w:r>
    </w:p>
    <w:p>
      <w:pPr>
        <w:pStyle w:val="ListParagraph"/>
        <w:shd w:val="clear" w:color="auto" w:fill="FFFFFF"/>
        <w:tabs>
          <w:tab w:val="clear" w:pos="709"/>
          <w:tab w:val="left" w:pos="1134" w:leader="none"/>
        </w:tabs>
        <w:ind w:left="709" w:hanging="0"/>
        <w:jc w:val="both"/>
        <w:rPr>
          <w:bCs/>
        </w:rPr>
      </w:pPr>
      <w:r>
        <w:rPr>
          <w:bCs/>
        </w:rPr>
      </w:r>
    </w:p>
    <w:p>
      <w:pPr>
        <w:pStyle w:val="ListParagraph"/>
        <w:numPr>
          <w:ilvl w:val="0"/>
          <w:numId w:val="4"/>
        </w:numPr>
        <w:shd w:val="clear" w:color="auto" w:fill="FFFFFF"/>
        <w:tabs>
          <w:tab w:val="clear" w:pos="709"/>
          <w:tab w:val="left" w:pos="426" w:leader="none"/>
        </w:tabs>
        <w:ind w:left="0" w:hanging="0"/>
        <w:jc w:val="center"/>
        <w:rPr>
          <w:b/>
          <w:bCs/>
        </w:rPr>
      </w:pPr>
      <w:r>
        <w:rPr>
          <w:b/>
          <w:bCs/>
        </w:rPr>
        <w:t>Конфиденциальность</w:t>
      </w:r>
    </w:p>
    <w:p>
      <w:pPr>
        <w:pStyle w:val="ListParagraph"/>
        <w:numPr>
          <w:ilvl w:val="1"/>
          <w:numId w:val="4"/>
        </w:numPr>
        <w:shd w:val="clear" w:color="auto" w:fill="FFFFFF"/>
        <w:tabs>
          <w:tab w:val="clear" w:pos="709"/>
          <w:tab w:val="left" w:pos="1134" w:leader="none"/>
        </w:tabs>
        <w:ind w:left="0" w:firstLine="709"/>
        <w:jc w:val="both"/>
        <w:rPr>
          <w:bCs/>
        </w:rPr>
      </w:pPr>
      <w:r>
        <w:rPr>
          <w:bCs/>
        </w:rPr>
        <w:t>Под конфиденциальной информацией (далее – «Информация») для целей Договора понимается любая информация, передаваемая Заказчиком Подрядчику в устной либо документарной форме, в виде электронного файла, в любом другом виде, а также полученная Подрядчиком самостоятельно в ходе визитов на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left" w:pos="709" w:leader="none"/>
          <w:tab w:val="left" w:pos="1418" w:leader="none"/>
        </w:tabs>
        <w:spacing w:lineRule="auto" w:line="240"/>
        <w:ind w:left="0" w:firstLine="709"/>
        <w:rPr>
          <w:bCs/>
          <w:sz w:val="24"/>
          <w:szCs w:val="24"/>
        </w:rPr>
      </w:pPr>
      <w:r>
        <w:rPr>
          <w:bCs/>
          <w:sz w:val="24"/>
          <w:szCs w:val="24"/>
        </w:rPr>
        <w:t>данная Информация имеет действительную или потенциальную коммерческую ценность для Заказчика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numPr>
          <w:ilvl w:val="0"/>
          <w:numId w:val="7"/>
        </w:numPr>
        <w:tabs>
          <w:tab w:val="left" w:pos="709" w:leader="none"/>
          <w:tab w:val="left" w:pos="1418" w:leader="none"/>
        </w:tabs>
        <w:spacing w:lineRule="auto" w:line="240"/>
        <w:ind w:left="0" w:firstLine="709"/>
        <w:rPr>
          <w:bCs/>
          <w:sz w:val="24"/>
          <w:szCs w:val="24"/>
        </w:rPr>
      </w:pPr>
      <w:r>
        <w:rPr>
          <w:bCs/>
          <w:sz w:val="24"/>
          <w:szCs w:val="24"/>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4"/>
        </w:numPr>
        <w:shd w:val="clear" w:color="auto" w:fill="FFFFFF"/>
        <w:tabs>
          <w:tab w:val="clear" w:pos="709"/>
          <w:tab w:val="left" w:pos="1134" w:leader="none"/>
        </w:tabs>
        <w:ind w:left="0" w:firstLine="709"/>
        <w:jc w:val="both"/>
        <w:rPr>
          <w:bCs/>
        </w:rPr>
      </w:pPr>
      <w:r>
        <w:rPr>
          <w:bCs/>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4"/>
        </w:numPr>
        <w:shd w:val="clear" w:color="auto" w:fill="FFFFFF"/>
        <w:tabs>
          <w:tab w:val="clear" w:pos="709"/>
          <w:tab w:val="left" w:pos="1134" w:leader="none"/>
        </w:tabs>
        <w:ind w:left="0" w:firstLine="709"/>
        <w:jc w:val="both"/>
        <w:rPr>
          <w:bCs/>
        </w:rPr>
      </w:pPr>
      <w:r>
        <w:rPr>
          <w:bCs/>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4"/>
        </w:numPr>
        <w:shd w:val="clear" w:color="auto" w:fill="FFFFFF"/>
        <w:tabs>
          <w:tab w:val="clear" w:pos="709"/>
          <w:tab w:val="left" w:pos="1134" w:leader="none"/>
        </w:tabs>
        <w:ind w:left="0" w:firstLine="709"/>
        <w:jc w:val="both"/>
        <w:rPr>
          <w:bCs/>
        </w:rPr>
      </w:pPr>
      <w:r>
        <w:rPr>
          <w:bCs/>
        </w:rPr>
        <w:t>Информация может включать в себя, в том числе, но не ограничиваясь:</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учетные регистры бухгалтерского учета;</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бизнес-планы;</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сведения о финансовых, правовых, организационных и других взаимоотношениях между Заказчиком и третьими лицами;</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сведения о подрядчиках, поставщиках оборудования и материалов, а также о покупателях продукции Заказчика и их аффилированных лицах;</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сведения об объемах производства и / или реализации продукции и услуг Заказчика или его аффилированных лиц;</w:t>
      </w:r>
    </w:p>
    <w:p>
      <w:pPr>
        <w:pStyle w:val="Normal"/>
        <w:numPr>
          <w:ilvl w:val="0"/>
          <w:numId w:val="7"/>
        </w:numPr>
        <w:tabs>
          <w:tab w:val="clear" w:pos="709"/>
          <w:tab w:val="left" w:pos="1418" w:leader="none"/>
        </w:tabs>
        <w:spacing w:lineRule="auto" w:line="240"/>
        <w:ind w:left="0" w:firstLine="709"/>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numPr>
          <w:ilvl w:val="1"/>
          <w:numId w:val="4"/>
        </w:numPr>
        <w:shd w:val="clear" w:color="auto" w:fill="FFFFFF"/>
        <w:tabs>
          <w:tab w:val="clear" w:pos="709"/>
          <w:tab w:val="left" w:pos="1134" w:leader="none"/>
        </w:tabs>
        <w:ind w:left="0" w:firstLine="709"/>
        <w:jc w:val="both"/>
        <w:rPr>
          <w:bCs/>
        </w:rPr>
      </w:pPr>
      <w:bookmarkStart w:id="30" w:name="_Ref361337849"/>
      <w:r>
        <w:rPr>
          <w:bCs/>
        </w:rPr>
        <w:t>Подрядчик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t xml:space="preserve"> </w:t>
      </w:r>
      <w:r>
        <w:rPr>
          <w:bCs/>
        </w:rPr>
        <w:t>(расторжения) или исполнения, в том числе:</w:t>
      </w:r>
      <w:bookmarkEnd w:id="30"/>
      <w:r>
        <w:rPr>
          <w:bCs/>
        </w:rPr>
        <w:t xml:space="preserve"> </w:t>
      </w:r>
    </w:p>
    <w:p>
      <w:pPr>
        <w:pStyle w:val="ListParagraph"/>
        <w:numPr>
          <w:ilvl w:val="2"/>
          <w:numId w:val="4"/>
        </w:numPr>
        <w:shd w:val="clear" w:color="auto" w:fill="FFFFFF"/>
        <w:tabs>
          <w:tab w:val="clear" w:pos="709"/>
          <w:tab w:val="left" w:pos="1701" w:leader="none"/>
        </w:tabs>
        <w:ind w:left="0" w:firstLine="709"/>
        <w:jc w:val="both"/>
        <w:rPr>
          <w:bCs/>
        </w:rPr>
      </w:pPr>
      <w:r>
        <w:rPr>
          <w:bCs/>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9.6.7 Договора;</w:t>
      </w:r>
    </w:p>
    <w:p>
      <w:pPr>
        <w:pStyle w:val="ListParagraph"/>
        <w:numPr>
          <w:ilvl w:val="2"/>
          <w:numId w:val="4"/>
        </w:numPr>
        <w:shd w:val="clear" w:color="auto" w:fill="FFFFFF"/>
        <w:tabs>
          <w:tab w:val="clear" w:pos="709"/>
          <w:tab w:val="left" w:pos="1701" w:leader="none"/>
        </w:tabs>
        <w:ind w:left="0" w:firstLine="709"/>
        <w:jc w:val="both"/>
        <w:rPr>
          <w:bCs/>
        </w:rPr>
      </w:pPr>
      <w:r>
        <w:rPr>
          <w:bCs/>
        </w:rPr>
        <w:t>принимать меры предосторожности, обычно используемые для защиты такого рода информации в деловом обороте, при этом если Подрядчиком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Подрядчик обязан использовать в отношении защиты Информации, обычно используемые им меры защиты;</w:t>
      </w:r>
    </w:p>
    <w:p>
      <w:pPr>
        <w:pStyle w:val="ListParagraph"/>
        <w:numPr>
          <w:ilvl w:val="2"/>
          <w:numId w:val="4"/>
        </w:numPr>
        <w:shd w:val="clear" w:color="auto" w:fill="FFFFFF"/>
        <w:tabs>
          <w:tab w:val="clear" w:pos="709"/>
          <w:tab w:val="left" w:pos="1701" w:leader="none"/>
        </w:tabs>
        <w:ind w:left="0" w:firstLine="709"/>
        <w:jc w:val="both"/>
        <w:rPr>
          <w:bCs/>
        </w:rPr>
      </w:pPr>
      <w:r>
        <w:rPr>
          <w:bCs/>
        </w:rPr>
        <w:t xml:space="preserve">использовать Информацию исключительно для целей, для которых она была предоставлена; </w:t>
      </w:r>
    </w:p>
    <w:p>
      <w:pPr>
        <w:pStyle w:val="ListParagraph"/>
        <w:numPr>
          <w:ilvl w:val="2"/>
          <w:numId w:val="4"/>
        </w:numPr>
        <w:shd w:val="clear" w:color="auto" w:fill="FFFFFF"/>
        <w:tabs>
          <w:tab w:val="clear" w:pos="709"/>
          <w:tab w:val="left" w:pos="1701" w:leader="none"/>
        </w:tabs>
        <w:ind w:left="0" w:firstLine="709"/>
        <w:jc w:val="both"/>
        <w:rPr>
          <w:bCs/>
        </w:rPr>
      </w:pPr>
      <w:r>
        <w:rPr>
          <w:bCs/>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4"/>
        </w:numPr>
        <w:shd w:val="clear" w:color="auto" w:fill="FFFFFF"/>
        <w:tabs>
          <w:tab w:val="clear" w:pos="709"/>
          <w:tab w:val="left" w:pos="1701" w:leader="none"/>
        </w:tabs>
        <w:ind w:left="0" w:firstLine="709"/>
        <w:jc w:val="both"/>
        <w:rPr>
          <w:bCs/>
        </w:rPr>
      </w:pPr>
      <w:r>
        <w:rPr>
          <w:bCs/>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4"/>
        </w:numPr>
        <w:shd w:val="clear" w:color="auto" w:fill="FFFFFF"/>
        <w:tabs>
          <w:tab w:val="clear" w:pos="709"/>
          <w:tab w:val="left" w:pos="1701" w:leader="none"/>
        </w:tabs>
        <w:ind w:left="0" w:firstLine="709"/>
        <w:jc w:val="both"/>
        <w:rPr>
          <w:bCs/>
        </w:rPr>
      </w:pPr>
      <w:r>
        <w:rPr>
          <w:bCs/>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Подрядчика.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4"/>
        </w:numPr>
        <w:shd w:val="clear" w:color="auto" w:fill="FFFFFF"/>
        <w:tabs>
          <w:tab w:val="clear" w:pos="709"/>
          <w:tab w:val="left" w:pos="1701" w:leader="none"/>
        </w:tabs>
        <w:ind w:left="0" w:firstLine="709"/>
        <w:jc w:val="both"/>
        <w:rPr>
          <w:bCs/>
        </w:rPr>
      </w:pPr>
      <w:bookmarkStart w:id="31" w:name="_Ref361337832"/>
      <w:r>
        <w:rPr>
          <w:bCs/>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31"/>
    </w:p>
    <w:p>
      <w:pPr>
        <w:pStyle w:val="ListParagraph"/>
        <w:numPr>
          <w:ilvl w:val="2"/>
          <w:numId w:val="4"/>
        </w:numPr>
        <w:shd w:val="clear" w:color="auto" w:fill="FFFFFF"/>
        <w:tabs>
          <w:tab w:val="clear" w:pos="709"/>
          <w:tab w:val="left" w:pos="1701" w:leader="none"/>
        </w:tabs>
        <w:ind w:left="0" w:firstLine="709"/>
        <w:jc w:val="both"/>
        <w:rPr>
          <w:bCs/>
        </w:rPr>
      </w:pPr>
      <w:r>
        <w:rPr>
          <w:bCs/>
        </w:rPr>
        <w:t>не разглашать третьим лицам факты передачи или получения Информации.</w:t>
      </w:r>
    </w:p>
    <w:p>
      <w:pPr>
        <w:pStyle w:val="ListParagraph"/>
        <w:numPr>
          <w:ilvl w:val="1"/>
          <w:numId w:val="4"/>
        </w:numPr>
        <w:shd w:val="clear" w:color="auto" w:fill="FFFFFF"/>
        <w:tabs>
          <w:tab w:val="clear" w:pos="709"/>
          <w:tab w:val="left" w:pos="1134" w:leader="none"/>
        </w:tabs>
        <w:ind w:left="0" w:firstLine="709"/>
        <w:jc w:val="both"/>
        <w:rPr>
          <w:bCs/>
        </w:rPr>
      </w:pPr>
      <w:bookmarkStart w:id="32" w:name="_Ref361337863"/>
      <w:r>
        <w:rPr>
          <w:bCs/>
        </w:rPr>
        <w:t>Подрядчик,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32"/>
    </w:p>
    <w:p>
      <w:pPr>
        <w:pStyle w:val="ListParagraph"/>
        <w:numPr>
          <w:ilvl w:val="1"/>
          <w:numId w:val="4"/>
        </w:numPr>
        <w:shd w:val="clear" w:color="auto" w:fill="FFFFFF"/>
        <w:tabs>
          <w:tab w:val="clear" w:pos="709"/>
          <w:tab w:val="left" w:pos="1134" w:leader="none"/>
        </w:tabs>
        <w:ind w:left="0" w:firstLine="709"/>
        <w:jc w:val="both"/>
        <w:rPr>
          <w:bCs/>
        </w:rPr>
      </w:pPr>
      <w:r>
        <w:rPr>
          <w:bCs/>
        </w:rPr>
        <w:t>Подрядчик обязуется обеспечить повторение условий Договора в части соблюдения режима конфиденциальности Информации в договорах, заключаемых с Субподрядчиками.</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Условия защиты Информации, представляемой Подрядчиком Заказчику, могут быть дополнительно урегулированы отдельно заключаемым Сторонами соглашением. </w:t>
      </w:r>
    </w:p>
    <w:p>
      <w:pPr>
        <w:pStyle w:val="ListParagraph"/>
        <w:shd w:val="clear" w:color="auto" w:fill="FFFFFF"/>
        <w:tabs>
          <w:tab w:val="clear" w:pos="709"/>
          <w:tab w:val="left" w:pos="284" w:leader="none"/>
        </w:tabs>
        <w:ind w:left="0" w:hanging="0"/>
        <w:rPr>
          <w:b/>
          <w:bCs/>
        </w:rPr>
      </w:pPr>
      <w:r>
        <w:rPr>
          <w:b/>
          <w:bCs/>
        </w:rPr>
      </w:r>
    </w:p>
    <w:p>
      <w:pPr>
        <w:pStyle w:val="ListParagraph"/>
        <w:numPr>
          <w:ilvl w:val="0"/>
          <w:numId w:val="4"/>
        </w:numPr>
        <w:shd w:val="clear" w:color="auto" w:fill="FFFFFF"/>
        <w:tabs>
          <w:tab w:val="clear" w:pos="709"/>
          <w:tab w:val="left" w:pos="426" w:leader="none"/>
        </w:tabs>
        <w:ind w:left="0" w:hanging="0"/>
        <w:jc w:val="center"/>
        <w:rPr>
          <w:bCs/>
        </w:rPr>
      </w:pPr>
      <w:r>
        <w:rPr>
          <w:b/>
          <w:bCs/>
        </w:rPr>
        <w:t>Разрешение споров</w:t>
      </w:r>
    </w:p>
    <w:p>
      <w:pPr>
        <w:pStyle w:val="ListParagraph"/>
        <w:numPr>
          <w:ilvl w:val="1"/>
          <w:numId w:val="4"/>
        </w:numPr>
        <w:shd w:val="clear" w:color="auto" w:fill="FFFFFF"/>
        <w:tabs>
          <w:tab w:val="clear" w:pos="709"/>
          <w:tab w:val="left" w:pos="1134" w:leader="none"/>
          <w:tab w:val="left" w:pos="1418" w:leader="none"/>
        </w:tabs>
        <w:ind w:left="0" w:firstLine="709"/>
        <w:jc w:val="both"/>
        <w:rPr>
          <w:bCs/>
        </w:rPr>
      </w:pPr>
      <w:r>
        <w:rPr>
          <w:bCs/>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numPr>
          <w:ilvl w:val="1"/>
          <w:numId w:val="4"/>
        </w:numPr>
        <w:shd w:val="clear" w:color="auto" w:fill="FFFFFF"/>
        <w:tabs>
          <w:tab w:val="clear" w:pos="709"/>
          <w:tab w:val="left" w:pos="1134" w:leader="none"/>
          <w:tab w:val="left" w:pos="1418" w:leader="none"/>
        </w:tabs>
        <w:ind w:left="0" w:firstLine="709"/>
        <w:jc w:val="both"/>
        <w:rPr>
          <w:bCs/>
        </w:rPr>
      </w:pPr>
      <w:r>
        <w:rPr>
          <w:bCs/>
        </w:rPr>
        <w:t>Споры, указанные в пункте 10.1 Договора, которые не были урегулированы Сторонами путем переговоров, подлежат разрешению в Арбитражном суде Чувашской Республики в соответствии с законодательством Российской Федерации, за исключением споров из Банковской гарантии, подсудность которых предусмотрена пунктом 6.1.8 Договора.</w:t>
      </w:r>
    </w:p>
    <w:p>
      <w:pPr>
        <w:pStyle w:val="ListParagraph"/>
        <w:numPr>
          <w:ilvl w:val="1"/>
          <w:numId w:val="4"/>
        </w:numPr>
        <w:shd w:val="clear" w:color="auto" w:fill="FFFFFF"/>
        <w:tabs>
          <w:tab w:val="clear" w:pos="709"/>
          <w:tab w:val="left" w:pos="1134" w:leader="none"/>
          <w:tab w:val="left" w:pos="1418" w:leader="none"/>
        </w:tabs>
        <w:ind w:left="0" w:firstLine="709"/>
        <w:jc w:val="both"/>
        <w:rPr>
          <w:bCs/>
        </w:rPr>
      </w:pPr>
      <w:r>
        <w:rPr>
          <w:bCs/>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highlight w:val="lightGray"/>
        </w:rPr>
        <w:t>16.8</w:t>
      </w:r>
      <w:r>
        <w:rPr>
          <w:bCs/>
        </w:rPr>
        <w:t xml:space="preserve"> Договора.</w:t>
      </w:r>
    </w:p>
    <w:p>
      <w:pPr>
        <w:pStyle w:val="ListParagraph"/>
        <w:numPr>
          <w:ilvl w:val="1"/>
          <w:numId w:val="4"/>
        </w:numPr>
        <w:shd w:val="clear" w:color="auto" w:fill="FFFFFF"/>
        <w:tabs>
          <w:tab w:val="clear" w:pos="709"/>
          <w:tab w:val="left" w:pos="1134" w:leader="none"/>
          <w:tab w:val="left" w:pos="1418" w:leader="none"/>
        </w:tabs>
        <w:ind w:left="0" w:firstLine="709"/>
        <w:jc w:val="both"/>
        <w:rPr>
          <w:bCs/>
        </w:rPr>
      </w:pPr>
      <w:r>
        <w:rPr>
          <w:bCs/>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numPr>
          <w:ilvl w:val="1"/>
          <w:numId w:val="4"/>
        </w:numPr>
        <w:shd w:val="clear" w:color="auto" w:fill="FFFFFF"/>
        <w:tabs>
          <w:tab w:val="clear" w:pos="709"/>
          <w:tab w:val="left" w:pos="1134" w:leader="none"/>
          <w:tab w:val="left" w:pos="1418" w:leader="none"/>
        </w:tabs>
        <w:ind w:left="0" w:firstLine="709"/>
        <w:jc w:val="both"/>
        <w:rPr>
          <w:bCs/>
        </w:rPr>
      </w:pPr>
      <w:r>
        <w:rPr>
          <w:bCs/>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tabs>
          <w:tab w:val="clear" w:pos="709"/>
          <w:tab w:val="left" w:pos="1134" w:leader="none"/>
          <w:tab w:val="left" w:pos="1418" w:leader="none"/>
        </w:tabs>
        <w:spacing w:lineRule="auto" w:line="240"/>
        <w:rPr>
          <w:bCs/>
        </w:rPr>
      </w:pPr>
      <w:r>
        <w:rPr>
          <w:bCs/>
        </w:rPr>
      </w:r>
    </w:p>
    <w:p>
      <w:pPr>
        <w:pStyle w:val="ListParagraph"/>
        <w:numPr>
          <w:ilvl w:val="0"/>
          <w:numId w:val="4"/>
        </w:numPr>
        <w:shd w:val="clear" w:color="auto" w:fill="FFFFFF"/>
        <w:tabs>
          <w:tab w:val="clear" w:pos="709"/>
          <w:tab w:val="left" w:pos="426" w:leader="none"/>
        </w:tabs>
        <w:ind w:left="0" w:hanging="0"/>
        <w:jc w:val="center"/>
        <w:rPr>
          <w:b/>
          <w:bCs/>
        </w:rPr>
      </w:pPr>
      <w:r>
        <w:rPr>
          <w:b/>
          <w:bCs/>
        </w:rPr>
        <w:t>Антикоррупционная оговорка</w:t>
      </w:r>
    </w:p>
    <w:p>
      <w:pPr>
        <w:pStyle w:val="Normal"/>
        <w:shd w:val="clear" w:color="auto" w:fill="FFFFFF"/>
        <w:tabs>
          <w:tab w:val="clear" w:pos="709"/>
          <w:tab w:val="left" w:pos="1134" w:leader="none"/>
        </w:tabs>
        <w:spacing w:lineRule="auto" w:line="240"/>
        <w:ind w:firstLine="709"/>
        <w:rPr>
          <w:bCs/>
          <w:color w:val="000000"/>
          <w:sz w:val="24"/>
          <w:szCs w:val="24"/>
        </w:rPr>
      </w:pPr>
      <w:r>
        <w:rPr>
          <w:color w:val="000000"/>
          <w:sz w:val="24"/>
          <w:szCs w:val="24"/>
        </w:rPr>
        <w:t xml:space="preserve">11.1.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spacing w:lineRule="auto" w:line="240"/>
        <w:ind w:firstLine="709"/>
        <w:rPr>
          <w:bCs/>
          <w:color w:val="000000"/>
          <w:sz w:val="24"/>
          <w:szCs w:val="24"/>
        </w:rPr>
      </w:pPr>
      <w:r>
        <w:rPr>
          <w:bCs/>
          <w:color w:val="000000"/>
          <w:sz w:val="24"/>
          <w:szCs w:val="24"/>
        </w:rPr>
        <w:t>11.2.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spacing w:lineRule="auto" w:line="240"/>
        <w:ind w:firstLine="709"/>
        <w:rPr>
          <w:bCs/>
          <w:color w:val="000000"/>
          <w:sz w:val="24"/>
          <w:szCs w:val="24"/>
        </w:rPr>
      </w:pPr>
      <w:r>
        <w:rPr>
          <w:bCs/>
          <w:color w:val="000000"/>
          <w:sz w:val="24"/>
          <w:szCs w:val="24"/>
        </w:rPr>
        <w:t>11.3.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spacing w:lineRule="auto" w:line="240"/>
        <w:ind w:firstLine="709"/>
        <w:rPr>
          <w:bCs/>
          <w:color w:val="000000"/>
          <w:sz w:val="24"/>
          <w:szCs w:val="24"/>
        </w:rPr>
      </w:pPr>
      <w:r>
        <w:rPr>
          <w:bCs/>
          <w:color w:val="000000"/>
          <w:sz w:val="24"/>
          <w:szCs w:val="24"/>
        </w:rPr>
        <w:t>11.4.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tabs>
          <w:tab w:val="clear" w:pos="709"/>
          <w:tab w:val="left" w:pos="1134" w:leader="none"/>
        </w:tabs>
        <w:spacing w:lineRule="auto" w:line="240"/>
        <w:ind w:firstLine="709"/>
        <w:rPr>
          <w:bCs/>
          <w:color w:val="000000"/>
          <w:sz w:val="24"/>
          <w:szCs w:val="24"/>
        </w:rPr>
      </w:pPr>
      <w:r>
        <w:rPr>
          <w:bCs/>
          <w:color w:val="000000"/>
          <w:sz w:val="24"/>
          <w:szCs w:val="24"/>
        </w:rPr>
        <w:t xml:space="preserve">11.5.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spacing w:lineRule="auto" w:line="240"/>
        <w:ind w:firstLine="709"/>
        <w:rPr>
          <w:bCs/>
          <w:color w:val="000000"/>
          <w:sz w:val="24"/>
          <w:szCs w:val="24"/>
        </w:rPr>
      </w:pPr>
      <w:r>
        <w:rPr>
          <w:bCs/>
          <w:color w:val="000000"/>
          <w:sz w:val="24"/>
          <w:szCs w:val="24"/>
        </w:rPr>
        <w:t xml:space="preserve">11.6.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widowControl w:val="false"/>
        <w:shd w:val="clear" w:color="auto" w:fill="FFFFFF"/>
        <w:tabs>
          <w:tab w:val="clear" w:pos="709"/>
          <w:tab w:val="left" w:pos="567" w:leader="none"/>
          <w:tab w:val="left" w:pos="1134" w:leader="none"/>
        </w:tabs>
        <w:spacing w:lineRule="auto" w:line="240"/>
        <w:ind w:firstLine="709"/>
        <w:rPr>
          <w:color w:val="000000"/>
          <w:sz w:val="24"/>
          <w:szCs w:val="24"/>
        </w:rPr>
      </w:pPr>
      <w:r>
        <w:rPr>
          <w:color w:val="000000"/>
          <w:sz w:val="24"/>
          <w:szCs w:val="24"/>
        </w:rPr>
        <w:t xml:space="preserve">11.7.  Каналы связи Линия доверия Группы РусГидро: </w:t>
      </w:r>
    </w:p>
    <w:p>
      <w:pPr>
        <w:pStyle w:val="Normal"/>
        <w:widowControl w:val="false"/>
        <w:shd w:val="clear" w:color="auto" w:fill="FFFFFF"/>
        <w:tabs>
          <w:tab w:val="clear" w:pos="709"/>
          <w:tab w:val="left" w:pos="567" w:leader="none"/>
          <w:tab w:val="left" w:pos="1134" w:leader="none"/>
        </w:tabs>
        <w:spacing w:lineRule="auto" w:line="240"/>
        <w:ind w:firstLine="709"/>
        <w:rPr>
          <w:sz w:val="24"/>
          <w:szCs w:val="24"/>
        </w:rPr>
      </w:pPr>
      <w:r>
        <w:rPr>
          <w:sz w:val="24"/>
          <w:szCs w:val="24"/>
        </w:rPr>
        <w:t>11.7.1. Электронная почта: ld@rushydro.ru.</w:t>
      </w:r>
    </w:p>
    <w:p>
      <w:pPr>
        <w:pStyle w:val="Normal"/>
        <w:widowControl w:val="false"/>
        <w:shd w:val="clear" w:color="auto" w:fill="FFFFFF"/>
        <w:tabs>
          <w:tab w:val="clear" w:pos="709"/>
          <w:tab w:val="left" w:pos="567" w:leader="none"/>
          <w:tab w:val="left" w:pos="1134" w:leader="none"/>
        </w:tabs>
        <w:spacing w:lineRule="auto" w:line="240"/>
        <w:ind w:firstLine="709"/>
        <w:rPr>
          <w:sz w:val="24"/>
          <w:szCs w:val="24"/>
        </w:rPr>
      </w:pPr>
      <w:r>
        <w:rPr>
          <w:sz w:val="24"/>
          <w:szCs w:val="24"/>
        </w:rPr>
        <w:t>11.7.2. Специальная форма «обратной связи», размещенная на официальном сайте ПАО «РусГидро» в сети интернет: http://www.rushydro.ru/ (далее перейти по ссылке «Линия доверия» и заполнить поля специальной формы «обратной связи»).</w:t>
      </w:r>
    </w:p>
    <w:p>
      <w:pPr>
        <w:pStyle w:val="Normal"/>
        <w:spacing w:lineRule="auto" w:line="240"/>
        <w:ind w:firstLine="709"/>
        <w:rPr>
          <w:sz w:val="24"/>
          <w:szCs w:val="24"/>
        </w:rPr>
      </w:pPr>
      <w:r>
        <w:rPr>
          <w:sz w:val="24"/>
          <w:szCs w:val="24"/>
        </w:rPr>
        <w:t>11.7.3.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tabs>
          <w:tab w:val="left" w:pos="709" w:leader="none"/>
        </w:tabs>
        <w:spacing w:lineRule="auto" w:line="240"/>
        <w:ind w:hanging="0"/>
        <w:rPr>
          <w:b/>
          <w:sz w:val="24"/>
          <w:szCs w:val="24"/>
        </w:rPr>
      </w:pPr>
      <w:r>
        <w:rPr>
          <w:b/>
          <w:sz w:val="24"/>
          <w:szCs w:val="24"/>
        </w:rPr>
      </w:r>
    </w:p>
    <w:p>
      <w:pPr>
        <w:pStyle w:val="ListParagraph"/>
        <w:numPr>
          <w:ilvl w:val="0"/>
          <w:numId w:val="4"/>
        </w:numPr>
        <w:shd w:val="clear" w:color="auto" w:fill="FFFFFF"/>
        <w:tabs>
          <w:tab w:val="clear" w:pos="709"/>
          <w:tab w:val="left" w:pos="426" w:leader="none"/>
        </w:tabs>
        <w:ind w:left="0" w:hanging="0"/>
        <w:jc w:val="center"/>
        <w:rPr>
          <w:b/>
          <w:bCs/>
        </w:rPr>
      </w:pPr>
      <w:r>
        <w:rPr>
          <w:b/>
          <w:bCs/>
        </w:rPr>
        <w:t>Обстоятельства непреодолимой силы (форс-мажор)</w:t>
      </w:r>
    </w:p>
    <w:p>
      <w:pPr>
        <w:pStyle w:val="ListParagraph"/>
        <w:numPr>
          <w:ilvl w:val="1"/>
          <w:numId w:val="4"/>
        </w:numPr>
        <w:shd w:val="clear" w:color="auto" w:fill="FFFFFF"/>
        <w:tabs>
          <w:tab w:val="clear" w:pos="709"/>
          <w:tab w:val="left" w:pos="1134" w:leader="none"/>
        </w:tabs>
        <w:ind w:left="0" w:firstLine="709"/>
        <w:jc w:val="both"/>
        <w:rPr>
          <w:bCs/>
        </w:rPr>
      </w:pPr>
      <w:r>
        <w:rPr>
          <w:bCs/>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numPr>
          <w:ilvl w:val="1"/>
          <w:numId w:val="4"/>
        </w:numPr>
        <w:shd w:val="clear" w:color="auto" w:fill="FFFFFF"/>
        <w:tabs>
          <w:tab w:val="clear" w:pos="709"/>
          <w:tab w:val="left" w:pos="1134" w:leader="none"/>
        </w:tabs>
        <w:ind w:left="0" w:firstLine="709"/>
        <w:jc w:val="both"/>
        <w:rPr>
          <w:bCs/>
        </w:rPr>
      </w:pPr>
      <w:r>
        <w:rPr>
          <w:bCs/>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numPr>
          <w:ilvl w:val="1"/>
          <w:numId w:val="4"/>
        </w:numPr>
        <w:shd w:val="clear" w:color="auto" w:fill="FFFFFF"/>
        <w:tabs>
          <w:tab w:val="clear" w:pos="709"/>
          <w:tab w:val="left" w:pos="1134" w:leader="none"/>
        </w:tabs>
        <w:ind w:left="0" w:firstLine="709"/>
        <w:jc w:val="both"/>
        <w:rPr>
          <w:bCs/>
        </w:rPr>
      </w:pPr>
      <w:r>
        <w:rPr>
          <w:bCs/>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numPr>
          <w:ilvl w:val="1"/>
          <w:numId w:val="4"/>
        </w:numPr>
        <w:shd w:val="clear" w:color="auto" w:fill="FFFFFF"/>
        <w:tabs>
          <w:tab w:val="clear" w:pos="709"/>
          <w:tab w:val="left" w:pos="1134" w:leader="none"/>
        </w:tabs>
        <w:ind w:left="0" w:firstLine="709"/>
        <w:jc w:val="both"/>
        <w:rPr>
          <w:bCs/>
        </w:rPr>
      </w:pPr>
      <w:r>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numPr>
          <w:ilvl w:val="1"/>
          <w:numId w:val="4"/>
        </w:numPr>
        <w:shd w:val="clear" w:color="auto" w:fill="FFFFFF"/>
        <w:tabs>
          <w:tab w:val="clear" w:pos="709"/>
          <w:tab w:val="left" w:pos="1134" w:leader="none"/>
        </w:tabs>
        <w:ind w:left="0" w:firstLine="709"/>
        <w:jc w:val="both"/>
        <w:rPr>
          <w:bCs/>
        </w:rPr>
      </w:pPr>
      <w:r>
        <w:rPr>
          <w:bCs/>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numPr>
          <w:ilvl w:val="1"/>
          <w:numId w:val="4"/>
        </w:numPr>
        <w:shd w:val="clear" w:color="auto" w:fill="FFFFFF"/>
        <w:tabs>
          <w:tab w:val="clear" w:pos="709"/>
          <w:tab w:val="left" w:pos="568" w:leader="none"/>
        </w:tabs>
        <w:ind w:left="0" w:firstLine="709"/>
        <w:jc w:val="both"/>
        <w:rPr>
          <w:bCs/>
        </w:rPr>
      </w:pPr>
      <w:r>
        <w:rPr>
          <w:bCs/>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568" w:leader="none"/>
        </w:tabs>
        <w:ind w:left="0" w:firstLine="709"/>
        <w:jc w:val="both"/>
        <w:rPr>
          <w:bCs/>
        </w:rPr>
      </w:pPr>
      <w:r>
        <w:rPr>
          <w:bCs/>
        </w:rPr>
        <w:t>При этом любая из Сторон вправе отказаться от исполнения Договора в одностороннем внесудебном порядке.</w:t>
      </w:r>
    </w:p>
    <w:p>
      <w:pPr>
        <w:pStyle w:val="Normal"/>
        <w:spacing w:lineRule="auto" w:line="240"/>
        <w:ind w:hanging="0"/>
        <w:rPr>
          <w:sz w:val="24"/>
          <w:szCs w:val="24"/>
        </w:rPr>
      </w:pPr>
      <w:r>
        <w:rPr>
          <w:sz w:val="24"/>
          <w:szCs w:val="24"/>
        </w:rPr>
      </w:r>
    </w:p>
    <w:p>
      <w:pPr>
        <w:pStyle w:val="ListParagraph"/>
        <w:numPr>
          <w:ilvl w:val="0"/>
          <w:numId w:val="4"/>
        </w:numPr>
        <w:shd w:val="clear" w:color="auto" w:fill="FFFFFF"/>
        <w:tabs>
          <w:tab w:val="clear" w:pos="709"/>
          <w:tab w:val="left" w:pos="426" w:leader="none"/>
        </w:tabs>
        <w:ind w:left="0" w:hanging="0"/>
        <w:jc w:val="center"/>
        <w:rPr>
          <w:b/>
          <w:bCs/>
        </w:rPr>
      </w:pPr>
      <w:r>
        <w:rPr>
          <w:b/>
          <w:bCs/>
        </w:rPr>
        <w:t>Особые положения</w:t>
      </w:r>
    </w:p>
    <w:p>
      <w:pPr>
        <w:pStyle w:val="ListParagraph"/>
        <w:numPr>
          <w:ilvl w:val="1"/>
          <w:numId w:val="4"/>
        </w:numPr>
        <w:shd w:val="clear" w:color="auto" w:fill="FFFFFF"/>
        <w:tabs>
          <w:tab w:val="clear" w:pos="709"/>
          <w:tab w:val="left" w:pos="1134" w:leader="none"/>
        </w:tabs>
        <w:ind w:left="0" w:firstLine="709"/>
        <w:jc w:val="both"/>
        <w:rPr>
          <w:bCs/>
        </w:rPr>
      </w:pPr>
      <w:bookmarkStart w:id="33" w:name="_Ref361337900"/>
      <w:r>
        <w:rPr>
          <w:bCs/>
        </w:rPr>
        <w:t>Подрядчик обязуется не привлекать и не допускать привлечения к исполнению обязательств по Договору организации:</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 </w:t>
      </w:r>
      <w:r>
        <w:rPr>
          <w:bCs/>
        </w:rPr>
        <w:t xml:space="preserve">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bCs/>
          </w:rPr>
          <w:t>№ 18162/09</w:t>
        </w:r>
      </w:hyperlink>
      <w:r>
        <w:rPr>
          <w:bCs/>
        </w:rPr>
        <w:t xml:space="preserve"> и от 25.05.2010 </w:t>
      </w:r>
      <w:hyperlink r:id="rId3">
        <w:r>
          <w:rPr>
            <w:bCs/>
          </w:rPr>
          <w:t>№ 15658/09</w:t>
        </w:r>
      </w:hyperlink>
      <w:r>
        <w:rPr>
          <w:bCs/>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 / или </w:t>
      </w:r>
    </w:p>
    <w:p>
      <w:pPr>
        <w:pStyle w:val="ListParagraph"/>
        <w:numPr>
          <w:ilvl w:val="1"/>
          <w:numId w:val="13"/>
        </w:numPr>
        <w:shd w:val="clear" w:color="auto" w:fill="FFFFFF"/>
        <w:tabs>
          <w:tab w:val="clear" w:pos="709"/>
          <w:tab w:val="left" w:pos="1134" w:leader="none"/>
        </w:tabs>
        <w:ind w:left="0" w:firstLine="709"/>
        <w:jc w:val="both"/>
        <w:rPr>
          <w:bCs/>
        </w:rPr>
      </w:pPr>
      <w:r>
        <w:rPr>
          <w:bCs/>
        </w:rPr>
        <w:t xml:space="preserve">соответствующие </w:t>
      </w:r>
      <w:hyperlink r:id="rId4">
        <w:r>
          <w:rPr>
            <w:bCs/>
          </w:rPr>
          <w:t>Критери</w:t>
        </w:r>
      </w:hyperlink>
      <w:r>
        <w:rPr>
          <w:bCs/>
        </w:rPr>
        <w:t>ям самостоятельной оценки рисков для налогоплательщиков, используемым налоговыми органами в процессе отбора объектов для проведения выездных налоговых проверок (утверждены приказом ФНС России от 30.05.2007 № ММ-3-06/333@).</w:t>
      </w:r>
      <w:bookmarkEnd w:id="33"/>
    </w:p>
    <w:p>
      <w:pPr>
        <w:pStyle w:val="ListParagraph"/>
        <w:numPr>
          <w:ilvl w:val="1"/>
          <w:numId w:val="4"/>
        </w:numPr>
        <w:shd w:val="clear" w:color="auto" w:fill="FFFFFF"/>
        <w:tabs>
          <w:tab w:val="clear" w:pos="709"/>
          <w:tab w:val="left" w:pos="1134" w:leader="none"/>
        </w:tabs>
        <w:ind w:left="0" w:firstLine="709"/>
        <w:jc w:val="both"/>
        <w:rPr>
          <w:bCs/>
        </w:rPr>
      </w:pPr>
      <w:bookmarkStart w:id="34" w:name="_Ref361337921"/>
      <w:r>
        <w:rPr>
          <w:bCs/>
        </w:rPr>
        <w:t>Подрядчик обязуется незамедлительно уведомить Заказчика о появлении в ходе исполнения Договора у привлеченных Подрядчиком Субподрядчиков признаков недобросовестности, указанных в пункте 13.1 Договора, а также обеспечить прекращение участия таких организаций в исполнении Договора.</w:t>
      </w:r>
      <w:bookmarkEnd w:id="34"/>
    </w:p>
    <w:p>
      <w:pPr>
        <w:pStyle w:val="ListParagraph"/>
        <w:numPr>
          <w:ilvl w:val="1"/>
          <w:numId w:val="4"/>
        </w:numPr>
        <w:shd w:val="clear" w:color="auto" w:fill="FFFFFF"/>
        <w:tabs>
          <w:tab w:val="clear" w:pos="709"/>
          <w:tab w:val="left" w:pos="1134" w:leader="none"/>
        </w:tabs>
        <w:ind w:left="0" w:firstLine="709"/>
        <w:jc w:val="both"/>
        <w:rPr>
          <w:bCs/>
        </w:rPr>
      </w:pPr>
      <w:bookmarkStart w:id="35" w:name="_Ref361337948"/>
      <w:r>
        <w:rPr>
          <w:bCs/>
        </w:rPr>
        <w:t>В случае нарушения Подрядчиком обязательств, установленных пунктами 13.1, 13.2 Договора, Заказчик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не должна наступать ранее 10 (десяти) рабочих дней с даты получения Подрядчиком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Заказчик не отзовет указанное уведомление по итогам рассмотрения мотивированных письменных возражений Подрядчика, представленных до наступления указанной Заказчиком даты расторжения.</w:t>
      </w:r>
      <w:bookmarkEnd w:id="35"/>
    </w:p>
    <w:p>
      <w:pPr>
        <w:pStyle w:val="ListParagraph"/>
        <w:numPr>
          <w:ilvl w:val="1"/>
          <w:numId w:val="4"/>
        </w:numPr>
        <w:shd w:val="clear" w:color="auto" w:fill="FFFFFF"/>
        <w:tabs>
          <w:tab w:val="clear" w:pos="709"/>
          <w:tab w:val="left" w:pos="1134" w:leader="none"/>
        </w:tabs>
        <w:ind w:left="0" w:firstLine="709"/>
        <w:jc w:val="both"/>
        <w:rPr>
          <w:bCs/>
        </w:rPr>
      </w:pPr>
      <w:bookmarkStart w:id="36" w:name="_Ref361337980"/>
      <w:r>
        <w:rPr>
          <w:bCs/>
        </w:rPr>
        <w:t>Подрядчик обязан уплатить Заказчику штраф в размере суммы денежных средств, перечисленных организации, отвечающей признакам недобросовестности, а также дополнительно компенсировать Заказчику убытки, причиненные в результате нарушения обязательств, установленных пунктами 13.1, 13.2 Договора.</w:t>
      </w:r>
      <w:bookmarkEnd w:id="36"/>
    </w:p>
    <w:p>
      <w:pPr>
        <w:pStyle w:val="ListParagraph"/>
        <w:numPr>
          <w:ilvl w:val="1"/>
          <w:numId w:val="4"/>
        </w:numPr>
        <w:shd w:val="clear" w:color="auto" w:fill="FFFFFF"/>
        <w:tabs>
          <w:tab w:val="clear" w:pos="709"/>
          <w:tab w:val="left" w:pos="1134" w:leader="none"/>
        </w:tabs>
        <w:ind w:left="0" w:firstLine="709"/>
        <w:jc w:val="both"/>
        <w:rPr>
          <w:bCs/>
        </w:rPr>
      </w:pPr>
      <w:bookmarkStart w:id="37" w:name="_Ref373243071"/>
      <w:r>
        <w:rPr>
          <w:bCs/>
        </w:rPr>
        <w:t>Штраф, предусмотренный пунктом 13.4 Договора, оплачивается Подрядчиком в течение 10 (десяти) рабочих дней с даты получения соответствующего письменного требования Заказчика. Заказчик вправе предъявить требование об уплате штрафа вне независимости от направления уведомления об отказе от Договора (исполнения Договора), предусмотренного пунктом 13.3 Договора.</w:t>
      </w:r>
      <w:bookmarkEnd w:id="37"/>
    </w:p>
    <w:p>
      <w:pPr>
        <w:pStyle w:val="ListParagraph"/>
        <w:numPr>
          <w:ilvl w:val="1"/>
          <w:numId w:val="4"/>
        </w:numPr>
        <w:shd w:val="clear" w:color="auto" w:fill="FFFFFF"/>
        <w:tabs>
          <w:tab w:val="clear" w:pos="709"/>
          <w:tab w:val="left" w:pos="1134" w:leader="none"/>
        </w:tabs>
        <w:ind w:left="0" w:firstLine="709"/>
        <w:jc w:val="both"/>
        <w:rPr>
          <w:bCs/>
        </w:rPr>
      </w:pPr>
      <w:bookmarkStart w:id="38" w:name="_Ref361337992"/>
      <w:r>
        <w:rPr>
          <w:bCs/>
        </w:rPr>
        <w:t>Заказчик вправе приостановить осуществление любых платежей по Договору, причитающихся Подрядчику, независимо от наличия оснований и наступления сроков таких платежей, до уплаты Подрядчиком штрафа, предусмотренного пунктом 13.4 Договора. При этом Заказчик не будет считаться просрочившим и / или нарушившим свои обязательства по Договору.</w:t>
      </w:r>
      <w:bookmarkEnd w:id="38"/>
    </w:p>
    <w:p>
      <w:pPr>
        <w:pStyle w:val="ListParagraph"/>
        <w:numPr>
          <w:ilvl w:val="1"/>
          <w:numId w:val="4"/>
        </w:numPr>
        <w:shd w:val="clear" w:color="auto" w:fill="FFFFFF"/>
        <w:tabs>
          <w:tab w:val="clear" w:pos="709"/>
          <w:tab w:val="left" w:pos="1134" w:leader="none"/>
        </w:tabs>
        <w:ind w:left="0" w:firstLine="709"/>
        <w:jc w:val="both"/>
        <w:rPr>
          <w:bCs/>
        </w:rPr>
      </w:pPr>
      <w:r>
        <w:rPr>
          <w:bCs/>
        </w:rPr>
        <w:t>Независимо от других положений Договора, положения пунктов 13.4, 13.5 Договора продолжают действовать в течение 4 (четырех) лет после его прекращения (расторжения) или исполнения.</w:t>
      </w:r>
    </w:p>
    <w:p>
      <w:pPr>
        <w:pStyle w:val="ListParagraph"/>
        <w:numPr>
          <w:ilvl w:val="0"/>
          <w:numId w:val="4"/>
        </w:numPr>
        <w:shd w:val="clear" w:color="auto" w:fill="FFFFFF"/>
        <w:tabs>
          <w:tab w:val="clear" w:pos="709"/>
          <w:tab w:val="left" w:pos="426" w:leader="none"/>
        </w:tabs>
        <w:ind w:left="0" w:hanging="0"/>
        <w:jc w:val="center"/>
        <w:rPr>
          <w:b/>
        </w:rPr>
      </w:pPr>
      <w:r>
        <w:rPr>
          <w:b/>
          <w:bCs/>
        </w:rPr>
        <w:t>Заверения</w:t>
      </w:r>
      <w:r>
        <w:rPr>
          <w:b/>
        </w:rPr>
        <w:t xml:space="preserve"> Сторон</w:t>
      </w:r>
    </w:p>
    <w:p>
      <w:pPr>
        <w:pStyle w:val="ListParagraph"/>
        <w:numPr>
          <w:ilvl w:val="1"/>
          <w:numId w:val="4"/>
        </w:numPr>
        <w:shd w:val="clear" w:color="auto" w:fill="FFFFFF"/>
        <w:tabs>
          <w:tab w:val="clear" w:pos="709"/>
          <w:tab w:val="left" w:pos="1134" w:leader="none"/>
          <w:tab w:val="left" w:pos="1418" w:leader="none"/>
        </w:tabs>
        <w:ind w:left="0" w:firstLine="709"/>
        <w:jc w:val="both"/>
        <w:rPr/>
      </w:pPr>
      <w:r>
        <w:rPr>
          <w:bCs/>
        </w:rPr>
        <w:t>Каждая</w:t>
      </w:r>
      <w:r>
        <w:rPr/>
        <w:t xml:space="preserve"> из Сторон заявляет и подтверждает другой Стороне, что: </w:t>
      </w:r>
    </w:p>
    <w:p>
      <w:pPr>
        <w:pStyle w:val="ListParagraph"/>
        <w:numPr>
          <w:ilvl w:val="0"/>
          <w:numId w:val="10"/>
        </w:numPr>
        <w:shd w:val="clear" w:color="auto" w:fill="FFFFFF"/>
        <w:tabs>
          <w:tab w:val="left" w:pos="709" w:leader="none"/>
          <w:tab w:val="left" w:pos="1418" w:leader="none"/>
        </w:tabs>
        <w:ind w:left="0" w:firstLine="709"/>
        <w:jc w:val="both"/>
        <w:rPr/>
      </w:pPr>
      <w:r>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numPr>
          <w:ilvl w:val="0"/>
          <w:numId w:val="10"/>
        </w:numPr>
        <w:shd w:val="clear" w:color="auto" w:fill="FFFFFF"/>
        <w:tabs>
          <w:tab w:val="left" w:pos="709" w:leader="none"/>
          <w:tab w:val="left" w:pos="1418" w:leader="none"/>
        </w:tabs>
        <w:ind w:left="0" w:firstLine="709"/>
        <w:jc w:val="both"/>
        <w:rPr/>
      </w:pPr>
      <w:r>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0"/>
        </w:numPr>
        <w:shd w:val="clear" w:color="auto" w:fill="FFFFFF"/>
        <w:tabs>
          <w:tab w:val="left" w:pos="709" w:leader="none"/>
          <w:tab w:val="left" w:pos="1418" w:leader="none"/>
        </w:tabs>
        <w:ind w:left="0" w:firstLine="709"/>
        <w:jc w:val="both"/>
        <w:rPr/>
      </w:pPr>
      <w:r>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0"/>
        </w:numPr>
        <w:shd w:val="clear" w:color="auto" w:fill="FFFFFF"/>
        <w:tabs>
          <w:tab w:val="left" w:pos="709" w:leader="none"/>
          <w:tab w:val="left" w:pos="1418" w:leader="none"/>
        </w:tabs>
        <w:ind w:left="0" w:firstLine="709"/>
        <w:jc w:val="both"/>
        <w:rPr/>
      </w:pPr>
      <w:r>
        <w:rPr/>
        <w:t>лица, подписывающие от имени Сторон Договор, надлежащим образом уполномочены на его подписание;</w:t>
      </w:r>
    </w:p>
    <w:p>
      <w:pPr>
        <w:pStyle w:val="ListParagraph"/>
        <w:numPr>
          <w:ilvl w:val="0"/>
          <w:numId w:val="10"/>
        </w:numPr>
        <w:shd w:val="clear" w:color="auto" w:fill="FFFFFF"/>
        <w:tabs>
          <w:tab w:val="left" w:pos="709" w:leader="none"/>
          <w:tab w:val="left" w:pos="1418" w:leader="none"/>
        </w:tabs>
        <w:ind w:left="0" w:firstLine="709"/>
        <w:jc w:val="both"/>
        <w:rPr/>
      </w:pPr>
      <w:r>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4"/>
        </w:numPr>
        <w:shd w:val="clear" w:color="auto" w:fill="FFFFFF"/>
        <w:tabs>
          <w:tab w:val="clear" w:pos="709"/>
          <w:tab w:val="left" w:pos="1134" w:leader="none"/>
          <w:tab w:val="left" w:pos="1418" w:leader="none"/>
        </w:tabs>
        <w:ind w:left="0" w:firstLine="709"/>
        <w:jc w:val="both"/>
        <w:rPr/>
      </w:pPr>
      <w:r>
        <w:rPr/>
        <w:t>Подрядчик заявляет и заверяет Заказчика в том, что на момент заключения Договора:</w:t>
      </w:r>
    </w:p>
    <w:p>
      <w:pPr>
        <w:pStyle w:val="ListParagraph"/>
        <w:numPr>
          <w:ilvl w:val="0"/>
          <w:numId w:val="12"/>
        </w:numPr>
        <w:shd w:val="clear" w:color="auto" w:fill="FFFFFF"/>
        <w:tabs>
          <w:tab w:val="left" w:pos="709" w:leader="none"/>
          <w:tab w:val="left" w:pos="1418" w:leader="none"/>
        </w:tabs>
        <w:ind w:left="0" w:firstLine="709"/>
        <w:jc w:val="both"/>
        <w:rPr/>
      </w:pPr>
      <w:r>
        <w:rPr/>
        <w:t>учредителем / учредителями Подрядчика являются лица, не являющиеся массовыми учредителем / учредителями;</w:t>
      </w:r>
    </w:p>
    <w:p>
      <w:pPr>
        <w:pStyle w:val="ListParagraph"/>
        <w:numPr>
          <w:ilvl w:val="0"/>
          <w:numId w:val="12"/>
        </w:numPr>
        <w:shd w:val="clear" w:color="auto" w:fill="FFFFFF"/>
        <w:tabs>
          <w:tab w:val="left" w:pos="709" w:leader="none"/>
          <w:tab w:val="left" w:pos="1418" w:leader="none"/>
        </w:tabs>
        <w:ind w:left="0" w:firstLine="709"/>
        <w:jc w:val="both"/>
        <w:rPr/>
      </w:pPr>
      <w:r>
        <w:rPr/>
        <w:t>руководителем Подрядчика является лицо, не являющееся массовым руководителем;</w:t>
      </w:r>
    </w:p>
    <w:p>
      <w:pPr>
        <w:pStyle w:val="ListParagraph"/>
        <w:numPr>
          <w:ilvl w:val="0"/>
          <w:numId w:val="12"/>
        </w:numPr>
        <w:shd w:val="clear" w:color="auto" w:fill="FFFFFF"/>
        <w:tabs>
          <w:tab w:val="left" w:pos="709" w:leader="none"/>
          <w:tab w:val="left" w:pos="1418" w:leader="none"/>
        </w:tabs>
        <w:ind w:left="0" w:firstLine="709"/>
        <w:jc w:val="both"/>
        <w:rPr/>
      </w:pPr>
      <w:r>
        <w:rPr/>
        <w:t xml:space="preserve">Подрядчик фактически находится по адресу, указанному в Едином государственном реестре юридических лиц; </w:t>
      </w:r>
    </w:p>
    <w:p>
      <w:pPr>
        <w:pStyle w:val="ListParagraph"/>
        <w:numPr>
          <w:ilvl w:val="0"/>
          <w:numId w:val="12"/>
        </w:numPr>
        <w:shd w:val="clear" w:color="auto" w:fill="FFFFFF"/>
        <w:tabs>
          <w:tab w:val="left" w:pos="709" w:leader="none"/>
          <w:tab w:val="left" w:pos="1418" w:leader="none"/>
        </w:tabs>
        <w:ind w:left="0" w:firstLine="709"/>
        <w:jc w:val="both"/>
        <w:rPr/>
      </w:pPr>
      <w:r>
        <w:rPr/>
        <w:t>Подрядчик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Подрядчика должным образом исполнять обязательства, возникающие из Договора или в связи с ним;</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 xml:space="preserve">Подрядчик состоит в СРО, основанной на членстве лиц, </w:t>
      </w:r>
      <w:r>
        <w:rPr>
          <w:highlight w:val="lightGray"/>
        </w:rPr>
        <w:t>осуществляющих подготовку проектной документации</w:t>
      </w:r>
      <w:r>
        <w:rPr>
          <w:rStyle w:val="FootnoteReference"/>
        </w:rPr>
        <w:footnoteReference w:id="12"/>
      </w:r>
      <w:r>
        <w:rPr/>
        <w:t>;</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имеет в штате по основному месту работы не менее 2 (двух) специалистов по организации инженерных изысканий / архитектурно-строительного проектирования, сведения о которых включены в Национальный реестр специалистов в области инженерных изысканий и архитектурно-строительного проектирования</w:t>
      </w:r>
      <w:r>
        <w:rPr>
          <w:rStyle w:val="FootnoteReference"/>
        </w:rPr>
        <w:footnoteReference w:id="13"/>
      </w:r>
      <w:r>
        <w:rPr/>
        <w:t>;</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не отозвана (прекращена, приостановлена, признана недействительной) лицензия или иной документ, необходимый для осуществления деятельности Подрядчика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Подрядчиком, не подлежит лицензированию и / или не требует получения иного разрешительного документа;</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 xml:space="preserve">Подрядчик тщательно изучил всю информацию, связанную с Договором, в том числе по вопросам, влияющим на сроки, стоимость и качество Работ, полностью ознакомлен со всеми условиями производства Работ, и принимает на себя все расходы, риски и трудности исполнения обязательств, возникающих из Договора или в связи с ним; </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вся информация, предоставленная Заказчику, является достоверной, полной и точной, и Подрядчик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0"/>
          <w:numId w:val="11"/>
        </w:numPr>
        <w:shd w:val="clear" w:color="auto" w:fill="FFFFFF"/>
        <w:tabs>
          <w:tab w:val="clear" w:pos="709"/>
          <w:tab w:val="left" w:pos="567" w:leader="none"/>
          <w:tab w:val="left" w:pos="1418" w:leader="none"/>
        </w:tabs>
        <w:ind w:left="0" w:firstLine="709"/>
        <w:jc w:val="both"/>
        <w:rPr/>
      </w:pPr>
      <w:r>
        <w:rPr/>
        <w:t>Подрядчик согласен на многократное применение разработанной им Проектной документации в качестве типовой проектной документации (проектной документации повторного использования) и (или) Результата Инженерных изысканий, полученных для подготовки такой Проектной документации.</w:t>
      </w:r>
    </w:p>
    <w:p>
      <w:pPr>
        <w:pStyle w:val="Normal"/>
        <w:numPr>
          <w:ilvl w:val="1"/>
          <w:numId w:val="4"/>
        </w:numPr>
        <w:spacing w:lineRule="auto" w:line="240"/>
        <w:ind w:left="0" w:firstLine="709"/>
        <w:rPr>
          <w:sz w:val="24"/>
          <w:szCs w:val="24"/>
        </w:rPr>
      </w:pPr>
      <w:r>
        <w:rPr>
          <w:sz w:val="24"/>
          <w:szCs w:val="24"/>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w:t>
      </w:r>
    </w:p>
    <w:p>
      <w:pPr>
        <w:pStyle w:val="ListParagraph"/>
        <w:numPr>
          <w:ilvl w:val="1"/>
          <w:numId w:val="4"/>
        </w:numPr>
        <w:shd w:val="clear" w:color="auto" w:fill="FFFFFF"/>
        <w:tabs>
          <w:tab w:val="clear" w:pos="709"/>
          <w:tab w:val="left" w:pos="1134" w:leader="none"/>
          <w:tab w:val="left" w:pos="1418" w:leader="none"/>
        </w:tabs>
        <w:ind w:left="0" w:firstLine="709"/>
        <w:jc w:val="both"/>
        <w:rPr/>
      </w:pPr>
      <w:r>
        <w:rPr/>
        <w:t xml:space="preserve">В случае, если </w:t>
      </w:r>
      <w:r>
        <w:rPr>
          <w:bCs/>
        </w:rPr>
        <w:t>Подрядчик</w:t>
      </w:r>
      <w:r>
        <w:rPr/>
        <w:t xml:space="preserve"> 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rPr>
        <w:t xml:space="preserve">Подрядчик </w:t>
      </w:r>
      <w:r>
        <w:rPr/>
        <w:t>обязан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4"/>
        </w:numPr>
        <w:shd w:val="clear" w:color="auto" w:fill="FFFFFF"/>
        <w:tabs>
          <w:tab w:val="clear" w:pos="709"/>
          <w:tab w:val="left" w:pos="1134" w:leader="none"/>
          <w:tab w:val="left" w:pos="1418" w:leader="none"/>
        </w:tabs>
        <w:ind w:left="0" w:firstLine="709"/>
        <w:jc w:val="both"/>
        <w:rPr/>
      </w:pPr>
      <w:r>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shd w:val="clear" w:color="auto" w:fill="FFFFFF"/>
        <w:tabs>
          <w:tab w:val="clear" w:pos="709"/>
          <w:tab w:val="left" w:pos="1134" w:leader="none"/>
          <w:tab w:val="left" w:pos="1418" w:leader="none"/>
        </w:tabs>
        <w:ind w:left="709" w:hanging="0"/>
        <w:jc w:val="both"/>
        <w:rPr>
          <w:b/>
        </w:rPr>
      </w:pPr>
      <w:r>
        <w:rPr>
          <w:b/>
        </w:rPr>
      </w:r>
    </w:p>
    <w:p>
      <w:pPr>
        <w:pStyle w:val="ListParagraph"/>
        <w:numPr>
          <w:ilvl w:val="0"/>
          <w:numId w:val="4"/>
        </w:numPr>
        <w:shd w:val="clear" w:color="auto" w:fill="FFFFFF"/>
        <w:tabs>
          <w:tab w:val="clear" w:pos="709"/>
          <w:tab w:val="left" w:pos="426" w:leader="none"/>
        </w:tabs>
        <w:ind w:left="0" w:hanging="0"/>
        <w:jc w:val="center"/>
        <w:rPr>
          <w:b/>
        </w:rPr>
      </w:pPr>
      <w:r>
        <w:rPr>
          <w:b/>
          <w:bCs/>
        </w:rPr>
        <w:t>П</w:t>
      </w:r>
      <w:r>
        <w:rPr>
          <w:b/>
        </w:rPr>
        <w:t>рекращение (расторжение) Договора</w:t>
      </w:r>
    </w:p>
    <w:p>
      <w:pPr>
        <w:pStyle w:val="ListParagraph"/>
        <w:numPr>
          <w:ilvl w:val="1"/>
          <w:numId w:val="4"/>
        </w:numPr>
        <w:shd w:val="clear" w:color="auto" w:fill="FFFFFF"/>
        <w:tabs>
          <w:tab w:val="clear" w:pos="709"/>
          <w:tab w:val="left" w:pos="1134" w:leader="none"/>
        </w:tabs>
        <w:ind w:left="0" w:firstLine="709"/>
        <w:jc w:val="both"/>
        <w:rPr/>
      </w:pPr>
      <w:r>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highlight w:val="lightGray"/>
        </w:rPr>
        <w:t>16.8</w:t>
      </w:r>
      <w:r>
        <w:rPr/>
        <w:t xml:space="preserve">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4"/>
        </w:numPr>
        <w:shd w:val="clear" w:color="auto" w:fill="FFFFFF"/>
        <w:tabs>
          <w:tab w:val="clear" w:pos="709"/>
          <w:tab w:val="left" w:pos="1134" w:leader="none"/>
        </w:tabs>
        <w:ind w:left="0" w:firstLine="709"/>
        <w:jc w:val="both"/>
        <w:rPr/>
      </w:pPr>
      <w:r>
        <w:rPr/>
        <w:t xml:space="preserve">Заказчик вправе в любое время до сдачи ему результатов Работ в одностороннем внесудебном порядке отказаться от Договора полностью или в части, уплатив Подрядчику часть установленной Цены Договора, пропорциональную части Работ, выполненных до получения Подрядчиком уведомления Заказчика об отказе от Договора (исполнения Договора). </w:t>
      </w:r>
    </w:p>
    <w:p>
      <w:pPr>
        <w:pStyle w:val="ListParagraph"/>
        <w:shd w:val="clear" w:color="auto" w:fill="FFFFFF"/>
        <w:tabs>
          <w:tab w:val="clear" w:pos="709"/>
          <w:tab w:val="left" w:pos="1134" w:leader="none"/>
        </w:tabs>
        <w:ind w:left="0" w:firstLine="709"/>
        <w:jc w:val="both"/>
        <w:rPr/>
      </w:pPr>
      <w:r>
        <w:rPr/>
        <w:t>Возмещение убытков Подрядчика, вызванных отказом от Договора (исполнения Договора), Заказчиком не производится.</w:t>
      </w:r>
    </w:p>
    <w:p>
      <w:pPr>
        <w:pStyle w:val="ListParagraph"/>
        <w:numPr>
          <w:ilvl w:val="1"/>
          <w:numId w:val="4"/>
        </w:numPr>
        <w:shd w:val="clear" w:color="auto" w:fill="FFFFFF"/>
        <w:tabs>
          <w:tab w:val="clear" w:pos="709"/>
          <w:tab w:val="left" w:pos="1134" w:leader="none"/>
        </w:tabs>
        <w:ind w:left="0" w:firstLine="709"/>
        <w:jc w:val="both"/>
        <w:rPr/>
      </w:pPr>
      <w:r>
        <w:rPr/>
        <w:t>В случае существенного нарушения Договора Подрядчиком Заказчик вправе в одностороннем внесудебном порядке отказаться от Договора и потребовать полного возмещения Подрядчиком убытков, причиненных отказом от Договора (исполнения Договора).</w:t>
      </w:r>
    </w:p>
    <w:p>
      <w:pPr>
        <w:pStyle w:val="ListParagraph"/>
        <w:shd w:val="clear" w:color="auto" w:fill="FFFFFF"/>
        <w:tabs>
          <w:tab w:val="clear" w:pos="709"/>
          <w:tab w:val="left" w:pos="1134" w:leader="none"/>
        </w:tabs>
        <w:ind w:left="0" w:firstLine="709"/>
        <w:jc w:val="both"/>
        <w:rPr/>
      </w:pPr>
      <w:r>
        <w:rPr/>
        <w:t>Заказчик одновременно с уведомлением об отказе от Договора (исполнения Договора) направляет Подрядчику письменное требование о возмещении убытков с приложением расчета суммы убытков. Подрядчик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4"/>
        </w:numPr>
        <w:shd w:val="clear" w:color="auto" w:fill="FFFFFF"/>
        <w:tabs>
          <w:tab w:val="clear" w:pos="709"/>
          <w:tab w:val="left" w:pos="1134" w:leader="none"/>
        </w:tabs>
        <w:ind w:left="0" w:firstLine="709"/>
        <w:jc w:val="both"/>
        <w:rPr/>
      </w:pPr>
      <w:r>
        <w:rPr/>
        <w:t>Стороны установили, что существенным нарушением Договора Подрядчиком является:</w:t>
      </w:r>
    </w:p>
    <w:p>
      <w:pPr>
        <w:pStyle w:val="ListParagraph"/>
        <w:numPr>
          <w:ilvl w:val="0"/>
          <w:numId w:val="9"/>
        </w:numPr>
        <w:tabs>
          <w:tab w:val="clear" w:pos="709"/>
          <w:tab w:val="left" w:pos="1134" w:leader="none"/>
        </w:tabs>
        <w:ind w:left="0" w:right="23" w:firstLine="709"/>
        <w:jc w:val="both"/>
        <w:rPr/>
      </w:pPr>
      <w:r>
        <w:rPr/>
        <w:t>нарушение Подрядчиком начального и конечного сроков выполнения Работ по Договору, а также промежуточных сроков выполнения Работ, установленных Договором, более чем на 60 (шестьдесят) календарных дней по причинам, не зависящим от Заказчика;</w:t>
      </w:r>
    </w:p>
    <w:p>
      <w:pPr>
        <w:pStyle w:val="ListParagraph"/>
        <w:numPr>
          <w:ilvl w:val="0"/>
          <w:numId w:val="9"/>
        </w:numPr>
        <w:tabs>
          <w:tab w:val="clear" w:pos="709"/>
          <w:tab w:val="left" w:pos="1134" w:leader="none"/>
        </w:tabs>
        <w:ind w:left="0" w:right="23" w:firstLine="709"/>
        <w:jc w:val="both"/>
        <w:rPr/>
      </w:pPr>
      <w:r>
        <w:rPr/>
        <w:t>несоблюдение Подрядчиком требований к качеству Работ</w:t>
      </w:r>
      <w:r>
        <w:rPr>
          <w:bCs/>
        </w:rPr>
        <w:t>,</w:t>
      </w:r>
      <w:r>
        <w:rPr/>
        <w:t xml:space="preserve"> если исправление выявленных Заказчиком недостатков, несоответствий Работ влечет нарушение сроков выполнения Работ более чем на 60 (шестьдесят) календарных дней либо такие недостатки являются неустранимыми;</w:t>
      </w:r>
    </w:p>
    <w:p>
      <w:pPr>
        <w:pStyle w:val="ListParagraph"/>
        <w:numPr>
          <w:ilvl w:val="0"/>
          <w:numId w:val="9"/>
        </w:numPr>
        <w:tabs>
          <w:tab w:val="clear" w:pos="709"/>
          <w:tab w:val="left" w:pos="1134" w:leader="none"/>
        </w:tabs>
        <w:ind w:left="0" w:right="23" w:firstLine="709"/>
        <w:jc w:val="both"/>
        <w:rPr/>
      </w:pPr>
      <w:r>
        <w:rPr/>
        <w:t>отсутствие (по причине отзыва, прекращения, приостановления действия, признания недействительным или по другим основаниям) допусков, разрешений и / или лицензий;</w:t>
      </w:r>
    </w:p>
    <w:p>
      <w:pPr>
        <w:pStyle w:val="ListParagraph"/>
        <w:numPr>
          <w:ilvl w:val="0"/>
          <w:numId w:val="9"/>
        </w:numPr>
        <w:tabs>
          <w:tab w:val="clear" w:pos="709"/>
          <w:tab w:val="left" w:pos="1134" w:leader="none"/>
        </w:tabs>
        <w:ind w:left="0" w:right="23" w:firstLine="709"/>
        <w:jc w:val="both"/>
        <w:rPr/>
      </w:pPr>
      <w:r>
        <w:rPr/>
        <w:t xml:space="preserve">прекращение членства в СРО, основанной на членстве лиц, </w:t>
      </w:r>
      <w:r>
        <w:rPr>
          <w:highlight w:val="lightGray"/>
        </w:rPr>
        <w:t>осуществляющих подготовку проектной документации</w:t>
      </w:r>
      <w:r>
        <w:rPr/>
        <w:t>, предоставляющих Подрядчику право на производство Работ по Договору</w:t>
      </w:r>
      <w:r>
        <w:rPr>
          <w:rStyle w:val="Style6"/>
        </w:rPr>
        <w:t xml:space="preserve"> </w:t>
      </w:r>
      <w:r>
        <w:rPr>
          <w:rStyle w:val="FootnoteReference"/>
        </w:rPr>
        <w:footnoteReference w:id="14"/>
      </w:r>
      <w:r>
        <w:rPr>
          <w:rStyle w:val="Style6"/>
          <w:position w:val="0"/>
          <w:sz w:val="24"/>
          <w:sz w:val="24"/>
          <w:vertAlign w:val="baseline"/>
        </w:rPr>
        <w:t>;</w:t>
      </w:r>
    </w:p>
    <w:p>
      <w:pPr>
        <w:pStyle w:val="ListParagraph"/>
        <w:numPr>
          <w:ilvl w:val="0"/>
          <w:numId w:val="9"/>
        </w:numPr>
        <w:tabs>
          <w:tab w:val="clear" w:pos="709"/>
          <w:tab w:val="left" w:pos="1134" w:leader="none"/>
        </w:tabs>
        <w:ind w:left="0" w:right="23" w:firstLine="709"/>
        <w:jc w:val="both"/>
        <w:rPr/>
      </w:pPr>
      <w:r>
        <w:rPr/>
        <w:t>принятие актов государственных органов или организаций, лишающих Подрядчика в установленном порядке права на производство Работ по Договору</w:t>
      </w:r>
      <w:r>
        <w:rPr>
          <w:rStyle w:val="FootnoteReference"/>
        </w:rPr>
        <w:footnoteReference w:id="15"/>
      </w:r>
      <w:r>
        <w:rPr/>
        <w:t>;</w:t>
      </w:r>
    </w:p>
    <w:p>
      <w:pPr>
        <w:pStyle w:val="ListParagraph"/>
        <w:numPr>
          <w:ilvl w:val="0"/>
          <w:numId w:val="9"/>
        </w:numPr>
        <w:tabs>
          <w:tab w:val="clear" w:pos="709"/>
          <w:tab w:val="left" w:pos="1134" w:leader="none"/>
        </w:tabs>
        <w:ind w:left="0" w:right="23" w:firstLine="709"/>
        <w:jc w:val="both"/>
        <w:rPr/>
      </w:pPr>
      <w:r>
        <w:rPr/>
        <w:t>наложение ареста на имущество Подрядчика, введение арбитражным судом процедуры несостоятельности (банкротства) в отношении Подрядчика;</w:t>
      </w:r>
    </w:p>
    <w:p>
      <w:pPr>
        <w:pStyle w:val="ListParagraph"/>
        <w:numPr>
          <w:ilvl w:val="0"/>
          <w:numId w:val="9"/>
        </w:numPr>
        <w:tabs>
          <w:tab w:val="clear" w:pos="709"/>
          <w:tab w:val="left" w:pos="1134" w:leader="none"/>
        </w:tabs>
        <w:ind w:left="0" w:right="23" w:firstLine="709"/>
        <w:jc w:val="both"/>
        <w:rPr/>
      </w:pPr>
      <w:r>
        <w:rPr/>
        <w:t>привлечение к выполнению Работ по Договору третьих лиц (Субподрядчиков) с нарушением требований, установленных пунктом 2.4.2 Договора;</w:t>
      </w:r>
    </w:p>
    <w:p>
      <w:pPr>
        <w:pStyle w:val="ListParagraph"/>
        <w:numPr>
          <w:ilvl w:val="0"/>
          <w:numId w:val="9"/>
        </w:numPr>
        <w:tabs>
          <w:tab w:val="clear" w:pos="709"/>
          <w:tab w:val="left" w:pos="1134" w:leader="none"/>
        </w:tabs>
        <w:ind w:left="0" w:right="23" w:firstLine="709"/>
        <w:jc w:val="both"/>
        <w:rPr/>
      </w:pPr>
      <w:r>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Заказчику таких документов;</w:t>
      </w:r>
    </w:p>
    <w:p>
      <w:pPr>
        <w:pStyle w:val="ListParagraph"/>
        <w:numPr>
          <w:ilvl w:val="0"/>
          <w:numId w:val="9"/>
        </w:numPr>
        <w:tabs>
          <w:tab w:val="clear" w:pos="709"/>
          <w:tab w:val="left" w:pos="1134" w:leader="none"/>
        </w:tabs>
        <w:ind w:left="0" w:right="23" w:firstLine="709"/>
        <w:jc w:val="both"/>
        <w:rPr/>
      </w:pPr>
      <w:r>
        <w:rPr/>
        <w:t>установление в ходе исполнения Договора фактов несоответствия Подрядчика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Подрядчика об обстоятельствах, указанных в разделе 14 Договора, и имеющих существенное значение для его заключения и исполнения.</w:t>
      </w:r>
    </w:p>
    <w:p>
      <w:pPr>
        <w:pStyle w:val="ListParagraph"/>
        <w:numPr>
          <w:ilvl w:val="1"/>
          <w:numId w:val="4"/>
        </w:numPr>
        <w:shd w:val="clear" w:color="auto" w:fill="FFFFFF"/>
        <w:tabs>
          <w:tab w:val="clear" w:pos="709"/>
          <w:tab w:val="left" w:pos="1134" w:leader="none"/>
        </w:tabs>
        <w:ind w:left="0" w:firstLine="709"/>
        <w:jc w:val="both"/>
        <w:rPr/>
      </w:pPr>
      <w:bookmarkStart w:id="39" w:name="_GoBack"/>
      <w:bookmarkEnd w:id="39"/>
      <w:r>
        <w:rPr/>
        <w:t xml:space="preserve">В случае отказа Заказчика от Договора в случаях, предусмотренных пунктами 15.2, 15.3, 15.4 Договора, последний считается прекращенным (расторгнутым) со дня, следующего за днем получения Подрядчиком уведомления Заказчика об отказе от Договора (исполнения Договора). </w:t>
      </w:r>
    </w:p>
    <w:p>
      <w:pPr>
        <w:pStyle w:val="ListParagraph"/>
        <w:numPr>
          <w:ilvl w:val="1"/>
          <w:numId w:val="4"/>
        </w:numPr>
        <w:shd w:val="clear" w:color="auto" w:fill="FFFFFF"/>
        <w:tabs>
          <w:tab w:val="clear" w:pos="709"/>
          <w:tab w:val="left" w:pos="1134" w:leader="none"/>
        </w:tabs>
        <w:ind w:left="0" w:firstLine="709"/>
        <w:jc w:val="both"/>
        <w:rPr/>
      </w:pPr>
      <w:r>
        <w:rPr/>
        <w:t>С даты прекращения (расторжения) Договора Подрядчик обязан прекратить производство Работ, и в согласованные Сторонами сроки:</w:t>
      </w:r>
    </w:p>
    <w:p>
      <w:pPr>
        <w:pStyle w:val="ListParagraph"/>
        <w:numPr>
          <w:ilvl w:val="0"/>
          <w:numId w:val="19"/>
        </w:numPr>
        <w:shd w:val="clear" w:color="auto" w:fill="FFFFFF"/>
        <w:tabs>
          <w:tab w:val="clear" w:pos="709"/>
          <w:tab w:val="left" w:pos="1418" w:leader="none"/>
        </w:tabs>
        <w:ind w:left="0" w:firstLine="709"/>
        <w:jc w:val="both"/>
        <w:rPr/>
      </w:pPr>
      <w:r>
        <w:rPr/>
        <w:t>передать Заказчику результаты выполненных Работ, техническую и иную полученную документацию</w:t>
      </w:r>
      <w:r>
        <w:rPr>
          <w:bCs/>
        </w:rPr>
        <w:t>;</w:t>
      </w:r>
    </w:p>
    <w:p>
      <w:pPr>
        <w:pStyle w:val="ListParagraph"/>
        <w:numPr>
          <w:ilvl w:val="0"/>
          <w:numId w:val="19"/>
        </w:numPr>
        <w:shd w:val="clear" w:color="auto" w:fill="FFFFFF"/>
        <w:tabs>
          <w:tab w:val="clear" w:pos="709"/>
          <w:tab w:val="left" w:pos="1418" w:leader="none"/>
        </w:tabs>
        <w:ind w:left="0" w:firstLine="709"/>
        <w:jc w:val="both"/>
        <w:rPr>
          <w:rFonts w:cs="Verdana"/>
          <w:highlight w:val="lightGray"/>
        </w:rPr>
      </w:pPr>
      <w:r>
        <w:rPr>
          <w:highlight w:val="lightGray"/>
        </w:rPr>
        <w:t>вывезти с места производства Работ собственную строительную технику</w:t>
      </w:r>
      <w:r>
        <w:rPr>
          <w:rFonts w:cs="Verdana"/>
          <w:highlight w:val="lightGray"/>
        </w:rPr>
        <w:t xml:space="preserve"> и персонал Подрядчика; </w:t>
      </w:r>
    </w:p>
    <w:p>
      <w:pPr>
        <w:pStyle w:val="ListParagraph"/>
        <w:numPr>
          <w:ilvl w:val="0"/>
          <w:numId w:val="19"/>
        </w:numPr>
        <w:shd w:val="clear" w:color="auto" w:fill="FFFFFF"/>
        <w:tabs>
          <w:tab w:val="clear" w:pos="709"/>
          <w:tab w:val="left" w:pos="1418" w:leader="none"/>
        </w:tabs>
        <w:ind w:left="0" w:firstLine="709"/>
        <w:jc w:val="both"/>
        <w:rPr>
          <w:rFonts w:cs="Verdana"/>
          <w:highlight w:val="lightGray"/>
        </w:rPr>
      </w:pPr>
      <w:r>
        <w:rPr>
          <w:rFonts w:cs="Verdana"/>
          <w:highlight w:val="lightGray"/>
        </w:rPr>
        <w:t xml:space="preserve">удалить </w:t>
      </w:r>
      <w:r>
        <w:rPr>
          <w:highlight w:val="lightGray"/>
        </w:rPr>
        <w:t xml:space="preserve">с места производства Работ </w:t>
      </w:r>
      <w:r>
        <w:rPr>
          <w:rFonts w:cs="Verdana"/>
          <w:highlight w:val="lightGray"/>
        </w:rPr>
        <w:t>весь мусор и все остаточные продукты любого рода и оставить место производства Работ чистым и безопасным.</w:t>
      </w:r>
    </w:p>
    <w:p>
      <w:pPr>
        <w:pStyle w:val="ListParagraph"/>
        <w:numPr>
          <w:ilvl w:val="1"/>
          <w:numId w:val="4"/>
        </w:numPr>
        <w:shd w:val="clear" w:color="auto" w:fill="FFFFFF"/>
        <w:tabs>
          <w:tab w:val="clear" w:pos="709"/>
          <w:tab w:val="left" w:pos="1134" w:leader="none"/>
        </w:tabs>
        <w:ind w:left="0" w:firstLine="709"/>
        <w:jc w:val="both"/>
        <w:rPr/>
      </w:pPr>
      <w:r>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Подрядчика по возмещению неустойки (пени), штрафов и убытков в случаях и размерах, предусмотренных Договором.</w:t>
      </w:r>
    </w:p>
    <w:p>
      <w:pPr>
        <w:pStyle w:val="ListParagraph"/>
        <w:shd w:val="clear" w:color="auto" w:fill="FFFFFF"/>
        <w:tabs>
          <w:tab w:val="clear" w:pos="709"/>
          <w:tab w:val="left" w:pos="1134" w:leader="none"/>
        </w:tabs>
        <w:ind w:left="709" w:hanging="0"/>
        <w:jc w:val="both"/>
        <w:rPr/>
      </w:pPr>
      <w:r>
        <w:rPr/>
      </w:r>
    </w:p>
    <w:p>
      <w:pPr>
        <w:pStyle w:val="ListParagraph"/>
        <w:numPr>
          <w:ilvl w:val="0"/>
          <w:numId w:val="4"/>
        </w:numPr>
        <w:shd w:val="clear" w:color="auto" w:fill="FFFFFF"/>
        <w:tabs>
          <w:tab w:val="clear" w:pos="709"/>
          <w:tab w:val="left" w:pos="426" w:leader="none"/>
        </w:tabs>
        <w:ind w:left="0" w:hanging="0"/>
        <w:jc w:val="center"/>
        <w:rPr>
          <w:b/>
          <w:bCs/>
        </w:rPr>
      </w:pPr>
      <w:r>
        <w:rPr>
          <w:b/>
          <w:bCs/>
        </w:rPr>
        <w:t>Заключительные положения</w:t>
      </w:r>
    </w:p>
    <w:p>
      <w:pPr>
        <w:pStyle w:val="ListParagraph"/>
        <w:numPr>
          <w:ilvl w:val="1"/>
          <w:numId w:val="4"/>
        </w:numPr>
        <w:shd w:val="clear" w:color="auto" w:fill="FFFFFF"/>
        <w:tabs>
          <w:tab w:val="clear" w:pos="709"/>
          <w:tab w:val="left" w:pos="1134" w:leader="none"/>
        </w:tabs>
        <w:ind w:left="0" w:firstLine="709"/>
        <w:jc w:val="both"/>
        <w:rPr/>
      </w:pPr>
      <w:r>
        <w:rPr/>
        <w:t>Договор вступает в силу с даты его подписания Сторонами и действует до полного исполнения ими принятых на себя обязательств</w:t>
      </w:r>
    </w:p>
    <w:p>
      <w:pPr>
        <w:pStyle w:val="Normal"/>
        <w:numPr>
          <w:ilvl w:val="1"/>
          <w:numId w:val="4"/>
        </w:numPr>
        <w:snapToGrid w:val="false"/>
        <w:spacing w:lineRule="auto" w:line="240"/>
        <w:ind w:left="0" w:firstLine="709"/>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spacing w:lineRule="auto" w:line="240"/>
        <w:ind w:firstLine="709"/>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16"/>
      </w:r>
      <w:r>
        <w:rPr>
          <w:sz w:val="24"/>
          <w:szCs w:val="24"/>
          <w:highlight w:val="lightGray"/>
          <w:lang w:eastAsia="en-US"/>
        </w:rPr>
        <w:t>.</w:t>
      </w:r>
    </w:p>
    <w:p>
      <w:pPr>
        <w:pStyle w:val="ListParagraph"/>
        <w:numPr>
          <w:ilvl w:val="1"/>
          <w:numId w:val="4"/>
        </w:numPr>
        <w:shd w:val="clear" w:color="auto" w:fill="FFFFFF"/>
        <w:tabs>
          <w:tab w:val="clear" w:pos="709"/>
          <w:tab w:val="left" w:pos="1134" w:leader="none"/>
        </w:tabs>
        <w:ind w:left="0" w:firstLine="709"/>
        <w:jc w:val="both"/>
        <w:rPr/>
      </w:pPr>
      <w:r>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highlight w:val="lightGray"/>
        </w:rPr>
        <w:t>16.7</w:t>
      </w:r>
      <w:r>
        <w:rPr/>
        <w:t xml:space="preserve"> Договора. </w:t>
      </w:r>
    </w:p>
    <w:p>
      <w:pPr>
        <w:pStyle w:val="ListParagraph"/>
        <w:numPr>
          <w:ilvl w:val="1"/>
          <w:numId w:val="4"/>
        </w:numPr>
        <w:shd w:val="clear" w:color="auto" w:fill="FFFFFF"/>
        <w:tabs>
          <w:tab w:val="clear" w:pos="709"/>
          <w:tab w:val="left" w:pos="1134" w:leader="none"/>
        </w:tabs>
        <w:ind w:left="0" w:firstLine="709"/>
        <w:jc w:val="both"/>
        <w:rPr/>
      </w:pPr>
      <w:r>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numPr>
          <w:ilvl w:val="1"/>
          <w:numId w:val="4"/>
        </w:numPr>
        <w:shd w:val="clear" w:color="auto" w:fill="FFFFFF"/>
        <w:tabs>
          <w:tab w:val="clear" w:pos="709"/>
          <w:tab w:val="left" w:pos="1134" w:leader="none"/>
        </w:tabs>
        <w:ind w:left="0" w:firstLine="709"/>
        <w:jc w:val="both"/>
        <w:rPr/>
      </w:pPr>
      <w:r>
        <w:rPr/>
        <w:t>В случае наличия любых расхождений между содержанием Договора и приложений к нему, приоритет имеет текст Договора.</w:t>
      </w:r>
    </w:p>
    <w:p>
      <w:pPr>
        <w:pStyle w:val="ListParagraph"/>
        <w:numPr>
          <w:ilvl w:val="1"/>
          <w:numId w:val="4"/>
        </w:numPr>
        <w:shd w:val="clear" w:color="auto" w:fill="FFFFFF"/>
        <w:tabs>
          <w:tab w:val="clear" w:pos="709"/>
          <w:tab w:val="left" w:pos="1134" w:leader="none"/>
        </w:tabs>
        <w:ind w:left="0" w:firstLine="709"/>
        <w:jc w:val="both"/>
        <w:rPr/>
      </w:pPr>
      <w:r>
        <w:rPr/>
        <w:t xml:space="preserve">Обмен информацией между Сторонами по любым вопросам, связанным с исполнением Договора, включая уведомления и иные сообщения, осуществляется только в письменной форме в порядке, предусмотренном пунктом </w:t>
      </w:r>
      <w:r>
        <w:rPr>
          <w:highlight w:val="lightGray"/>
        </w:rPr>
        <w:t>16.8</w:t>
      </w:r>
      <w:r>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pPr>
        <w:pStyle w:val="ListParagraph"/>
        <w:numPr>
          <w:ilvl w:val="1"/>
          <w:numId w:val="4"/>
        </w:numPr>
        <w:shd w:val="clear" w:color="auto" w:fill="FFFFFF"/>
        <w:tabs>
          <w:tab w:val="clear" w:pos="709"/>
          <w:tab w:val="left" w:pos="1134" w:leader="none"/>
        </w:tabs>
        <w:ind w:left="0" w:firstLine="709"/>
        <w:jc w:val="both"/>
        <w:rPr/>
      </w:pPr>
      <w:bookmarkStart w:id="40" w:name="_Ref361338004"/>
      <w:r>
        <w:rPr/>
        <w:t xml:space="preserve">Стороны обязуются уведомлять друг друга об изменении адреса и / или реквизитов, указанных в разделе 18 Договора, не позднее 3 (трех) рабочих дней после такого изменения в порядке, установленном пунктом </w:t>
      </w:r>
      <w:r>
        <w:rPr>
          <w:highlight w:val="lightGray"/>
        </w:rPr>
        <w:t>16.8</w:t>
      </w:r>
      <w:r>
        <w:rPr/>
        <w:t xml:space="preserve"> Договора.</w:t>
      </w:r>
      <w:bookmarkEnd w:id="40"/>
      <w:r>
        <w:rPr/>
        <w:t xml:space="preserve"> </w:t>
      </w:r>
    </w:p>
    <w:p>
      <w:pPr>
        <w:pStyle w:val="ListParagraph"/>
        <w:numPr>
          <w:ilvl w:val="1"/>
          <w:numId w:val="4"/>
        </w:numPr>
        <w:shd w:val="clear" w:color="auto" w:fill="FFFFFF"/>
        <w:tabs>
          <w:tab w:val="clear" w:pos="709"/>
          <w:tab w:val="left" w:pos="1134" w:leader="none"/>
          <w:tab w:val="left" w:pos="1418" w:leader="none"/>
        </w:tabs>
        <w:ind w:left="0" w:firstLine="709"/>
        <w:jc w:val="both"/>
        <w:rPr>
          <w:bCs/>
        </w:rPr>
      </w:pPr>
      <w:r>
        <w:rPr/>
        <w:t>Письма, уведомления и / или сообщения направляются Стороне</w:t>
      </w:r>
      <w:r>
        <w:rPr>
          <w:bCs/>
        </w:rPr>
        <w:t>-</w:t>
      </w:r>
      <w:r>
        <w:rPr/>
        <w:t>получателю по адресу ее места нахождения, указанному в разделе 18 Договора, или в ранее полученном уведомлении Стороны об изменении адреса, одним из следующих способов, при этом документ</w:t>
      </w:r>
      <w:r>
        <w:rPr>
          <w:bCs/>
        </w:rPr>
        <w:t xml:space="preserve"> будет считаться полученным</w:t>
      </w:r>
      <w:r>
        <w:rPr/>
        <w:t xml:space="preserve">: </w:t>
      </w:r>
    </w:p>
    <w:p>
      <w:pPr>
        <w:pStyle w:val="ListParagraph"/>
        <w:widowControl w:val="false"/>
        <w:numPr>
          <w:ilvl w:val="2"/>
          <w:numId w:val="4"/>
        </w:numPr>
        <w:ind w:left="0" w:firstLine="709"/>
        <w:jc w:val="both"/>
        <w:rPr/>
      </w:pPr>
      <w:r>
        <w:rPr>
          <w:bCs/>
        </w:rPr>
        <w:t xml:space="preserve">Заказным почтовым отправлением с уведомлением о вручении – </w:t>
      </w:r>
      <w:r>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widowControl w:val="false"/>
        <w:numPr>
          <w:ilvl w:val="2"/>
          <w:numId w:val="4"/>
        </w:numPr>
        <w:ind w:left="0" w:firstLine="709"/>
        <w:jc w:val="both"/>
        <w:rPr/>
      </w:pPr>
      <w:r>
        <w:rPr>
          <w:bCs/>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t xml:space="preserve">; </w:t>
      </w:r>
    </w:p>
    <w:p>
      <w:pPr>
        <w:pStyle w:val="ListParagraph"/>
        <w:widowControl w:val="false"/>
        <w:numPr>
          <w:ilvl w:val="2"/>
          <w:numId w:val="4"/>
        </w:numPr>
        <w:ind w:left="0" w:firstLine="709"/>
        <w:jc w:val="both"/>
        <w:rPr>
          <w:bCs/>
        </w:rPr>
      </w:pPr>
      <w:r>
        <w:rPr>
          <w:bCs/>
        </w:rPr>
        <w:t>Посредством электронной почты (</w:t>
      </w:r>
      <w:r>
        <w:rPr>
          <w:bCs/>
          <w:lang w:val="en-US"/>
        </w:rPr>
        <w:t>e</w:t>
      </w:r>
      <w:r>
        <w:rPr>
          <w:bCs/>
        </w:rPr>
        <w:t>-</w:t>
      </w:r>
      <w:r>
        <w:rPr>
          <w:bCs/>
          <w:lang w:val="en-US"/>
        </w:rPr>
        <w:t>mail</w:t>
      </w:r>
      <w:r>
        <w:rPr>
          <w:bCs/>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left="0" w:firstLine="426"/>
        <w:jc w:val="both"/>
        <w:rPr>
          <w:bCs/>
        </w:rPr>
      </w:pPr>
      <w:r>
        <w:rPr>
          <w:bCs/>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highlight w:val="lightGray"/>
        </w:rPr>
        <w:t>16.8.1 – 16.8.2</w:t>
      </w:r>
      <w:r>
        <w:rPr>
          <w:bCs/>
        </w:rPr>
        <w:t xml:space="preserve"> Договора. </w:t>
      </w:r>
    </w:p>
    <w:p>
      <w:pPr>
        <w:pStyle w:val="Normal"/>
        <w:numPr>
          <w:ilvl w:val="1"/>
          <w:numId w:val="4"/>
        </w:numPr>
        <w:spacing w:lineRule="auto" w:line="240"/>
        <w:ind w:left="0" w:firstLine="709"/>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numPr>
          <w:ilvl w:val="1"/>
          <w:numId w:val="4"/>
        </w:numPr>
        <w:shd w:val="clear" w:color="auto" w:fill="FFFFFF"/>
        <w:tabs>
          <w:tab w:val="clear" w:pos="709"/>
          <w:tab w:val="left" w:pos="568" w:leader="none"/>
        </w:tabs>
        <w:ind w:left="0" w:firstLine="709"/>
        <w:jc w:val="both"/>
        <w:rPr>
          <w:bCs/>
        </w:rPr>
      </w:pPr>
      <w:r>
        <w:rPr/>
        <w:t>Уступка (передача), в том числе в залог, прав (требований) к Заказчику по денежным обязательствам, принадлежащих Подрядчику на основании Договора, допускается только с предварительного письменного согласия Заказчика и оформляется трехсторонним договором</w:t>
      </w:r>
      <w:r>
        <w:rPr>
          <w:bCs/>
        </w:rPr>
        <w:t>.</w:t>
      </w:r>
      <w:r>
        <w:rPr/>
        <w:t xml:space="preserve"> </w:t>
      </w:r>
    </w:p>
    <w:p>
      <w:pPr>
        <w:pStyle w:val="ListParagraph"/>
        <w:numPr>
          <w:ilvl w:val="1"/>
          <w:numId w:val="4"/>
        </w:numPr>
        <w:shd w:val="clear" w:color="auto" w:fill="FFFFFF"/>
        <w:tabs>
          <w:tab w:val="clear" w:pos="709"/>
          <w:tab w:val="left" w:pos="1134" w:leader="none"/>
        </w:tabs>
        <w:ind w:left="0" w:firstLine="709"/>
        <w:jc w:val="both"/>
        <w:rPr/>
      </w:pPr>
      <w:r>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numPr>
          <w:ilvl w:val="1"/>
          <w:numId w:val="4"/>
        </w:numPr>
        <w:shd w:val="clear" w:color="auto" w:fill="FFFFFF"/>
        <w:tabs>
          <w:tab w:val="clear" w:pos="709"/>
          <w:tab w:val="left" w:pos="1134" w:leader="none"/>
        </w:tabs>
        <w:ind w:left="0" w:firstLine="709"/>
        <w:jc w:val="both"/>
        <w:rPr/>
      </w:pPr>
      <w:r>
        <w:rPr/>
        <w:t>Договор составлен в 2 (двух) оригинальных экземплярах, имеющих равную юридическую силу, по 1 (одному) для каждой из Сторон</w:t>
      </w:r>
      <w:r>
        <w:rPr>
          <w:rStyle w:val="FootnoteReference"/>
          <w:highlight w:val="lightGray"/>
        </w:rPr>
        <w:footnoteReference w:id="17"/>
      </w:r>
      <w:r>
        <w:rPr>
          <w:highlight w:val="lightGray"/>
        </w:rPr>
        <w:t>.</w:t>
      </w:r>
    </w:p>
    <w:p>
      <w:pPr>
        <w:pStyle w:val="ListParagraph"/>
        <w:shd w:val="clear" w:color="auto" w:fill="FFFFFF"/>
        <w:ind w:left="0" w:firstLine="567"/>
        <w:rPr>
          <w:bCs/>
        </w:rPr>
      </w:pPr>
      <w:r>
        <w:rPr>
          <w:bCs/>
        </w:rPr>
      </w:r>
    </w:p>
    <w:p>
      <w:pPr>
        <w:pStyle w:val="ListParagraph"/>
        <w:numPr>
          <w:ilvl w:val="0"/>
          <w:numId w:val="4"/>
        </w:numPr>
        <w:shd w:val="clear" w:color="auto" w:fill="FFFFFF"/>
        <w:tabs>
          <w:tab w:val="clear" w:pos="709"/>
          <w:tab w:val="left" w:pos="426" w:leader="none"/>
        </w:tabs>
        <w:ind w:left="0" w:hanging="0"/>
        <w:jc w:val="center"/>
        <w:rPr>
          <w:b/>
          <w:bCs/>
        </w:rPr>
      </w:pPr>
      <w:r>
        <w:rPr>
          <w:b/>
          <w:bCs/>
        </w:rPr>
        <w:t>Список приложений</w:t>
      </w:r>
    </w:p>
    <w:p>
      <w:pPr>
        <w:pStyle w:val="ListParagraph"/>
        <w:shd w:val="clear" w:color="auto" w:fill="FFFFFF"/>
        <w:ind w:left="0" w:hanging="0"/>
        <w:jc w:val="both"/>
        <w:rPr>
          <w:bCs/>
        </w:rPr>
      </w:pPr>
      <w:r>
        <w:rPr/>
        <w:t xml:space="preserve">Приложение № </w:t>
      </w:r>
      <w:r>
        <w:rPr>
          <w:bCs/>
        </w:rPr>
        <w:t>1 – Техническое задание;</w:t>
      </w:r>
    </w:p>
    <w:p>
      <w:pPr>
        <w:pStyle w:val="ListParagraph"/>
        <w:shd w:val="clear" w:color="auto" w:fill="FFFFFF"/>
        <w:ind w:left="0" w:hanging="0"/>
        <w:jc w:val="both"/>
        <w:rPr>
          <w:bCs/>
        </w:rPr>
      </w:pPr>
      <w:r>
        <w:rPr>
          <w:bCs/>
        </w:rPr>
        <w:t>Приложение № 2 – Календарный график выполнения Работ;</w:t>
      </w:r>
    </w:p>
    <w:p>
      <w:pPr>
        <w:pStyle w:val="ListParagraph"/>
        <w:shd w:val="clear" w:color="auto" w:fill="FFFFFF"/>
        <w:ind w:left="0" w:hanging="0"/>
        <w:jc w:val="both"/>
        <w:rPr>
          <w:bCs/>
        </w:rPr>
      </w:pPr>
      <w:r>
        <w:rPr>
          <w:bCs/>
        </w:rPr>
        <w:t>Приложение № 3 – Сводная смета с приложениями;</w:t>
      </w:r>
    </w:p>
    <w:p>
      <w:pPr>
        <w:pStyle w:val="ListParagraph"/>
        <w:shd w:val="clear" w:color="auto" w:fill="FFFFFF"/>
        <w:ind w:left="0" w:hanging="0"/>
        <w:jc w:val="both"/>
        <w:rPr>
          <w:bCs/>
        </w:rPr>
      </w:pPr>
      <w:r>
        <w:rPr>
          <w:bCs/>
        </w:rPr>
        <w:t>П</w:t>
      </w:r>
      <w:r>
        <w:rPr>
          <w:bCs/>
          <w:highlight w:val="lightGray"/>
        </w:rPr>
        <w:t xml:space="preserve">риложение № 4.1 – </w:t>
      </w:r>
      <w:r>
        <w:rPr>
          <w:bCs/>
          <w:iCs/>
          <w:highlight w:val="lightGray"/>
        </w:rPr>
        <w:t xml:space="preserve">Форма Акта </w:t>
      </w:r>
      <w:r>
        <w:rPr>
          <w:bCs/>
          <w:highlight w:val="lightGray"/>
        </w:rPr>
        <w:t>сдачи-приемки места производства Работ, места (помещения) для складирования Материально-технических ресурсов и оборудования.</w:t>
      </w:r>
    </w:p>
    <w:p>
      <w:pPr>
        <w:pStyle w:val="ListParagraph"/>
        <w:shd w:val="clear" w:color="auto" w:fill="FFFFFF"/>
        <w:ind w:left="0" w:hanging="0"/>
        <w:jc w:val="both"/>
        <w:rPr>
          <w:bCs/>
        </w:rPr>
      </w:pPr>
      <w:r>
        <w:rPr>
          <w:bCs/>
        </w:rPr>
        <w:t>Приложение № 4.2 – Форма Акта сдачи-приемки технической и иной документации;</w:t>
      </w:r>
    </w:p>
    <w:p>
      <w:pPr>
        <w:pStyle w:val="ListParagraph"/>
        <w:shd w:val="clear" w:color="auto" w:fill="FFFFFF"/>
        <w:ind w:left="0" w:hanging="0"/>
        <w:jc w:val="both"/>
        <w:rPr>
          <w:bCs/>
        </w:rPr>
      </w:pPr>
      <w:r>
        <w:rPr>
          <w:bCs/>
        </w:rPr>
        <w:t xml:space="preserve">Приложение № 5 – Перечень допусков, разрешений и лицензий Подрядчика; </w:t>
      </w:r>
    </w:p>
    <w:p>
      <w:pPr>
        <w:pStyle w:val="ListParagraph"/>
        <w:shd w:val="clear" w:color="auto" w:fill="FFFFFF"/>
        <w:ind w:left="0" w:hanging="0"/>
        <w:jc w:val="both"/>
        <w:rPr>
          <w:bCs/>
        </w:rPr>
      </w:pPr>
      <w:r>
        <w:rPr>
          <w:bCs/>
        </w:rPr>
        <w:t>Приложение № 6 – Размер ответственности Подрядчика за нарушения пропускного и внутриобъектового режима, требований охраны труда, пожарной и промышленной безопасности;</w:t>
      </w:r>
    </w:p>
    <w:p>
      <w:pPr>
        <w:pStyle w:val="ListParagraph"/>
        <w:shd w:val="clear" w:color="auto" w:fill="FFFFFF"/>
        <w:ind w:left="0" w:hanging="0"/>
        <w:jc w:val="both"/>
        <w:rPr>
          <w:bCs/>
        </w:rPr>
      </w:pPr>
      <w:r>
        <w:rPr>
          <w:bCs/>
        </w:rPr>
        <w:t>Приложение № 7 – Форма Акта сдачи-приемки выполненных работ;</w:t>
      </w:r>
    </w:p>
    <w:p>
      <w:pPr>
        <w:pStyle w:val="ListParagraph"/>
        <w:shd w:val="clear" w:color="auto" w:fill="FFFFFF"/>
        <w:ind w:left="0" w:hanging="0"/>
        <w:jc w:val="both"/>
        <w:rPr>
          <w:bCs/>
        </w:rPr>
      </w:pPr>
      <w:r>
        <w:rPr>
          <w:bCs/>
          <w:highlight w:val="lightGray"/>
        </w:rPr>
        <w:t>Приложение № 8 – Форма справки</w:t>
      </w:r>
      <w:r>
        <w:rPr>
          <w:b/>
          <w:bCs/>
          <w:color w:val="000000"/>
          <w:highlight w:val="lightGray"/>
        </w:rPr>
        <w:t xml:space="preserve"> </w:t>
      </w:r>
      <w:r>
        <w:rPr>
          <w:bCs/>
          <w:highlight w:val="lightGray"/>
        </w:rPr>
        <w:t>о заключенных Подрядчиком договорах с Субподрядчиками</w:t>
      </w:r>
      <w:r>
        <w:rPr>
          <w:bCs/>
        </w:rPr>
        <w:t>;</w:t>
      </w:r>
    </w:p>
    <w:p>
      <w:pPr>
        <w:pStyle w:val="ListParagraph"/>
        <w:shd w:val="clear" w:color="auto" w:fill="FFFFFF"/>
        <w:ind w:left="0" w:hanging="0"/>
        <w:jc w:val="both"/>
        <w:rPr>
          <w:bCs/>
        </w:rPr>
      </w:pPr>
      <w:r>
        <w:rPr>
          <w:bCs/>
        </w:rPr>
        <w:t>Приложение № 9 – Критерии отбора Банков-Гарантов.</w:t>
      </w:r>
    </w:p>
    <w:p>
      <w:pPr>
        <w:pStyle w:val="ListParagraph"/>
        <w:shd w:val="clear" w:color="auto" w:fill="FFFFFF"/>
        <w:ind w:left="0" w:hanging="0"/>
        <w:jc w:val="both"/>
        <w:rPr>
          <w:bCs/>
        </w:rPr>
      </w:pPr>
      <w:r>
        <w:rPr>
          <w:bCs/>
        </w:rPr>
      </w:r>
    </w:p>
    <w:p>
      <w:pPr>
        <w:pStyle w:val="ListParagraph"/>
        <w:numPr>
          <w:ilvl w:val="0"/>
          <w:numId w:val="4"/>
        </w:numPr>
        <w:shd w:val="clear" w:color="auto" w:fill="FFFFFF"/>
        <w:tabs>
          <w:tab w:val="clear" w:pos="709"/>
          <w:tab w:val="left" w:pos="426" w:leader="none"/>
        </w:tabs>
        <w:ind w:left="0" w:hanging="0"/>
        <w:jc w:val="center"/>
        <w:rPr>
          <w:b/>
          <w:bCs/>
        </w:rPr>
      </w:pPr>
      <w:r>
        <w:rPr>
          <w:b/>
          <w:bCs/>
        </w:rPr>
        <w:t>Адреса и платежные реквизиты Сторон</w:t>
      </w:r>
    </w:p>
    <w:p>
      <w:pPr>
        <w:pStyle w:val="ListParagraph"/>
        <w:shd w:val="clear" w:color="auto" w:fill="FFFFFF"/>
        <w:tabs>
          <w:tab w:val="clear" w:pos="709"/>
          <w:tab w:val="left" w:pos="426" w:leader="none"/>
        </w:tabs>
        <w:ind w:left="0" w:hanging="0"/>
        <w:rPr>
          <w:b/>
          <w:bCs/>
        </w:rPr>
      </w:pPr>
      <w:r>
        <w:rPr>
          <w:b/>
          <w:bCs/>
        </w:rPr>
      </w:r>
    </w:p>
    <w:tbl>
      <w:tblPr>
        <w:tblW w:w="9639"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699"/>
        <w:gridCol w:w="148"/>
        <w:gridCol w:w="4551"/>
        <w:gridCol w:w="241"/>
      </w:tblGrid>
      <w:tr>
        <w:trPr/>
        <w:tc>
          <w:tcPr>
            <w:tcW w:w="4847" w:type="dxa"/>
            <w:gridSpan w:val="2"/>
            <w:tcBorders/>
          </w:tcPr>
          <w:p>
            <w:pPr>
              <w:pStyle w:val="Normal"/>
              <w:widowControl w:val="false"/>
              <w:spacing w:lineRule="auto" w:line="240"/>
              <w:ind w:hanging="0"/>
              <w:rPr>
                <w:sz w:val="24"/>
                <w:szCs w:val="24"/>
              </w:rPr>
            </w:pPr>
            <w:r>
              <w:rPr>
                <w:sz w:val="24"/>
                <w:szCs w:val="24"/>
              </w:rPr>
              <w:t>ЗАКАЗЧИК:</w:t>
            </w:r>
          </w:p>
        </w:tc>
        <w:tc>
          <w:tcPr>
            <w:tcW w:w="4792" w:type="dxa"/>
            <w:gridSpan w:val="2"/>
            <w:tcBorders/>
          </w:tcPr>
          <w:p>
            <w:pPr>
              <w:pStyle w:val="Normal"/>
              <w:widowControl w:val="false"/>
              <w:spacing w:lineRule="auto" w:line="240"/>
              <w:ind w:hanging="0"/>
              <w:rPr>
                <w:sz w:val="24"/>
                <w:szCs w:val="24"/>
              </w:rPr>
            </w:pPr>
            <w:r>
              <w:rPr>
                <w:sz w:val="24"/>
                <w:szCs w:val="24"/>
              </w:rPr>
              <w:t>ПОДРЯДЧИК:</w:t>
            </w:r>
          </w:p>
        </w:tc>
      </w:tr>
      <w:tr>
        <w:trPr/>
        <w:tc>
          <w:tcPr>
            <w:tcW w:w="4847" w:type="dxa"/>
            <w:gridSpan w:val="2"/>
            <w:tcBorders/>
            <w:shd w:color="auto" w:fill="BFBFBF" w:themeFill="background1" w:themeFillShade="bf" w:val="clear"/>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b/>
                <w:sz w:val="24"/>
                <w:szCs w:val="24"/>
              </w:rPr>
            </w:pPr>
            <w:r>
              <w:rPr>
                <w:b/>
                <w:sz w:val="24"/>
                <w:szCs w:val="24"/>
              </w:rPr>
              <w:t>Публичное акционерное общество</w:t>
            </w:r>
          </w:p>
          <w:p>
            <w:pPr>
              <w:pStyle w:val="Normal"/>
              <w:widowControl w:val="false"/>
              <w:spacing w:lineRule="auto" w:line="240"/>
              <w:ind w:hanging="0"/>
              <w:jc w:val="left"/>
              <w:rPr>
                <w:b/>
                <w:sz w:val="24"/>
                <w:szCs w:val="24"/>
              </w:rPr>
            </w:pPr>
            <w:r>
              <w:rPr>
                <w:b/>
                <w:sz w:val="24"/>
                <w:szCs w:val="24"/>
              </w:rPr>
              <w:t>«Федеральная гидрогенерирующая компания - РусГидро» (ПАО «РусГидро»)</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Адрес юридического лица:  660017, Красноярский край, г.о. город Красноярск,</w:t>
            </w:r>
          </w:p>
          <w:p>
            <w:pPr>
              <w:pStyle w:val="Normal"/>
              <w:widowControl w:val="false"/>
              <w:spacing w:lineRule="auto" w:line="240"/>
              <w:ind w:hanging="0"/>
              <w:jc w:val="left"/>
              <w:rPr>
                <w:sz w:val="24"/>
                <w:szCs w:val="24"/>
              </w:rPr>
            </w:pPr>
            <w:r>
              <w:rPr>
                <w:sz w:val="24"/>
                <w:szCs w:val="24"/>
              </w:rPr>
              <w:t>г. Красноярск, ул. Перенсона, д.2а, помещ.1.</w:t>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rPr>
            </w:pPr>
            <w:r>
              <w:rPr>
                <w:sz w:val="24"/>
                <w:szCs w:val="24"/>
              </w:rPr>
              <w:t xml:space="preserve">ОГРН 1042401810494, </w:t>
            </w:r>
          </w:p>
          <w:p>
            <w:pPr>
              <w:pStyle w:val="Normal"/>
              <w:widowControl w:val="false"/>
              <w:spacing w:lineRule="auto" w:line="240"/>
              <w:ind w:hanging="0"/>
              <w:jc w:val="left"/>
              <w:rPr>
                <w:sz w:val="24"/>
                <w:szCs w:val="24"/>
              </w:rPr>
            </w:pPr>
            <w:r>
              <w:rPr>
                <w:sz w:val="24"/>
                <w:szCs w:val="24"/>
              </w:rPr>
              <w:t>ИНН 2460066195 / КПП 997650001</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расчетного счета)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(наименование банка, в котором</w:t>
            </w:r>
          </w:p>
          <w:p>
            <w:pPr>
              <w:pStyle w:val="Normal"/>
              <w:widowControl w:val="false"/>
              <w:spacing w:lineRule="auto" w:line="240"/>
              <w:ind w:hanging="0"/>
              <w:jc w:val="left"/>
              <w:rPr>
                <w:sz w:val="24"/>
                <w:szCs w:val="24"/>
              </w:rPr>
            </w:pPr>
            <w:r>
              <w:rPr>
                <w:sz w:val="24"/>
                <w:szCs w:val="24"/>
              </w:rPr>
              <w:t>открыт расчетный счет)</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корреспондентского счета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(БИК банка)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телефона)</w:t>
            </w:r>
          </w:p>
          <w:p>
            <w:pPr>
              <w:pStyle w:val="Normal"/>
              <w:widowControl w:val="false"/>
              <w:spacing w:lineRule="auto" w:line="240"/>
              <w:ind w:hanging="0"/>
              <w:jc w:val="left"/>
              <w:rPr>
                <w:sz w:val="24"/>
                <w:szCs w:val="24"/>
              </w:rPr>
            </w:pPr>
            <w:r>
              <w:rPr>
                <w:sz w:val="24"/>
                <w:szCs w:val="24"/>
              </w:rPr>
              <w:t>_________________________________</w:t>
            </w:r>
          </w:p>
          <w:p>
            <w:pPr>
              <w:pStyle w:val="Normal"/>
              <w:widowControl w:val="false"/>
              <w:spacing w:lineRule="auto" w:line="240"/>
              <w:ind w:hanging="0"/>
              <w:jc w:val="left"/>
              <w:rPr>
                <w:sz w:val="24"/>
                <w:szCs w:val="24"/>
              </w:rPr>
            </w:pPr>
            <w:r>
              <w:rPr>
                <w:sz w:val="24"/>
                <w:szCs w:val="24"/>
              </w:rPr>
              <w:t>(номер факса)</w:t>
            </w:r>
          </w:p>
          <w:p>
            <w:pPr>
              <w:pStyle w:val="Normal"/>
              <w:widowControl w:val="false"/>
              <w:spacing w:lineRule="auto" w:line="240"/>
              <w:ind w:hanging="0"/>
              <w:jc w:val="left"/>
              <w:rPr>
                <w:sz w:val="24"/>
                <w:szCs w:val="24"/>
              </w:rPr>
            </w:pPr>
            <w:r>
              <w:rPr>
                <w:sz w:val="24"/>
                <w:szCs w:val="24"/>
              </w:rPr>
            </w:r>
          </w:p>
        </w:tc>
        <w:tc>
          <w:tcPr>
            <w:tcW w:w="4792" w:type="dxa"/>
            <w:gridSpan w:val="2"/>
            <w:tcBorders/>
            <w:shd w:color="auto" w:fill="BFBFBF" w:themeFill="background1" w:themeFillShade="bf" w:val="clear"/>
          </w:tcPr>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юридического лица)</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Юридический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r>
          </w:p>
          <w:p>
            <w:pPr>
              <w:pStyle w:val="Normal"/>
              <w:widowControl w:val="false"/>
              <w:spacing w:lineRule="auto" w:line="240"/>
              <w:ind w:hanging="0"/>
              <w:rPr>
                <w:sz w:val="24"/>
                <w:szCs w:val="24"/>
              </w:rPr>
            </w:pPr>
            <w:r>
              <w:rPr>
                <w:sz w:val="24"/>
                <w:szCs w:val="24"/>
              </w:rPr>
              <w:t>Почтовый адрес:</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ОГРН ___________________________</w:t>
            </w:r>
          </w:p>
          <w:p>
            <w:pPr>
              <w:pStyle w:val="Normal"/>
              <w:widowControl w:val="false"/>
              <w:spacing w:lineRule="auto" w:line="240"/>
              <w:ind w:hanging="0"/>
              <w:rPr>
                <w:sz w:val="24"/>
                <w:szCs w:val="24"/>
              </w:rPr>
            </w:pPr>
            <w:r>
              <w:rPr>
                <w:sz w:val="24"/>
                <w:szCs w:val="24"/>
              </w:rPr>
              <w:t>ИНН ____________ / КПП___________</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расчетного счета)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(наименование банка, в котором</w:t>
            </w:r>
          </w:p>
          <w:p>
            <w:pPr>
              <w:pStyle w:val="Normal"/>
              <w:widowControl w:val="false"/>
              <w:spacing w:lineRule="auto" w:line="240"/>
              <w:ind w:hanging="0"/>
              <w:rPr>
                <w:sz w:val="24"/>
                <w:szCs w:val="24"/>
              </w:rPr>
            </w:pPr>
            <w:r>
              <w:rPr>
                <w:sz w:val="24"/>
                <w:szCs w:val="24"/>
              </w:rPr>
              <w:t>открыт расчетный счет)</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корреспондентского счета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(БИК банка)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телефона)</w:t>
            </w:r>
          </w:p>
          <w:p>
            <w:pPr>
              <w:pStyle w:val="Normal"/>
              <w:widowControl w:val="false"/>
              <w:spacing w:lineRule="auto" w:line="240"/>
              <w:ind w:hanging="0"/>
              <w:rPr>
                <w:sz w:val="24"/>
                <w:szCs w:val="24"/>
              </w:rPr>
            </w:pPr>
            <w:r>
              <w:rPr>
                <w:sz w:val="24"/>
                <w:szCs w:val="24"/>
              </w:rPr>
              <w:t>_________________________________</w:t>
            </w:r>
          </w:p>
          <w:p>
            <w:pPr>
              <w:pStyle w:val="Normal"/>
              <w:widowControl w:val="false"/>
              <w:spacing w:lineRule="auto" w:line="240"/>
              <w:ind w:hanging="0"/>
              <w:rPr>
                <w:sz w:val="24"/>
                <w:szCs w:val="24"/>
              </w:rPr>
            </w:pPr>
            <w:r>
              <w:rPr>
                <w:sz w:val="24"/>
                <w:szCs w:val="24"/>
              </w:rPr>
              <w:t>(номер факса)</w:t>
            </w:r>
          </w:p>
          <w:p>
            <w:pPr>
              <w:pStyle w:val="Normal"/>
              <w:widowControl w:val="false"/>
              <w:spacing w:lineRule="auto" w:line="240"/>
              <w:ind w:hanging="0"/>
              <w:rPr>
                <w:sz w:val="24"/>
                <w:szCs w:val="24"/>
              </w:rPr>
            </w:pPr>
            <w:r>
              <w:rPr>
                <w:sz w:val="24"/>
                <w:szCs w:val="24"/>
              </w:rPr>
            </w:r>
          </w:p>
        </w:tc>
      </w:tr>
      <w:tr>
        <w:trPr/>
        <w:tc>
          <w:tcPr>
            <w:tcW w:w="4699" w:type="dxa"/>
            <w:tcBorders/>
          </w:tcPr>
          <w:p>
            <w:pPr>
              <w:pStyle w:val="Normal"/>
              <w:widowControl w:val="false"/>
              <w:spacing w:lineRule="auto" w:line="240"/>
              <w:ind w:hanging="0"/>
              <w:jc w:val="left"/>
              <w:rPr>
                <w:sz w:val="24"/>
                <w:szCs w:val="24"/>
              </w:rPr>
            </w:pPr>
            <w:r>
              <w:rPr>
                <w:sz w:val="24"/>
                <w:szCs w:val="24"/>
              </w:rPr>
            </w:r>
          </w:p>
          <w:p>
            <w:pPr>
              <w:pStyle w:val="Normal"/>
              <w:widowControl w:val="false"/>
              <w:spacing w:lineRule="auto" w:line="240"/>
              <w:ind w:hanging="0"/>
              <w:jc w:val="left"/>
              <w:rPr>
                <w:sz w:val="24"/>
                <w:szCs w:val="24"/>
                <w:highlight w:val="lightGray"/>
              </w:rPr>
            </w:pPr>
            <w:r>
              <w:rPr>
                <w:sz w:val="24"/>
                <w:szCs w:val="24"/>
                <w:highlight w:val="lightGray"/>
              </w:rPr>
              <w:t xml:space="preserve">_______________ / _______________ </w:t>
            </w:r>
          </w:p>
          <w:p>
            <w:pPr>
              <w:pStyle w:val="Normal"/>
              <w:widowControl w:val="false"/>
              <w:spacing w:lineRule="auto" w:line="240"/>
              <w:ind w:hanging="0"/>
              <w:jc w:val="left"/>
              <w:rPr>
                <w:sz w:val="24"/>
                <w:szCs w:val="24"/>
                <w:highlight w:val="lightGray"/>
              </w:rPr>
            </w:pPr>
            <w:r>
              <w:rPr>
                <w:sz w:val="24"/>
                <w:szCs w:val="24"/>
                <w:highlight w:val="lightGray"/>
              </w:rPr>
            </w:r>
          </w:p>
        </w:tc>
        <w:tc>
          <w:tcPr>
            <w:tcW w:w="4699" w:type="dxa"/>
            <w:gridSpan w:val="2"/>
            <w:tcBorders/>
          </w:tcPr>
          <w:p>
            <w:pPr>
              <w:pStyle w:val="Normal"/>
              <w:widowControl w:val="false"/>
              <w:spacing w:lineRule="auto" w:line="240"/>
              <w:ind w:hanging="0"/>
              <w:jc w:val="left"/>
              <w:rPr>
                <w:sz w:val="24"/>
                <w:szCs w:val="24"/>
                <w:highlight w:val="lightGray"/>
              </w:rPr>
            </w:pPr>
            <w:r>
              <w:rPr>
                <w:sz w:val="24"/>
                <w:szCs w:val="24"/>
                <w:highlight w:val="lightGray"/>
              </w:rPr>
            </w:r>
          </w:p>
          <w:p>
            <w:pPr>
              <w:pStyle w:val="Normal"/>
              <w:widowControl w:val="false"/>
              <w:spacing w:lineRule="auto" w:line="240"/>
              <w:ind w:hanging="0"/>
              <w:jc w:val="left"/>
              <w:rPr>
                <w:sz w:val="24"/>
                <w:szCs w:val="24"/>
              </w:rPr>
            </w:pPr>
            <w:r>
              <w:rPr>
                <w:sz w:val="24"/>
                <w:szCs w:val="24"/>
                <w:highlight w:val="lightGray"/>
              </w:rPr>
              <w:t>_______________ / _______________</w:t>
            </w:r>
          </w:p>
          <w:p>
            <w:pPr>
              <w:pStyle w:val="Normal"/>
              <w:widowControl w:val="false"/>
              <w:spacing w:lineRule="auto" w:line="240"/>
              <w:ind w:hanging="0"/>
              <w:jc w:val="left"/>
              <w:rPr>
                <w:sz w:val="24"/>
                <w:szCs w:val="24"/>
              </w:rPr>
            </w:pPr>
            <w:r>
              <w:rPr>
                <w:sz w:val="24"/>
                <w:szCs w:val="24"/>
              </w:rPr>
            </w:r>
          </w:p>
        </w:tc>
        <w:tc>
          <w:tcPr>
            <w:tcW w:w="241" w:type="dxa"/>
            <w:tcBorders/>
          </w:tcPr>
          <w:p>
            <w:pPr>
              <w:pStyle w:val="Normal"/>
              <w:widowControl w:val="false"/>
              <w:rPr/>
            </w:pPr>
            <w:r>
              <w:rPr/>
            </w:r>
          </w:p>
        </w:tc>
      </w:tr>
    </w:tbl>
    <w:p>
      <w:pPr>
        <w:sectPr>
          <w:headerReference w:type="even" r:id="rId5"/>
          <w:headerReference w:type="default" r:id="rId6"/>
          <w:headerReference w:type="first" r:id="rId7"/>
          <w:footerReference w:type="even" r:id="rId8"/>
          <w:footerReference w:type="default" r:id="rId9"/>
          <w:footerReference w:type="first" r:id="rId10"/>
          <w:footnotePr>
            <w:numFmt w:val="decimal"/>
          </w:footnotePr>
          <w:type w:val="nextPage"/>
          <w:pgSz w:w="11906" w:h="16838"/>
          <w:pgMar w:left="1418" w:right="851" w:gutter="0" w:header="709" w:top="1134" w:footer="709" w:bottom="1134"/>
          <w:pgNumType w:fmt="decimal"/>
          <w:formProt w:val="false"/>
          <w:titlePg/>
          <w:textDirection w:val="lrTb"/>
          <w:docGrid w:type="default" w:linePitch="381" w:charSpace="0"/>
        </w:sectPr>
      </w:pPr>
    </w:p>
    <w:p>
      <w:pPr>
        <w:pStyle w:val="Normal"/>
        <w:shd w:val="clear" w:color="auto" w:fill="FFFFFF"/>
        <w:tabs>
          <w:tab w:val="clear" w:pos="709"/>
          <w:tab w:val="left" w:pos="3148" w:leader="none"/>
          <w:tab w:val="center" w:pos="4818" w:leader="none"/>
          <w:tab w:val="left" w:pos="6926" w:leader="none"/>
        </w:tabs>
        <w:spacing w:lineRule="auto" w:line="240"/>
        <w:ind w:hanging="0"/>
        <w:jc w:val="right"/>
        <w:rPr>
          <w:sz w:val="22"/>
          <w:szCs w:val="22"/>
        </w:rPr>
      </w:pPr>
      <w:r>
        <w:rPr>
          <w:sz w:val="22"/>
          <w:szCs w:val="22"/>
        </w:rPr>
        <w:t>Приложение № 1</w:t>
      </w:r>
    </w:p>
    <w:p>
      <w:pPr>
        <w:pStyle w:val="Normal"/>
        <w:spacing w:lineRule="auto" w:line="240"/>
        <w:ind w:left="4820" w:hanging="0"/>
        <w:jc w:val="right"/>
        <w:rPr>
          <w:sz w:val="22"/>
          <w:szCs w:val="22"/>
        </w:rPr>
      </w:pPr>
      <w:r>
        <w:rPr>
          <w:sz w:val="22"/>
          <w:szCs w:val="22"/>
        </w:rPr>
        <w:t>к Договору подряда</w:t>
      </w:r>
    </w:p>
    <w:p>
      <w:pPr>
        <w:pStyle w:val="Normal"/>
        <w:spacing w:lineRule="auto" w:line="240"/>
        <w:ind w:left="4820" w:hanging="0"/>
        <w:jc w:val="right"/>
        <w:rPr>
          <w:sz w:val="22"/>
          <w:szCs w:val="22"/>
        </w:rPr>
      </w:pPr>
      <w:r>
        <w:rPr>
          <w:sz w:val="22"/>
          <w:szCs w:val="22"/>
        </w:rPr>
        <w:t>от «____» _________ 20 __ г. № ________</w:t>
      </w:r>
    </w:p>
    <w:p>
      <w:pPr>
        <w:pStyle w:val="Normal"/>
        <w:spacing w:lineRule="auto" w:line="240"/>
        <w:ind w:left="1416" w:hanging="0"/>
        <w:jc w:val="right"/>
        <w:rPr>
          <w:b/>
          <w:sz w:val="24"/>
          <w:szCs w:val="24"/>
        </w:rPr>
      </w:pPr>
      <w:r>
        <w:rPr>
          <w:b/>
          <w:sz w:val="24"/>
          <w:szCs w:val="24"/>
        </w:rPr>
      </w:r>
    </w:p>
    <w:p>
      <w:pPr>
        <w:pStyle w:val="Normal"/>
        <w:spacing w:lineRule="auto" w:line="240"/>
        <w:ind w:left="1416" w:hanging="0"/>
        <w:rPr>
          <w:b/>
          <w:sz w:val="24"/>
          <w:szCs w:val="24"/>
        </w:rPr>
      </w:pPr>
      <w:r>
        <w:rPr>
          <w:b/>
          <w:sz w:val="24"/>
          <w:szCs w:val="24"/>
        </w:rPr>
      </w:r>
    </w:p>
    <w:p>
      <w:pPr>
        <w:pStyle w:val="Normal"/>
        <w:spacing w:lineRule="auto" w:line="240"/>
        <w:ind w:hanging="0"/>
        <w:jc w:val="center"/>
        <w:rPr>
          <w:b/>
          <w:sz w:val="24"/>
          <w:szCs w:val="24"/>
        </w:rPr>
      </w:pPr>
      <w:r>
        <w:rPr>
          <w:b/>
          <w:sz w:val="24"/>
          <w:szCs w:val="24"/>
        </w:rPr>
        <w:t>ТЕХНИЧЕСКОЕ ЗАДАНИЕ</w:t>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ind w:hanging="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2</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__ г. № ________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КАЛЕНДАРНЫЙ ГРАФИК ВЫПОЛНЕНИЯ РАБОТ</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tbl>
      <w:tblPr>
        <w:tblW w:w="9634" w:type="dxa"/>
        <w:jc w:val="left"/>
        <w:tblInd w:w="-5" w:type="dxa"/>
        <w:tblLayout w:type="fixed"/>
        <w:tblCellMar>
          <w:top w:w="0" w:type="dxa"/>
          <w:left w:w="108" w:type="dxa"/>
          <w:bottom w:w="0" w:type="dxa"/>
          <w:right w:w="108" w:type="dxa"/>
        </w:tblCellMar>
        <w:tblLook w:noVBand="1" w:val="04a0" w:noHBand="0" w:lastColumn="0" w:firstColumn="1" w:lastRow="0" w:firstRow="1"/>
      </w:tblPr>
      <w:tblGrid>
        <w:gridCol w:w="709"/>
        <w:gridCol w:w="1609"/>
        <w:gridCol w:w="1422"/>
        <w:gridCol w:w="843"/>
        <w:gridCol w:w="1182"/>
        <w:gridCol w:w="765"/>
        <w:gridCol w:w="1007"/>
        <w:gridCol w:w="2095"/>
      </w:tblGrid>
      <w:tr>
        <w:trPr/>
        <w:tc>
          <w:tcPr>
            <w:tcW w:w="70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 xml:space="preserve">№ </w:t>
            </w:r>
            <w:r>
              <w:rPr>
                <w:sz w:val="20"/>
                <w:szCs w:val="20"/>
              </w:rPr>
              <w:t>этапа</w:t>
            </w:r>
          </w:p>
        </w:tc>
        <w:tc>
          <w:tcPr>
            <w:tcW w:w="1609"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Наименование этапа (состав Работ)</w:t>
            </w:r>
          </w:p>
        </w:tc>
        <w:tc>
          <w:tcPr>
            <w:tcW w:w="142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Обоснование стоимости этапа</w:t>
            </w:r>
          </w:p>
        </w:tc>
        <w:tc>
          <w:tcPr>
            <w:tcW w:w="202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Период выполнения этапа</w:t>
            </w:r>
          </w:p>
        </w:tc>
        <w:tc>
          <w:tcPr>
            <w:tcW w:w="76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Цена этапа, руб. без НДС</w:t>
            </w:r>
          </w:p>
        </w:tc>
        <w:tc>
          <w:tcPr>
            <w:tcW w:w="100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Сумма НДС</w:t>
            </w:r>
          </w:p>
          <w:p>
            <w:pPr>
              <w:pStyle w:val="Normal"/>
              <w:widowControl w:val="false"/>
              <w:spacing w:lineRule="auto" w:line="240"/>
              <w:ind w:hanging="0"/>
              <w:jc w:val="center"/>
              <w:rPr>
                <w:sz w:val="20"/>
                <w:szCs w:val="20"/>
              </w:rPr>
            </w:pPr>
            <w:r>
              <w:rPr>
                <w:sz w:val="20"/>
                <w:szCs w:val="20"/>
              </w:rPr>
              <w:t>(__%), руб.*</w:t>
            </w:r>
          </w:p>
        </w:tc>
        <w:tc>
          <w:tcPr>
            <w:tcW w:w="2095"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20"/>
                <w:szCs w:val="20"/>
              </w:rPr>
            </w:pPr>
            <w:r>
              <w:rPr>
                <w:sz w:val="20"/>
                <w:szCs w:val="20"/>
              </w:rPr>
              <w:t>Стоимость этапа, руб. с НДС*</w:t>
            </w:r>
          </w:p>
        </w:tc>
      </w:tr>
      <w:tr>
        <w:trPr/>
        <w:tc>
          <w:tcPr>
            <w:tcW w:w="70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609"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2"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0"/>
                <w:szCs w:val="20"/>
              </w:rPr>
            </w:pPr>
            <w:r>
              <w:rPr>
                <w:sz w:val="20"/>
                <w:szCs w:val="20"/>
              </w:rPr>
              <w:t>Начало</w:t>
            </w:r>
          </w:p>
        </w:tc>
        <w:tc>
          <w:tcPr>
            <w:tcW w:w="11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0"/>
                <w:szCs w:val="20"/>
              </w:rPr>
            </w:pPr>
            <w:r>
              <w:rPr>
                <w:sz w:val="20"/>
                <w:szCs w:val="20"/>
              </w:rPr>
              <w:t>Окончание</w:t>
            </w:r>
          </w:p>
        </w:tc>
        <w:tc>
          <w:tcPr>
            <w:tcW w:w="76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007"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2095"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1.</w:t>
            </w:r>
          </w:p>
        </w:tc>
        <w:tc>
          <w:tcPr>
            <w:tcW w:w="16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0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20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2.</w:t>
            </w:r>
          </w:p>
        </w:tc>
        <w:tc>
          <w:tcPr>
            <w:tcW w:w="16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0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20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3.</w:t>
            </w:r>
          </w:p>
        </w:tc>
        <w:tc>
          <w:tcPr>
            <w:tcW w:w="16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0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20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sz w:val="24"/>
                <w:szCs w:val="24"/>
              </w:rPr>
            </w:pPr>
            <w:r>
              <w:rPr>
                <w:sz w:val="24"/>
                <w:szCs w:val="24"/>
              </w:rPr>
              <w:t>4.</w:t>
            </w:r>
          </w:p>
        </w:tc>
        <w:tc>
          <w:tcPr>
            <w:tcW w:w="160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42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18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7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100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c>
          <w:tcPr>
            <w:tcW w:w="20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sz w:val="24"/>
                <w:szCs w:val="24"/>
              </w:rPr>
            </w:pPr>
            <w:r>
              <w:rPr>
                <w:sz w:val="24"/>
                <w:szCs w:val="24"/>
              </w:rPr>
            </w:r>
          </w:p>
        </w:tc>
      </w:tr>
      <w:tr>
        <w:trPr/>
        <w:tc>
          <w:tcPr>
            <w:tcW w:w="7537"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left" w:pos="395" w:leader="none"/>
              </w:tabs>
              <w:spacing w:lineRule="auto" w:line="240"/>
              <w:ind w:hanging="0"/>
              <w:rPr>
                <w:b/>
                <w:sz w:val="24"/>
                <w:szCs w:val="24"/>
              </w:rPr>
            </w:pPr>
            <w:r>
              <w:rPr>
                <w:b/>
                <w:sz w:val="24"/>
                <w:szCs w:val="24"/>
              </w:rPr>
              <w:t>Непредвиденные работы и затраты (лимит)</w:t>
            </w:r>
          </w:p>
        </w:tc>
        <w:tc>
          <w:tcPr>
            <w:tcW w:w="20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b/>
                <w:sz w:val="24"/>
                <w:szCs w:val="24"/>
              </w:rPr>
            </w:pPr>
            <w:r>
              <w:rPr>
                <w:b/>
                <w:sz w:val="24"/>
                <w:szCs w:val="24"/>
              </w:rPr>
            </w:r>
          </w:p>
        </w:tc>
      </w:tr>
      <w:tr>
        <w:trPr/>
        <w:tc>
          <w:tcPr>
            <w:tcW w:w="7537" w:type="dxa"/>
            <w:gridSpan w:val="7"/>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right"/>
              <w:rPr>
                <w:b/>
                <w:sz w:val="24"/>
                <w:szCs w:val="24"/>
              </w:rPr>
            </w:pPr>
            <w:r>
              <w:rPr>
                <w:b/>
                <w:sz w:val="24"/>
                <w:szCs w:val="24"/>
              </w:rPr>
              <w:t>Всего по Договору:</w:t>
            </w:r>
          </w:p>
        </w:tc>
        <w:tc>
          <w:tcPr>
            <w:tcW w:w="209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rPr>
                <w:b/>
                <w:sz w:val="24"/>
                <w:szCs w:val="24"/>
              </w:rPr>
            </w:pPr>
            <w:r>
              <w:rPr>
                <w:b/>
                <w:sz w:val="24"/>
                <w:szCs w:val="24"/>
              </w:rPr>
            </w:r>
          </w:p>
        </w:tc>
      </w:tr>
    </w:tbl>
    <w:p>
      <w:pPr>
        <w:pStyle w:val="Normal"/>
        <w:spacing w:lineRule="auto" w:line="240"/>
        <w:ind w:hanging="0"/>
        <w:rPr>
          <w:i/>
          <w:i/>
          <w:iCs/>
          <w:sz w:val="20"/>
          <w:szCs w:val="20"/>
        </w:rPr>
      </w:pPr>
      <w:r>
        <w:rPr>
          <w:i/>
          <w:iCs/>
          <w:sz w:val="20"/>
          <w:szCs w:val="20"/>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spacing w:lineRule="auto" w:line="240"/>
        <w:rPr>
          <w:sz w:val="24"/>
          <w:szCs w:val="24"/>
        </w:rPr>
      </w:pPr>
      <w:r>
        <w:rPr>
          <w:sz w:val="24"/>
          <w:szCs w:val="24"/>
        </w:rPr>
      </w:r>
    </w:p>
    <w:p>
      <w:pPr>
        <w:pStyle w:val="Normal"/>
        <w:spacing w:lineRule="auto" w:line="240"/>
        <w:ind w:hanging="0"/>
        <w:rPr>
          <w:sz w:val="24"/>
        </w:rPr>
      </w:pPr>
      <w:r>
        <w:rPr>
          <w:sz w:val="24"/>
        </w:rPr>
      </w:r>
    </w:p>
    <w:p>
      <w:pPr>
        <w:pStyle w:val="Normal"/>
        <w:spacing w:lineRule="auto" w:line="240"/>
        <w:rPr>
          <w:sz w:val="24"/>
          <w:szCs w:val="24"/>
        </w:rPr>
      </w:pPr>
      <w:r>
        <w:rPr>
          <w:sz w:val="24"/>
          <w:szCs w:val="24"/>
        </w:rPr>
      </w:r>
    </w:p>
    <w:p>
      <w:pPr>
        <w:pStyle w:val="Normal"/>
        <w:spacing w:lineRule="auto" w:line="240"/>
        <w:ind w:hanging="0"/>
        <w:rPr>
          <w:sz w:val="24"/>
        </w:rPr>
      </w:pPr>
      <w:r>
        <w:rPr>
          <w:sz w:val="24"/>
        </w:rPr>
      </w:r>
    </w:p>
    <w:tbl>
      <w:tblPr>
        <w:tblW w:w="9571" w:type="dxa"/>
        <w:jc w:val="center"/>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sectPr>
          <w:headerReference w:type="default" r:id="rId11"/>
          <w:headerReference w:type="first" r:id="rId12"/>
          <w:footerReference w:type="default" r:id="rId13"/>
          <w:footerReference w:type="first" r:id="rId14"/>
          <w:footnotePr>
            <w:numFmt w:val="decimal"/>
          </w:footnotePr>
          <w:type w:val="nextPage"/>
          <w:pgSz w:w="11906" w:h="16838"/>
          <w:pgMar w:left="1418" w:right="851" w:gutter="0" w:header="567" w:top="1134" w:footer="284" w:bottom="1134"/>
          <w:pgNumType w:fmt="decimal"/>
          <w:formProt w:val="false"/>
          <w:textDirection w:val="lrTb"/>
          <w:docGrid w:type="default" w:linePitch="381" w:charSpace="0"/>
        </w:sectPr>
      </w:pPr>
    </w:p>
    <w:p>
      <w:pPr>
        <w:pStyle w:val="Normal"/>
        <w:spacing w:lineRule="auto" w:line="240"/>
        <w:ind w:left="4395" w:firstLine="708"/>
        <w:rPr>
          <w:sz w:val="22"/>
          <w:szCs w:val="22"/>
        </w:rPr>
      </w:pPr>
      <w:r>
        <w:rPr>
          <w:sz w:val="22"/>
          <w:szCs w:val="22"/>
        </w:rPr>
        <w:t>Приложение № 3</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__ г. № ____</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Normal"/>
        <w:spacing w:lineRule="auto" w:line="240"/>
        <w:ind w:hanging="0"/>
        <w:jc w:val="center"/>
        <w:rPr>
          <w:b/>
          <w:sz w:val="24"/>
          <w:szCs w:val="24"/>
        </w:rPr>
      </w:pPr>
      <w:r>
        <w:rPr>
          <w:b/>
          <w:sz w:val="24"/>
          <w:szCs w:val="24"/>
        </w:rPr>
        <w:t>СВОДНАЯ СМЕТА С ПРИЛОЖЕНИЯМИ</w:t>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hanging="0"/>
        <w:jc w:val="left"/>
        <w:rPr>
          <w:sz w:val="22"/>
          <w:szCs w:val="22"/>
        </w:rPr>
      </w:pPr>
      <w:r>
        <w:rPr>
          <w:sz w:val="22"/>
          <w:szCs w:val="22"/>
        </w:rPr>
      </w:r>
    </w:p>
    <w:p>
      <w:pPr>
        <w:pStyle w:val="Normal"/>
        <w:spacing w:lineRule="auto" w:line="240"/>
        <w:ind w:left="5103" w:hanging="0"/>
        <w:jc w:val="left"/>
        <w:rPr>
          <w:sz w:val="22"/>
          <w:szCs w:val="22"/>
          <w:highlight w:val="lightGray"/>
        </w:rPr>
      </w:pPr>
      <w:r>
        <w:rPr>
          <w:sz w:val="22"/>
          <w:szCs w:val="22"/>
        </w:rPr>
        <w:t xml:space="preserve">                                                                   </w:t>
      </w:r>
      <w:r>
        <w:rPr>
          <w:sz w:val="22"/>
          <w:szCs w:val="22"/>
          <w:highlight w:val="lightGray"/>
        </w:rPr>
        <w:t>Приложение № 4.1</w:t>
      </w:r>
    </w:p>
    <w:p>
      <w:pPr>
        <w:pStyle w:val="Normal"/>
        <w:spacing w:lineRule="auto" w:line="240"/>
        <w:ind w:left="5103" w:hanging="0"/>
        <w:jc w:val="left"/>
        <w:rPr>
          <w:sz w:val="22"/>
          <w:szCs w:val="22"/>
          <w:highlight w:val="lightGray"/>
        </w:rPr>
      </w:pPr>
      <w:r>
        <w:rPr>
          <w:sz w:val="22"/>
          <w:szCs w:val="22"/>
          <w:highlight w:val="lightGray"/>
        </w:rPr>
        <w:t>к Договору подряда</w:t>
      </w:r>
    </w:p>
    <w:p>
      <w:pPr>
        <w:pStyle w:val="Normal"/>
        <w:spacing w:lineRule="auto" w:line="240"/>
        <w:ind w:left="5103" w:hanging="0"/>
        <w:jc w:val="left"/>
        <w:rPr>
          <w:sz w:val="22"/>
          <w:szCs w:val="22"/>
          <w:highlight w:val="lightGray"/>
        </w:rPr>
      </w:pPr>
      <w:r>
        <w:rPr>
          <w:sz w:val="22"/>
          <w:szCs w:val="22"/>
          <w:highlight w:val="lightGray"/>
        </w:rPr>
        <w:t xml:space="preserve">от «____» __________ 20 __ г. № ____ </w:t>
      </w:r>
    </w:p>
    <w:p>
      <w:pPr>
        <w:pStyle w:val="13"/>
        <w:jc w:val="left"/>
        <w:rPr>
          <w:i/>
          <w:i/>
          <w:highlight w:val="lightGray"/>
        </w:rPr>
      </w:pPr>
      <w:r>
        <w:rPr>
          <w:i/>
          <w:highlight w:val="lightGray"/>
        </w:rPr>
      </w:r>
    </w:p>
    <w:p>
      <w:pPr>
        <w:pStyle w:val="13"/>
        <w:jc w:val="left"/>
        <w:rPr>
          <w:i/>
          <w:i/>
          <w:highlight w:val="lightGray"/>
        </w:rPr>
      </w:pPr>
      <w:r>
        <w:rPr>
          <w:i/>
          <w:highlight w:val="lightGray"/>
        </w:rPr>
      </w:r>
    </w:p>
    <w:p>
      <w:pPr>
        <w:pStyle w:val="13"/>
        <w:rPr>
          <w:sz w:val="24"/>
          <w:szCs w:val="24"/>
          <w:highlight w:val="lightGray"/>
        </w:rPr>
      </w:pPr>
      <w:r>
        <w:rPr>
          <w:iCs/>
          <w:sz w:val="24"/>
          <w:szCs w:val="24"/>
          <w:highlight w:val="lightGray"/>
        </w:rPr>
        <w:t>ФОРМА</w:t>
      </w:r>
    </w:p>
    <w:p>
      <w:pPr>
        <w:pStyle w:val="13"/>
        <w:rPr>
          <w:i/>
          <w:i/>
          <w:iCs/>
          <w:sz w:val="24"/>
          <w:szCs w:val="24"/>
        </w:rPr>
      </w:pPr>
      <w:r>
        <w:rPr>
          <w:sz w:val="24"/>
          <w:szCs w:val="24"/>
          <w:highlight w:val="lightGray"/>
        </w:rPr>
        <w:t>Акта сдачи-приемки места производства Работ и / или</w:t>
      </w:r>
      <w:r>
        <w:rPr>
          <w:sz w:val="24"/>
          <w:highlight w:val="lightGray"/>
        </w:rPr>
        <w:t xml:space="preserve"> места (помещения) для складирования Материально-технических </w:t>
      </w:r>
      <w:r>
        <w:rPr>
          <w:sz w:val="24"/>
          <w:szCs w:val="24"/>
          <w:highlight w:val="lightGray"/>
        </w:rPr>
        <w:t>ресурсов и оборудования</w:t>
      </w:r>
    </w:p>
    <w:p>
      <w:pPr>
        <w:pStyle w:val="Normal"/>
        <w:spacing w:lineRule="auto" w:line="240"/>
        <w:ind w:hanging="0"/>
        <w:rPr>
          <w:sz w:val="24"/>
          <w:szCs w:val="24"/>
        </w:rPr>
      </w:pPr>
      <w:r>
        <w:rPr>
          <w:sz w:val="24"/>
          <w:szCs w:val="24"/>
        </w:rPr>
      </w:r>
    </w:p>
    <w:tbl>
      <w:tblPr>
        <w:tblW w:w="4900" w:type="pct"/>
        <w:jc w:val="left"/>
        <w:tblInd w:w="-5" w:type="dxa"/>
        <w:tblLayout w:type="fixed"/>
        <w:tblCellMar>
          <w:top w:w="0" w:type="dxa"/>
          <w:left w:w="108" w:type="dxa"/>
          <w:bottom w:w="0" w:type="dxa"/>
          <w:right w:w="108" w:type="dxa"/>
        </w:tblCellMar>
        <w:tblLook w:noVBand="1" w:val="04a0" w:noHBand="0" w:lastColumn="0" w:firstColumn="1" w:lastRow="0" w:firstRow="1"/>
      </w:tblPr>
      <w:tblGrid>
        <w:gridCol w:w="9444"/>
      </w:tblGrid>
      <w:tr>
        <w:trPr/>
        <w:tc>
          <w:tcPr>
            <w:tcW w:w="9444"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val="false"/>
                <w:sz w:val="24"/>
                <w:szCs w:val="24"/>
                <w:highlight w:val="lightGray"/>
              </w:rPr>
            </w:pPr>
            <w:r>
              <w:rPr>
                <w:b w:val="false"/>
                <w:sz w:val="24"/>
                <w:szCs w:val="24"/>
                <w:highlight w:val="lightGray"/>
              </w:rPr>
              <w:t xml:space="preserve">Акт </w:t>
            </w:r>
          </w:p>
          <w:p>
            <w:pPr>
              <w:pStyle w:val="13"/>
              <w:widowControl w:val="false"/>
              <w:rPr>
                <w:b w:val="false"/>
                <w:i/>
                <w:i/>
                <w:iCs/>
                <w:sz w:val="24"/>
                <w:szCs w:val="24"/>
                <w:highlight w:val="lightGray"/>
              </w:rPr>
            </w:pPr>
            <w:r>
              <w:rPr>
                <w:b w:val="false"/>
                <w:sz w:val="24"/>
                <w:szCs w:val="24"/>
                <w:highlight w:val="lightGray"/>
              </w:rPr>
              <w:t>сдачи-приемки места производства Работ</w:t>
            </w:r>
            <w:r>
              <w:rPr>
                <w:sz w:val="24"/>
                <w:szCs w:val="24"/>
                <w:highlight w:val="lightGray"/>
              </w:rPr>
              <w:t xml:space="preserve"> </w:t>
            </w:r>
            <w:r>
              <w:rPr>
                <w:b w:val="false"/>
                <w:sz w:val="24"/>
                <w:szCs w:val="24"/>
                <w:highlight w:val="lightGray"/>
              </w:rPr>
              <w:t>и / или места (помещения) для складирования Материально-технических ресурсов и оборудования</w:t>
            </w:r>
          </w:p>
          <w:p>
            <w:pPr>
              <w:pStyle w:val="Normal"/>
              <w:widowControl w:val="false"/>
              <w:rPr>
                <w:sz w:val="22"/>
                <w:highlight w:val="lightGray"/>
              </w:rPr>
            </w:pPr>
            <w:r>
              <w:rPr>
                <w:sz w:val="22"/>
                <w:highlight w:val="lightGray"/>
              </w:rPr>
            </w:r>
          </w:p>
          <w:p>
            <w:pPr>
              <w:pStyle w:val="Normal"/>
              <w:widowControl w:val="false"/>
              <w:ind w:hanging="0"/>
              <w:rPr>
                <w:sz w:val="22"/>
                <w:szCs w:val="22"/>
                <w:highlight w:val="lightGray"/>
              </w:rPr>
            </w:pPr>
            <w:r>
              <w:rPr>
                <w:sz w:val="22"/>
                <w:szCs w:val="22"/>
                <w:highlight w:val="lightGray"/>
              </w:rPr>
              <w:t>г.___________                                                                                                  «_____» _________20_г.</w:t>
            </w:r>
          </w:p>
          <w:p>
            <w:pPr>
              <w:pStyle w:val="Normal"/>
              <w:widowControl w:val="false"/>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t xml:space="preserve">____________________, именуемое далее «Подрядчик», в лице ________________, действующего на основании ______________, </w:t>
            </w:r>
          </w:p>
          <w:p>
            <w:pPr>
              <w:pStyle w:val="Normal"/>
              <w:widowControl w:val="false"/>
              <w:spacing w:lineRule="auto" w:line="240"/>
              <w:ind w:hanging="0"/>
              <w:rPr>
                <w:sz w:val="22"/>
                <w:szCs w:val="22"/>
                <w:highlight w:val="lightGray"/>
              </w:rPr>
            </w:pPr>
            <w:r>
              <w:rPr>
                <w:sz w:val="22"/>
                <w:szCs w:val="22"/>
                <w:highlight w:val="lightGray"/>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spacing w:lineRule="auto" w:line="240"/>
              <w:ind w:hanging="0"/>
              <w:rPr>
                <w:bCs/>
                <w:sz w:val="22"/>
                <w:szCs w:val="22"/>
                <w:highlight w:val="lightGray"/>
              </w:rPr>
            </w:pPr>
            <w:r>
              <w:rPr>
                <w:sz w:val="22"/>
                <w:szCs w:val="22"/>
                <w:highlight w:val="lightGray"/>
              </w:rPr>
              <w:t>Заказчик передал Подрядчику, а Подрядчик принял</w:t>
            </w:r>
            <w:r>
              <w:rPr>
                <w:bCs/>
                <w:sz w:val="22"/>
                <w:szCs w:val="22"/>
                <w:highlight w:val="lightGray"/>
              </w:rPr>
              <w:t xml:space="preserve"> место производства Работ _____________________________ (указываются идентифицирующие признаки) и / или </w:t>
            </w:r>
            <w:r>
              <w:rPr>
                <w:sz w:val="22"/>
                <w:szCs w:val="22"/>
                <w:highlight w:val="lightGray"/>
              </w:rPr>
              <w:t xml:space="preserve">место (помещение) для складирования </w:t>
            </w:r>
            <w:r>
              <w:rPr>
                <w:bCs/>
                <w:sz w:val="22"/>
                <w:szCs w:val="22"/>
                <w:highlight w:val="lightGray"/>
              </w:rPr>
              <w:t>Материально-технических ресурсов и оборудования</w:t>
            </w:r>
            <w:r>
              <w:rPr>
                <w:sz w:val="22"/>
                <w:szCs w:val="22"/>
                <w:highlight w:val="lightGray"/>
              </w:rPr>
              <w:t xml:space="preserve"> _____________________________ </w:t>
            </w:r>
            <w:r>
              <w:rPr>
                <w:bCs/>
                <w:sz w:val="22"/>
                <w:szCs w:val="22"/>
                <w:highlight w:val="lightGray"/>
              </w:rPr>
              <w:t xml:space="preserve">(указываются идентифицирующие признаки) </w:t>
            </w:r>
            <w:r>
              <w:rPr>
                <w:sz w:val="22"/>
                <w:szCs w:val="22"/>
                <w:highlight w:val="lightGray"/>
              </w:rPr>
              <w:t>по Договору по</w:t>
            </w:r>
            <w:r>
              <w:rPr>
                <w:bCs/>
                <w:sz w:val="22"/>
                <w:szCs w:val="22"/>
                <w:highlight w:val="lightGray"/>
              </w:rPr>
              <w:t>дряда №______ от _____________.</w:t>
            </w:r>
          </w:p>
          <w:p>
            <w:pPr>
              <w:pStyle w:val="Normal"/>
              <w:widowControl w:val="false"/>
              <w:spacing w:lineRule="auto" w:line="240"/>
              <w:ind w:hanging="0"/>
              <w:rPr>
                <w:bCs/>
                <w:sz w:val="22"/>
                <w:szCs w:val="22"/>
                <w:highlight w:val="lightGray"/>
              </w:rPr>
            </w:pPr>
            <w:r>
              <w:rPr>
                <w:bCs/>
                <w:sz w:val="22"/>
                <w:szCs w:val="22"/>
                <w:highlight w:val="lightGray"/>
              </w:rPr>
              <w:t xml:space="preserve">Место для производства Работ и </w:t>
            </w:r>
            <w:r>
              <w:rPr>
                <w:sz w:val="22"/>
                <w:szCs w:val="22"/>
                <w:highlight w:val="lightGray"/>
              </w:rPr>
              <w:t xml:space="preserve">место (помещение) для складирования </w:t>
            </w:r>
            <w:r>
              <w:rPr>
                <w:bCs/>
                <w:sz w:val="22"/>
                <w:szCs w:val="22"/>
                <w:highlight w:val="lightGray"/>
              </w:rPr>
              <w:t xml:space="preserve">Материально-технических ресурсов и оборудования переданы / передано </w:t>
            </w:r>
            <w:r>
              <w:rPr>
                <w:sz w:val="22"/>
                <w:szCs w:val="22"/>
                <w:highlight w:val="lightGray"/>
              </w:rPr>
              <w:t>Подрядчику</w:t>
            </w:r>
            <w:r>
              <w:rPr>
                <w:bCs/>
                <w:sz w:val="22"/>
                <w:szCs w:val="22"/>
                <w:highlight w:val="lightGray"/>
              </w:rPr>
              <w:t xml:space="preserve"> в установленный Договором срок. </w:t>
            </w:r>
          </w:p>
          <w:p>
            <w:pPr>
              <w:pStyle w:val="Normal"/>
              <w:widowControl w:val="false"/>
              <w:spacing w:lineRule="auto" w:line="240"/>
              <w:ind w:hanging="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 производства Работ: ____________________________________________________________________________</w:t>
            </w:r>
          </w:p>
          <w:p>
            <w:pPr>
              <w:pStyle w:val="Normal"/>
              <w:widowControl w:val="false"/>
              <w:spacing w:lineRule="auto" w:line="240"/>
              <w:ind w:hanging="0"/>
              <w:rPr>
                <w:sz w:val="22"/>
                <w:highlight w:val="lightGray"/>
              </w:rPr>
            </w:pPr>
            <w:r>
              <w:rPr>
                <w:i/>
                <w:sz w:val="22"/>
                <w:highlight w:val="lightGray"/>
              </w:rPr>
              <w:t>(указать конкретные претензии или указать «не имеются»)</w:t>
            </w:r>
            <w:r>
              <w:rPr>
                <w:sz w:val="22"/>
                <w:highlight w:val="lightGray"/>
              </w:rPr>
              <w:t>.</w:t>
            </w:r>
          </w:p>
          <w:p>
            <w:pPr>
              <w:pStyle w:val="Normal"/>
              <w:widowControl w:val="false"/>
              <w:spacing w:lineRule="auto" w:line="240"/>
              <w:ind w:hanging="0"/>
              <w:rPr>
                <w:bCs/>
                <w:sz w:val="22"/>
                <w:szCs w:val="22"/>
                <w:highlight w:val="lightGray"/>
              </w:rPr>
            </w:pPr>
            <w:r>
              <w:rPr>
                <w:bCs/>
                <w:sz w:val="22"/>
                <w:szCs w:val="22"/>
                <w:highlight w:val="lightGray"/>
              </w:rPr>
              <w:t xml:space="preserve">Претензии </w:t>
            </w:r>
            <w:r>
              <w:rPr>
                <w:sz w:val="22"/>
                <w:szCs w:val="22"/>
                <w:highlight w:val="lightGray"/>
              </w:rPr>
              <w:t>Подрядчика</w:t>
            </w:r>
            <w:r>
              <w:rPr>
                <w:bCs/>
                <w:sz w:val="22"/>
                <w:szCs w:val="22"/>
                <w:highlight w:val="lightGray"/>
              </w:rPr>
              <w:t xml:space="preserve"> (замечания и недостатки) к месту</w:t>
            </w:r>
            <w:r>
              <w:rPr>
                <w:sz w:val="22"/>
                <w:szCs w:val="22"/>
                <w:highlight w:val="lightGray"/>
              </w:rPr>
              <w:t xml:space="preserve"> складирования </w:t>
            </w:r>
            <w:r>
              <w:rPr>
                <w:bCs/>
                <w:sz w:val="22"/>
                <w:szCs w:val="22"/>
                <w:highlight w:val="lightGray"/>
              </w:rPr>
              <w:t>Материально-технических ресурсов и оборудования: _____________________________________</w:t>
            </w:r>
          </w:p>
          <w:p>
            <w:pPr>
              <w:pStyle w:val="Normal"/>
              <w:widowControl w:val="false"/>
              <w:spacing w:lineRule="auto" w:line="240"/>
              <w:ind w:hanging="0"/>
              <w:rPr>
                <w:sz w:val="22"/>
                <w:szCs w:val="22"/>
                <w:highlight w:val="lightGray"/>
              </w:rPr>
            </w:pPr>
            <w:r>
              <w:rPr>
                <w:sz w:val="22"/>
                <w:szCs w:val="22"/>
                <w:highlight w:val="lightGray"/>
              </w:rPr>
              <w:t xml:space="preserve"> </w:t>
            </w:r>
            <w:r>
              <w:rPr>
                <w:sz w:val="22"/>
                <w:szCs w:val="22"/>
                <w:highlight w:val="lightGray"/>
              </w:rPr>
              <w:t>(</w:t>
            </w:r>
            <w:r>
              <w:rPr>
                <w:i/>
                <w:sz w:val="22"/>
                <w:highlight w:val="lightGray"/>
              </w:rPr>
              <w:t>указать конкретные претензии или указать «не имеются»)</w:t>
            </w:r>
            <w:r>
              <w:rPr>
                <w:sz w:val="22"/>
                <w:highlight w:val="lightGray"/>
              </w:rPr>
              <w:t>.</w:t>
            </w:r>
          </w:p>
          <w:p>
            <w:pPr>
              <w:pStyle w:val="Normal"/>
              <w:widowControl w:val="false"/>
              <w:rPr>
                <w:sz w:val="22"/>
                <w:szCs w:val="22"/>
                <w:highlight w:val="lightGray"/>
              </w:rPr>
            </w:pPr>
            <w:r>
              <w:rPr>
                <w:sz w:val="22"/>
                <w:szCs w:val="22"/>
                <w:highlight w:val="lightGray"/>
              </w:rPr>
            </w:r>
          </w:p>
          <w:tbl>
            <w:tblPr>
              <w:tblW w:w="9276"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38"/>
              <w:gridCol w:w="4637"/>
            </w:tblGrid>
            <w:tr>
              <w:trPr/>
              <w:tc>
                <w:tcPr>
                  <w:tcW w:w="4638" w:type="dxa"/>
                  <w:tcBorders/>
                </w:tcPr>
                <w:p>
                  <w:pPr>
                    <w:pStyle w:val="Normal"/>
                    <w:widowControl w:val="false"/>
                    <w:spacing w:lineRule="auto" w:line="240"/>
                    <w:ind w:hanging="0"/>
                    <w:rPr>
                      <w:sz w:val="22"/>
                      <w:highlight w:val="lightGray"/>
                    </w:rPr>
                  </w:pPr>
                  <w:r>
                    <w:rPr>
                      <w:sz w:val="22"/>
                      <w:highlight w:val="lightGray"/>
                    </w:rPr>
                    <w:t>Заказчик:</w:t>
                  </w:r>
                </w:p>
              </w:tc>
              <w:tc>
                <w:tcPr>
                  <w:tcW w:w="4637" w:type="dxa"/>
                  <w:tcBorders/>
                </w:tcPr>
                <w:p>
                  <w:pPr>
                    <w:pStyle w:val="Normal"/>
                    <w:widowControl w:val="false"/>
                    <w:spacing w:lineRule="auto" w:line="240"/>
                    <w:ind w:hanging="0"/>
                    <w:rPr>
                      <w:sz w:val="22"/>
                      <w:highlight w:val="lightGray"/>
                    </w:rPr>
                  </w:pPr>
                  <w:r>
                    <w:rPr>
                      <w:sz w:val="22"/>
                      <w:highlight w:val="lightGray"/>
                    </w:rPr>
                    <w:t>Подрядчик:</w:t>
                  </w:r>
                </w:p>
              </w:tc>
            </w:tr>
            <w:tr>
              <w:trPr/>
              <w:tc>
                <w:tcPr>
                  <w:tcW w:w="4638" w:type="dxa"/>
                  <w:tcBorders/>
                  <w:shd w:color="auto" w:fill="auto" w:val="clear"/>
                </w:tcPr>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t xml:space="preserve">_______________ / _______________ </w:t>
                  </w:r>
                </w:p>
                <w:p>
                  <w:pPr>
                    <w:pStyle w:val="Normal"/>
                    <w:widowControl w:val="false"/>
                    <w:spacing w:lineRule="auto" w:line="240"/>
                    <w:ind w:hanging="0"/>
                    <w:rPr>
                      <w:sz w:val="22"/>
                      <w:szCs w:val="22"/>
                      <w:highlight w:val="lightGray"/>
                    </w:rPr>
                  </w:pPr>
                  <w:r>
                    <w:rPr>
                      <w:sz w:val="22"/>
                      <w:szCs w:val="22"/>
                      <w:highlight w:val="lightGray"/>
                    </w:rPr>
                  </w:r>
                </w:p>
              </w:tc>
              <w:tc>
                <w:tcPr>
                  <w:tcW w:w="4637" w:type="dxa"/>
                  <w:tcBorders/>
                  <w:shd w:color="auto" w:fill="auto" w:val="clear"/>
                </w:tcPr>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t xml:space="preserve">_______________ / _______________ </w:t>
                  </w:r>
                </w:p>
                <w:p>
                  <w:pPr>
                    <w:pStyle w:val="Normal"/>
                    <w:widowControl w:val="false"/>
                    <w:spacing w:lineRule="auto" w:line="240"/>
                    <w:ind w:hanging="0"/>
                    <w:rPr>
                      <w:sz w:val="22"/>
                      <w:szCs w:val="22"/>
                      <w:highlight w:val="lightGray"/>
                    </w:rPr>
                  </w:pPr>
                  <w:r>
                    <w:rPr>
                      <w:sz w:val="22"/>
                      <w:szCs w:val="22"/>
                      <w:highlight w:val="lightGray"/>
                    </w:rPr>
                  </w:r>
                </w:p>
              </w:tc>
            </w:tr>
          </w:tbl>
          <w:p>
            <w:pPr>
              <w:pStyle w:val="13"/>
              <w:widowControl w:val="false"/>
              <w:spacing w:before="0" w:after="120"/>
              <w:jc w:val="left"/>
              <w:rPr>
                <w:i/>
                <w:i/>
                <w:iCs/>
                <w:highlight w:val="lightGray"/>
              </w:rPr>
            </w:pPr>
            <w:r>
              <w:rPr>
                <w:i/>
                <w:iCs/>
                <w:highlight w:val="lightGray"/>
              </w:rPr>
            </w:r>
          </w:p>
        </w:tc>
      </w:tr>
    </w:tbl>
    <w:p>
      <w:pPr>
        <w:pStyle w:val="13"/>
        <w:jc w:val="left"/>
        <w:rPr>
          <w:i/>
          <w:i/>
          <w:iCs/>
          <w:highlight w:val="lightGray"/>
        </w:rPr>
      </w:pPr>
      <w:r>
        <w:rPr>
          <w:i/>
          <w:iCs/>
          <w:highlight w:val="lightGray"/>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highlight w:val="lightGray"/>
              </w:rPr>
            </w:pPr>
            <w:r>
              <w:rPr>
                <w:b/>
                <w:sz w:val="24"/>
                <w:highlight w:val="lightGray"/>
              </w:rPr>
              <w:t>Заказчик:</w:t>
            </w:r>
          </w:p>
        </w:tc>
        <w:tc>
          <w:tcPr>
            <w:tcW w:w="4785" w:type="dxa"/>
            <w:tcBorders/>
          </w:tcPr>
          <w:p>
            <w:pPr>
              <w:pStyle w:val="Normal"/>
              <w:widowControl w:val="false"/>
              <w:spacing w:lineRule="auto" w:line="240"/>
              <w:ind w:hanging="0"/>
              <w:rPr>
                <w:b/>
                <w:sz w:val="24"/>
                <w:highlight w:val="lightGray"/>
              </w:rPr>
            </w:pPr>
            <w:r>
              <w:rPr>
                <w:b/>
                <w:sz w:val="24"/>
                <w:highlight w:val="lightGray"/>
              </w:rPr>
              <w:t>Подрядчик:</w:t>
            </w:r>
          </w:p>
        </w:tc>
      </w:tr>
      <w:tr>
        <w:trPr/>
        <w:tc>
          <w:tcPr>
            <w:tcW w:w="4785" w:type="dxa"/>
            <w:tcBorders/>
          </w:tcPr>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t xml:space="preserve">_______________ / _______________ </w:t>
            </w:r>
          </w:p>
          <w:p>
            <w:pPr>
              <w:pStyle w:val="Normal"/>
              <w:widowControl w:val="false"/>
              <w:spacing w:lineRule="auto" w:line="240"/>
              <w:ind w:hanging="0"/>
              <w:rPr>
                <w:sz w:val="22"/>
                <w:szCs w:val="22"/>
                <w:highlight w:val="lightGray"/>
              </w:rPr>
            </w:pPr>
            <w:r>
              <w:rPr>
                <w:sz w:val="22"/>
                <w:szCs w:val="22"/>
                <w:highlight w:val="lightGray"/>
              </w:rPr>
            </w:r>
          </w:p>
        </w:tc>
        <w:tc>
          <w:tcPr>
            <w:tcW w:w="4785" w:type="dxa"/>
            <w:tcBorders/>
          </w:tcPr>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highlight w:val="lightGray"/>
              </w:rPr>
            </w:pPr>
            <w:r>
              <w:rPr>
                <w:sz w:val="22"/>
                <w:szCs w:val="22"/>
                <w:highlight w:val="lightGray"/>
              </w:rPr>
            </w:r>
          </w:p>
          <w:p>
            <w:pPr>
              <w:pStyle w:val="Normal"/>
              <w:widowControl w:val="false"/>
              <w:spacing w:lineRule="auto" w:line="240"/>
              <w:ind w:hanging="0"/>
              <w:rPr>
                <w:sz w:val="22"/>
                <w:szCs w:val="22"/>
              </w:rPr>
            </w:pPr>
            <w:r>
              <w:rPr>
                <w:sz w:val="22"/>
                <w:szCs w:val="22"/>
                <w:highlight w:val="lightGray"/>
              </w:rPr>
              <w:t>_______________ / _______________</w:t>
            </w:r>
            <w:r>
              <w:rPr>
                <w:sz w:val="22"/>
                <w:szCs w:val="22"/>
              </w:rPr>
              <w:t xml:space="preserve"> </w:t>
            </w:r>
          </w:p>
          <w:p>
            <w:pPr>
              <w:pStyle w:val="Normal"/>
              <w:widowControl w:val="false"/>
              <w:spacing w:lineRule="auto" w:line="240"/>
              <w:ind w:hanging="0"/>
              <w:rPr>
                <w:sz w:val="22"/>
                <w:szCs w:val="22"/>
              </w:rPr>
            </w:pPr>
            <w:r>
              <w:rPr>
                <w:sz w:val="22"/>
                <w:szCs w:val="22"/>
              </w:rPr>
            </w:r>
          </w:p>
        </w:tc>
      </w:tr>
    </w:tbl>
    <w:p>
      <w:pPr>
        <w:pStyle w:val="Normal"/>
        <w:spacing w:lineRule="auto" w:line="240"/>
        <w:ind w:left="708" w:firstLine="708"/>
        <w:jc w:val="right"/>
        <w:rPr>
          <w:sz w:val="22"/>
          <w:szCs w:val="22"/>
        </w:rPr>
      </w:pPr>
      <w:r>
        <w:rPr>
          <w:sz w:val="22"/>
          <w:szCs w:val="22"/>
        </w:rPr>
      </w:r>
    </w:p>
    <w:p>
      <w:pPr>
        <w:pStyle w:val="Normal"/>
        <w:spacing w:lineRule="auto" w:line="240"/>
        <w:ind w:hanging="0"/>
        <w:jc w:val="left"/>
        <w:rPr>
          <w:sz w:val="22"/>
          <w:szCs w:val="22"/>
        </w:rPr>
      </w:pPr>
      <w:r>
        <w:rPr>
          <w:sz w:val="22"/>
          <w:szCs w:val="22"/>
        </w:rPr>
      </w:r>
      <w:r>
        <w:br w:type="page"/>
      </w:r>
    </w:p>
    <w:p>
      <w:pPr>
        <w:pStyle w:val="Normal"/>
        <w:spacing w:lineRule="auto" w:line="240"/>
        <w:ind w:left="5103" w:hanging="0"/>
        <w:jc w:val="left"/>
        <w:rPr>
          <w:sz w:val="22"/>
          <w:szCs w:val="22"/>
        </w:rPr>
      </w:pPr>
      <w:r>
        <w:rPr>
          <w:sz w:val="22"/>
          <w:szCs w:val="22"/>
        </w:rPr>
        <w:t>Приложение № 4.2</w:t>
      </w:r>
    </w:p>
    <w:p>
      <w:pPr>
        <w:pStyle w:val="Normal"/>
        <w:spacing w:lineRule="auto" w:line="240"/>
        <w:ind w:left="5103" w:hanging="0"/>
        <w:jc w:val="left"/>
        <w:rPr>
          <w:sz w:val="22"/>
          <w:szCs w:val="22"/>
        </w:rPr>
      </w:pPr>
      <w:r>
        <w:rPr>
          <w:sz w:val="22"/>
          <w:szCs w:val="22"/>
        </w:rPr>
        <w:t>к Договору подряда</w:t>
      </w:r>
    </w:p>
    <w:p>
      <w:pPr>
        <w:pStyle w:val="Normal"/>
        <w:spacing w:lineRule="auto" w:line="240"/>
        <w:ind w:left="5103" w:hanging="0"/>
        <w:jc w:val="left"/>
        <w:rPr>
          <w:sz w:val="22"/>
          <w:szCs w:val="22"/>
        </w:rPr>
      </w:pPr>
      <w:r>
        <w:rPr>
          <w:sz w:val="22"/>
          <w:szCs w:val="22"/>
        </w:rPr>
        <w:t xml:space="preserve">от «____» __________ 20 __ г. № ____ </w:t>
      </w:r>
    </w:p>
    <w:p>
      <w:pPr>
        <w:pStyle w:val="Normal"/>
        <w:spacing w:lineRule="auto" w:line="240"/>
        <w:rPr>
          <w:sz w:val="22"/>
          <w:szCs w:val="22"/>
        </w:rPr>
      </w:pPr>
      <w:r>
        <w:rPr>
          <w:sz w:val="22"/>
          <w:szCs w:val="22"/>
        </w:rPr>
      </w:r>
    </w:p>
    <w:p>
      <w:pPr>
        <w:pStyle w:val="Normal"/>
        <w:spacing w:lineRule="auto" w:line="240"/>
        <w:ind w:hanging="0"/>
        <w:rPr>
          <w:b/>
          <w:bCs/>
          <w:sz w:val="24"/>
          <w:szCs w:val="24"/>
        </w:rPr>
      </w:pPr>
      <w:r>
        <w:rPr>
          <w:b/>
          <w:bCs/>
          <w:sz w:val="24"/>
          <w:szCs w:val="24"/>
        </w:rPr>
      </w:r>
    </w:p>
    <w:p>
      <w:pPr>
        <w:pStyle w:val="13"/>
        <w:rPr>
          <w:b w:val="false"/>
          <w:sz w:val="24"/>
        </w:rPr>
      </w:pPr>
      <w:r>
        <w:rPr>
          <w:sz w:val="24"/>
        </w:rPr>
        <w:t>ФОРМА</w:t>
      </w:r>
    </w:p>
    <w:p>
      <w:pPr>
        <w:pStyle w:val="13"/>
        <w:rPr>
          <w:i/>
          <w:i/>
          <w:sz w:val="24"/>
        </w:rPr>
      </w:pPr>
      <w:r>
        <w:rPr>
          <w:sz w:val="24"/>
        </w:rPr>
        <w:t xml:space="preserve">Акта сдачи-приемки технической и иной документации </w:t>
      </w:r>
    </w:p>
    <w:p>
      <w:pPr>
        <w:pStyle w:val="Normal"/>
        <w:spacing w:lineRule="auto" w:line="240"/>
        <w:ind w:hanging="0"/>
        <w:rPr>
          <w:sz w:val="24"/>
          <w:szCs w:val="24"/>
        </w:rPr>
      </w:pPr>
      <w:r>
        <w:rPr>
          <w:sz w:val="24"/>
          <w:szCs w:val="24"/>
        </w:rPr>
      </w:r>
    </w:p>
    <w:tbl>
      <w:tblPr>
        <w:tblW w:w="5000" w:type="pct"/>
        <w:jc w:val="left"/>
        <w:tblInd w:w="-5" w:type="dxa"/>
        <w:tblLayout w:type="fixed"/>
        <w:tblCellMar>
          <w:top w:w="0" w:type="dxa"/>
          <w:left w:w="108" w:type="dxa"/>
          <w:bottom w:w="0" w:type="dxa"/>
          <w:right w:w="108" w:type="dxa"/>
        </w:tblCellMar>
        <w:tblLook w:noVBand="1" w:val="04a0" w:noHBand="0" w:lastColumn="0" w:firstColumn="1" w:lastRow="0" w:firstRow="1"/>
      </w:tblPr>
      <w:tblGrid>
        <w:gridCol w:w="9637"/>
      </w:tblGrid>
      <w:tr>
        <w:trPr/>
        <w:tc>
          <w:tcPr>
            <w:tcW w:w="9637" w:type="dxa"/>
            <w:tcBorders>
              <w:top w:val="single" w:sz="4" w:space="0" w:color="000000"/>
              <w:left w:val="single" w:sz="4" w:space="0" w:color="000000"/>
              <w:bottom w:val="single" w:sz="4" w:space="0" w:color="000000"/>
              <w:right w:val="single" w:sz="4" w:space="0" w:color="000000"/>
            </w:tcBorders>
            <w:shd w:color="auto" w:fill="auto" w:val="clear"/>
          </w:tcPr>
          <w:p>
            <w:pPr>
              <w:pStyle w:val="13"/>
              <w:widowControl w:val="false"/>
              <w:rPr>
                <w:b w:val="false"/>
              </w:rPr>
            </w:pPr>
            <w:r>
              <w:rPr>
                <w:b w:val="false"/>
              </w:rPr>
              <w:t xml:space="preserve">Акт </w:t>
            </w:r>
          </w:p>
          <w:p>
            <w:pPr>
              <w:pStyle w:val="13"/>
              <w:widowControl w:val="false"/>
              <w:rPr>
                <w:i/>
                <w:i/>
                <w:iCs/>
              </w:rPr>
            </w:pPr>
            <w:r>
              <w:rPr>
                <w:b w:val="false"/>
              </w:rPr>
              <w:t>сдачи-приемки технической и иной документации</w:t>
            </w:r>
          </w:p>
          <w:p>
            <w:pPr>
              <w:pStyle w:val="Normal"/>
              <w:widowControl w:val="false"/>
              <w:rPr/>
            </w:pPr>
            <w:r>
              <w:rPr/>
            </w:r>
          </w:p>
          <w:p>
            <w:pPr>
              <w:pStyle w:val="Normal"/>
              <w:widowControl w:val="false"/>
              <w:ind w:hanging="0"/>
              <w:rPr>
                <w:sz w:val="22"/>
                <w:szCs w:val="22"/>
              </w:rPr>
            </w:pPr>
            <w:r>
              <w:rPr>
                <w:sz w:val="22"/>
                <w:szCs w:val="22"/>
              </w:rPr>
              <w:t>г.___________                                                                                                     «_____» _________20_г.</w:t>
            </w:r>
          </w:p>
          <w:p>
            <w:pPr>
              <w:pStyle w:val="Normal"/>
              <w:widowControl w:val="false"/>
              <w:rPr>
                <w:sz w:val="22"/>
                <w:szCs w:val="22"/>
              </w:rPr>
            </w:pPr>
            <w:r>
              <w:rPr>
                <w:sz w:val="22"/>
                <w:szCs w:val="22"/>
              </w:rPr>
            </w:r>
          </w:p>
          <w:p>
            <w:pPr>
              <w:pStyle w:val="Normal"/>
              <w:widowControl w:val="false"/>
              <w:ind w:hanging="0"/>
              <w:rPr>
                <w:sz w:val="22"/>
                <w:szCs w:val="22"/>
              </w:rPr>
            </w:pPr>
            <w:r>
              <w:rPr>
                <w:sz w:val="22"/>
                <w:szCs w:val="22"/>
              </w:rPr>
              <w:t xml:space="preserve">____________________, именуемое далее «Подрядчик», в лице ________________, действующего на основании ______________, </w:t>
            </w:r>
          </w:p>
          <w:p>
            <w:pPr>
              <w:pStyle w:val="Normal"/>
              <w:widowControl w:val="false"/>
              <w:ind w:hanging="0"/>
              <w:rPr>
                <w:sz w:val="22"/>
                <w:szCs w:val="22"/>
              </w:rPr>
            </w:pPr>
            <w:r>
              <w:rPr>
                <w:sz w:val="22"/>
                <w:szCs w:val="22"/>
              </w:rPr>
              <w:t>____________________, именуемое далее «Заказчик», в лице ________________, действующего на основании ______________, составили настоящий акт о нижеследующем:</w:t>
            </w:r>
          </w:p>
          <w:p>
            <w:pPr>
              <w:pStyle w:val="Normal"/>
              <w:widowControl w:val="false"/>
              <w:ind w:hanging="0"/>
              <w:rPr>
                <w:bCs/>
                <w:sz w:val="22"/>
                <w:szCs w:val="22"/>
              </w:rPr>
            </w:pPr>
            <w:r>
              <w:rPr>
                <w:sz w:val="22"/>
                <w:szCs w:val="22"/>
              </w:rPr>
              <w:t>Заказчик передал Подрядчику, а Подрядчик принял</w:t>
            </w:r>
            <w:r>
              <w:rPr>
                <w:bCs/>
                <w:sz w:val="22"/>
                <w:szCs w:val="22"/>
              </w:rPr>
              <w:t xml:space="preserve"> следующую </w:t>
            </w:r>
            <w:r>
              <w:rPr>
                <w:sz w:val="22"/>
                <w:szCs w:val="22"/>
              </w:rPr>
              <w:t>техническую и иную документацию для выполнения Работ по Договору</w:t>
            </w:r>
            <w:r>
              <w:rPr>
                <w:bCs/>
                <w:sz w:val="22"/>
                <w:szCs w:val="22"/>
              </w:rPr>
              <w:t xml:space="preserve"> №______ от _____________:</w:t>
            </w:r>
          </w:p>
          <w:p>
            <w:pPr>
              <w:pStyle w:val="Normal"/>
              <w:widowControl w:val="false"/>
              <w:ind w:hanging="0"/>
              <w:rPr>
                <w:bCs/>
                <w:sz w:val="22"/>
                <w:szCs w:val="22"/>
              </w:rPr>
            </w:pPr>
            <w:r>
              <w:rPr>
                <w:bCs/>
                <w:sz w:val="22"/>
                <w:szCs w:val="22"/>
              </w:rPr>
              <w:t xml:space="preserve">__________________________________________________________________________ </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__________________________________________________________________________</w:t>
            </w:r>
          </w:p>
          <w:p>
            <w:pPr>
              <w:pStyle w:val="Normal"/>
              <w:widowControl w:val="false"/>
              <w:ind w:hanging="0"/>
              <w:rPr>
                <w:bCs/>
                <w:sz w:val="22"/>
                <w:szCs w:val="22"/>
              </w:rPr>
            </w:pPr>
            <w:r>
              <w:rPr>
                <w:bCs/>
                <w:sz w:val="22"/>
                <w:szCs w:val="22"/>
              </w:rPr>
              <w:t xml:space="preserve">Документация передана </w:t>
            </w:r>
            <w:r>
              <w:rPr>
                <w:sz w:val="22"/>
                <w:szCs w:val="22"/>
              </w:rPr>
              <w:t>Подрядчик</w:t>
            </w:r>
            <w:r>
              <w:rPr>
                <w:bCs/>
                <w:sz w:val="22"/>
                <w:szCs w:val="22"/>
              </w:rPr>
              <w:t xml:space="preserve">у в установленный Договором срок. </w:t>
            </w:r>
          </w:p>
          <w:p>
            <w:pPr>
              <w:pStyle w:val="Normal"/>
              <w:widowControl w:val="false"/>
              <w:spacing w:lineRule="auto" w:line="240"/>
              <w:ind w:hanging="0"/>
              <w:rPr>
                <w:sz w:val="20"/>
                <w:szCs w:val="20"/>
              </w:rPr>
            </w:pPr>
            <w:r>
              <w:rPr>
                <w:sz w:val="20"/>
                <w:szCs w:val="20"/>
              </w:rPr>
            </w:r>
          </w:p>
          <w:p>
            <w:pPr>
              <w:pStyle w:val="Normal"/>
              <w:widowControl w:val="false"/>
              <w:rPr>
                <w:sz w:val="22"/>
                <w:szCs w:val="22"/>
              </w:rPr>
            </w:pPr>
            <w:r>
              <w:rPr>
                <w:sz w:val="22"/>
                <w:szCs w:val="22"/>
              </w:rPr>
            </w:r>
          </w:p>
          <w:tbl>
            <w:tblPr>
              <w:tblW w:w="941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05"/>
              <w:gridCol w:w="4705"/>
            </w:tblGrid>
            <w:tr>
              <w:trPr/>
              <w:tc>
                <w:tcPr>
                  <w:tcW w:w="4705" w:type="dxa"/>
                  <w:tcBorders/>
                </w:tcPr>
                <w:p>
                  <w:pPr>
                    <w:pStyle w:val="Normal"/>
                    <w:widowControl w:val="false"/>
                    <w:spacing w:lineRule="auto" w:line="240"/>
                    <w:ind w:hanging="0"/>
                    <w:rPr>
                      <w:bCs/>
                      <w:sz w:val="24"/>
                      <w:szCs w:val="24"/>
                    </w:rPr>
                  </w:pPr>
                  <w:r>
                    <w:rPr>
                      <w:bCs/>
                      <w:sz w:val="24"/>
                      <w:szCs w:val="24"/>
                    </w:rPr>
                    <w:t>Заказчик:</w:t>
                  </w:r>
                </w:p>
              </w:tc>
              <w:tc>
                <w:tcPr>
                  <w:tcW w:w="4705" w:type="dxa"/>
                  <w:tcBorders/>
                </w:tcPr>
                <w:p>
                  <w:pPr>
                    <w:pStyle w:val="Normal"/>
                    <w:widowControl w:val="false"/>
                    <w:spacing w:lineRule="auto" w:line="240"/>
                    <w:ind w:hanging="0"/>
                    <w:rPr>
                      <w:bCs/>
                      <w:sz w:val="24"/>
                      <w:szCs w:val="24"/>
                    </w:rPr>
                  </w:pPr>
                  <w:r>
                    <w:rPr>
                      <w:bCs/>
                      <w:sz w:val="24"/>
                      <w:szCs w:val="24"/>
                    </w:rPr>
                    <w:t>Подрядчик:</w:t>
                  </w:r>
                </w:p>
              </w:tc>
            </w:tr>
            <w:tr>
              <w:trPr/>
              <w:tc>
                <w:tcPr>
                  <w:tcW w:w="470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05" w:type="dxa"/>
                  <w:tcBorders/>
                  <w:shd w:color="auto" w:fill="auto" w:val="clear"/>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13"/>
              <w:widowControl w:val="false"/>
              <w:jc w:val="left"/>
              <w:rPr>
                <w:i/>
                <w:i/>
                <w:iCs/>
              </w:rPr>
            </w:pPr>
            <w:r>
              <w:rPr>
                <w:i/>
                <w:iCs/>
              </w:rPr>
            </w:r>
          </w:p>
          <w:p>
            <w:pPr>
              <w:pStyle w:val="13"/>
              <w:widowControl w:val="false"/>
              <w:spacing w:before="0" w:after="120"/>
              <w:jc w:val="left"/>
              <w:rPr>
                <w:i/>
                <w:i/>
                <w:iCs/>
              </w:rPr>
            </w:pPr>
            <w:r>
              <w:rPr>
                <w:i/>
                <w:iCs/>
              </w:rPr>
            </w:r>
          </w:p>
        </w:tc>
      </w:tr>
    </w:tbl>
    <w:p>
      <w:pPr>
        <w:pStyle w:val="13"/>
        <w:jc w:val="left"/>
        <w:rPr>
          <w:i/>
          <w:i/>
          <w:iCs/>
        </w:rPr>
      </w:pPr>
      <w:r>
        <w:rPr>
          <w:i/>
          <w:iCs/>
        </w:rPr>
      </w:r>
    </w:p>
    <w:p>
      <w:pPr>
        <w:pStyle w:val="13"/>
        <w:rPr>
          <w:sz w:val="24"/>
          <w:szCs w:val="24"/>
        </w:rPr>
      </w:pPr>
      <w:r>
        <w:rPr>
          <w:sz w:val="24"/>
          <w:szCs w:val="24"/>
        </w:rPr>
      </w:r>
    </w:p>
    <w:p>
      <w:pPr>
        <w:pStyle w:val="Normal"/>
        <w:spacing w:lineRule="auto" w:line="240"/>
        <w:rPr>
          <w:sz w:val="24"/>
        </w:rPr>
      </w:pPr>
      <w:r>
        <w:rPr>
          <w:sz w:val="24"/>
        </w:rPr>
      </w:r>
    </w:p>
    <w:p>
      <w:pPr>
        <w:pStyle w:val="Normal"/>
        <w:spacing w:lineRule="auto" w:line="240"/>
        <w:ind w:left="5103" w:hanging="0"/>
        <w:rPr>
          <w:sz w:val="22"/>
          <w:szCs w:val="22"/>
          <w:highlight w:val="yellow"/>
        </w:rPr>
      </w:pPr>
      <w:r>
        <w:rPr>
          <w:sz w:val="22"/>
          <w:szCs w:val="22"/>
          <w:highlight w:val="yellow"/>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highlight w:val="yellow"/>
        </w:rPr>
      </w:pPr>
      <w:r>
        <w:rPr>
          <w:sz w:val="22"/>
          <w:szCs w:val="22"/>
          <w:highlight w:val="yellow"/>
        </w:rPr>
      </w:r>
      <w:r>
        <w:br w:type="page"/>
      </w:r>
    </w:p>
    <w:p>
      <w:pPr>
        <w:pStyle w:val="Normal"/>
        <w:spacing w:lineRule="auto" w:line="240"/>
        <w:ind w:left="5103" w:hanging="0"/>
        <w:rPr>
          <w:sz w:val="22"/>
          <w:szCs w:val="22"/>
        </w:rPr>
      </w:pPr>
      <w:r>
        <w:rPr>
          <w:sz w:val="22"/>
          <w:szCs w:val="22"/>
        </w:rPr>
        <w:t xml:space="preserve"> </w:t>
      </w:r>
      <w:r>
        <w:rPr>
          <w:sz w:val="22"/>
          <w:szCs w:val="22"/>
        </w:rPr>
        <w:t>Приложение № 5</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от «____» __________ 20 _ г. № ____</w:t>
      </w:r>
    </w:p>
    <w:p>
      <w:pPr>
        <w:pStyle w:val="Normal"/>
        <w:spacing w:lineRule="auto" w:line="240"/>
        <w:ind w:hanging="0"/>
        <w:rPr>
          <w:b/>
          <w:bCs/>
          <w:sz w:val="24"/>
          <w:szCs w:val="24"/>
        </w:rPr>
      </w:pPr>
      <w:r>
        <w:rPr>
          <w:b/>
          <w:bCs/>
          <w:sz w:val="24"/>
          <w:szCs w:val="24"/>
        </w:rPr>
      </w:r>
    </w:p>
    <w:p>
      <w:pPr>
        <w:pStyle w:val="Normal"/>
        <w:spacing w:lineRule="auto" w:line="240"/>
        <w:jc w:val="center"/>
        <w:rPr>
          <w:b/>
          <w:bCs/>
        </w:rPr>
      </w:pPr>
      <w:r>
        <w:rPr>
          <w:b/>
          <w:bCs/>
        </w:rPr>
      </w:r>
    </w:p>
    <w:p>
      <w:pPr>
        <w:pStyle w:val="Normal"/>
        <w:spacing w:lineRule="auto" w:line="240"/>
        <w:jc w:val="center"/>
        <w:rPr>
          <w:b/>
          <w:sz w:val="24"/>
        </w:rPr>
      </w:pPr>
      <w:r>
        <w:rPr>
          <w:b/>
          <w:sz w:val="24"/>
        </w:rPr>
        <w:t>Перечень допусков, разрешений и лицензий Подрядчика</w:t>
      </w:r>
    </w:p>
    <w:p>
      <w:pPr>
        <w:pStyle w:val="Normal"/>
        <w:spacing w:lineRule="auto" w:line="240"/>
        <w:jc w:val="center"/>
        <w:rPr>
          <w:b/>
          <w:bCs/>
        </w:rPr>
      </w:pPr>
      <w:r>
        <w:rPr>
          <w:b/>
          <w:bCs/>
        </w:rPr>
      </w:r>
    </w:p>
    <w:tbl>
      <w:tblPr>
        <w:tblW w:w="5000" w:type="pct"/>
        <w:jc w:val="left"/>
        <w:tblInd w:w="-5" w:type="dxa"/>
        <w:tblLayout w:type="fixed"/>
        <w:tblCellMar>
          <w:top w:w="0" w:type="dxa"/>
          <w:left w:w="108" w:type="dxa"/>
          <w:bottom w:w="0" w:type="dxa"/>
          <w:right w:w="108" w:type="dxa"/>
        </w:tblCellMar>
        <w:tblLook w:noVBand="1" w:val="04a0" w:noHBand="0" w:lastColumn="0" w:firstColumn="1" w:lastRow="0" w:firstRow="1"/>
      </w:tblPr>
      <w:tblGrid>
        <w:gridCol w:w="677"/>
        <w:gridCol w:w="2161"/>
        <w:gridCol w:w="1227"/>
        <w:gridCol w:w="1093"/>
        <w:gridCol w:w="939"/>
        <w:gridCol w:w="1280"/>
        <w:gridCol w:w="2259"/>
      </w:tblGrid>
      <w:tr>
        <w:trPr>
          <w:trHeight w:val="2142" w:hRule="atLeast"/>
        </w:trPr>
        <w:tc>
          <w:tcPr>
            <w:tcW w:w="6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 </w:t>
            </w:r>
            <w:r>
              <w:rPr>
                <w:bCs/>
                <w:sz w:val="22"/>
                <w:szCs w:val="22"/>
              </w:rPr>
              <w:t>п/п</w:t>
            </w:r>
          </w:p>
        </w:tc>
        <w:tc>
          <w:tcPr>
            <w:tcW w:w="21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Разрешительный документ</w:t>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Номер, дата выдачи, </w:t>
            </w:r>
          </w:p>
          <w:p>
            <w:pPr>
              <w:pStyle w:val="Normal"/>
              <w:widowControl w:val="false"/>
              <w:spacing w:lineRule="auto" w:line="240"/>
              <w:ind w:hanging="0"/>
              <w:jc w:val="center"/>
              <w:rPr>
                <w:bCs/>
                <w:sz w:val="22"/>
                <w:szCs w:val="22"/>
              </w:rPr>
            </w:pPr>
            <w:r>
              <w:rPr>
                <w:bCs/>
                <w:sz w:val="22"/>
                <w:szCs w:val="22"/>
              </w:rPr>
              <w:t xml:space="preserve">кем выдан </w:t>
            </w:r>
          </w:p>
        </w:tc>
        <w:tc>
          <w:tcPr>
            <w:tcW w:w="10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Разрешаемая деятельность (виды деятельности)</w:t>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Начало действия разрешительного документа</w:t>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 xml:space="preserve">Окончание действия разрешительного документа </w:t>
            </w:r>
          </w:p>
        </w:tc>
        <w:tc>
          <w:tcPr>
            <w:tcW w:w="2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t>Ограничения (условия) использования разрешительного документа (осуществления разрешаемой деятельности)</w:t>
            </w:r>
          </w:p>
        </w:tc>
      </w:tr>
      <w:tr>
        <w:trPr>
          <w:trHeight w:val="557" w:hRule="atLeast"/>
        </w:trPr>
        <w:tc>
          <w:tcPr>
            <w:tcW w:w="6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32" w:hRule="atLeast"/>
        </w:trPr>
        <w:tc>
          <w:tcPr>
            <w:tcW w:w="6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r>
        <w:trPr>
          <w:trHeight w:val="505" w:hRule="atLeast"/>
        </w:trPr>
        <w:tc>
          <w:tcPr>
            <w:tcW w:w="67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16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2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09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9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128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c>
          <w:tcPr>
            <w:tcW w:w="225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Cs/>
                <w:sz w:val="22"/>
                <w:szCs w:val="22"/>
              </w:rPr>
            </w:pPr>
            <w:r>
              <w:rPr>
                <w:bCs/>
                <w:sz w:val="22"/>
                <w:szCs w:val="22"/>
              </w:rPr>
            </w:r>
          </w:p>
        </w:tc>
      </w:tr>
    </w:tbl>
    <w:p>
      <w:pPr>
        <w:pStyle w:val="Normal"/>
        <w:spacing w:lineRule="auto" w:line="240"/>
        <w:jc w:val="center"/>
        <w:rPr>
          <w:b/>
          <w:bCs/>
        </w:rPr>
      </w:pPr>
      <w:r>
        <w:rPr>
          <w:b/>
          <w:bCs/>
        </w:rPr>
      </w:r>
    </w:p>
    <w:p>
      <w:pPr>
        <w:pStyle w:val="Normal"/>
        <w:spacing w:lineRule="auto" w:line="240"/>
        <w:jc w:val="center"/>
        <w:rPr>
          <w:b/>
          <w:sz w:val="24"/>
          <w:szCs w:val="24"/>
        </w:rPr>
      </w:pPr>
      <w:r>
        <w:rPr>
          <w:b/>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rPr>
      </w:pPr>
      <w:r>
        <w:rPr>
          <w:sz w:val="24"/>
        </w:rPr>
      </w:r>
    </w:p>
    <w:p>
      <w:pPr>
        <w:pStyle w:val="Normal"/>
        <w:spacing w:lineRule="auto" w:line="240"/>
        <w:ind w:hanging="0"/>
        <w:rPr>
          <w:sz w:val="24"/>
        </w:rPr>
      </w:pPr>
      <w:r>
        <w:rPr>
          <w:sz w:val="24"/>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rPr>
          <w:sz w:val="24"/>
          <w:szCs w:val="24"/>
        </w:rPr>
      </w:pPr>
      <w:r>
        <w:rPr>
          <w:sz w:val="24"/>
          <w:szCs w:val="24"/>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p>
      <w:pPr>
        <w:pStyle w:val="Normal"/>
        <w:spacing w:lineRule="auto" w:line="240"/>
        <w:ind w:left="5103" w:hanging="0"/>
        <w:rPr>
          <w:sz w:val="22"/>
          <w:szCs w:val="22"/>
        </w:rPr>
      </w:pPr>
      <w:r>
        <w:rPr>
          <w:sz w:val="22"/>
          <w:szCs w:val="22"/>
        </w:rPr>
        <w:t>Приложение № 6</w:t>
      </w:r>
    </w:p>
    <w:p>
      <w:pPr>
        <w:pStyle w:val="Normal"/>
        <w:spacing w:lineRule="auto" w:line="240"/>
        <w:ind w:left="5103" w:hanging="0"/>
        <w:rPr>
          <w:sz w:val="22"/>
          <w:szCs w:val="22"/>
        </w:rPr>
      </w:pPr>
      <w:r>
        <w:rPr>
          <w:sz w:val="22"/>
          <w:szCs w:val="22"/>
        </w:rPr>
        <w:t>к Договору подряда</w:t>
      </w:r>
    </w:p>
    <w:p>
      <w:pPr>
        <w:pStyle w:val="Normal"/>
        <w:spacing w:lineRule="auto" w:line="240"/>
        <w:ind w:left="5103" w:hanging="0"/>
        <w:rPr>
          <w:sz w:val="22"/>
          <w:szCs w:val="22"/>
        </w:rPr>
      </w:pPr>
      <w:r>
        <w:rPr>
          <w:sz w:val="22"/>
          <w:szCs w:val="22"/>
        </w:rPr>
        <w:t xml:space="preserve">от «____» __________ 20 __ г. № ____ </w:t>
      </w:r>
    </w:p>
    <w:p>
      <w:pPr>
        <w:pStyle w:val="Normal"/>
        <w:spacing w:lineRule="auto" w:line="240"/>
        <w:rPr>
          <w:sz w:val="22"/>
          <w:szCs w:val="22"/>
        </w:rPr>
      </w:pPr>
      <w:r>
        <w:rPr>
          <w:sz w:val="22"/>
          <w:szCs w:val="22"/>
        </w:rPr>
      </w:r>
    </w:p>
    <w:p>
      <w:pPr>
        <w:pStyle w:val="Normal"/>
        <w:spacing w:lineRule="auto" w:line="240"/>
        <w:ind w:hanging="0"/>
        <w:rPr>
          <w:b/>
          <w:sz w:val="24"/>
        </w:rPr>
      </w:pPr>
      <w:r>
        <w:rPr>
          <w:b/>
          <w:sz w:val="24"/>
        </w:rPr>
      </w:r>
    </w:p>
    <w:p>
      <w:pPr>
        <w:pStyle w:val="Normal"/>
        <w:spacing w:lineRule="auto" w:line="240"/>
        <w:ind w:hanging="0"/>
        <w:jc w:val="center"/>
        <w:rPr>
          <w:b/>
          <w:bCs/>
          <w:sz w:val="24"/>
          <w:szCs w:val="24"/>
        </w:rPr>
      </w:pPr>
      <w:r>
        <w:rPr>
          <w:b/>
          <w:bCs/>
          <w:sz w:val="24"/>
          <w:szCs w:val="24"/>
        </w:rPr>
        <w:t>Размер ответственности Подрядчика за нарушения</w:t>
      </w:r>
    </w:p>
    <w:p>
      <w:pPr>
        <w:pStyle w:val="Normal"/>
        <w:spacing w:lineRule="auto" w:line="240"/>
        <w:ind w:hanging="0"/>
        <w:jc w:val="center"/>
        <w:rPr>
          <w:b/>
          <w:bCs/>
          <w:sz w:val="24"/>
          <w:szCs w:val="24"/>
        </w:rPr>
      </w:pPr>
      <w:r>
        <w:rPr>
          <w:b/>
          <w:bCs/>
          <w:sz w:val="24"/>
          <w:szCs w:val="24"/>
        </w:rPr>
        <w:t>пропускного и внутриобъектового режима, требований охраны труда,</w:t>
      </w:r>
    </w:p>
    <w:p>
      <w:pPr>
        <w:pStyle w:val="Normal"/>
        <w:spacing w:lineRule="auto" w:line="240"/>
        <w:ind w:hanging="0"/>
        <w:jc w:val="center"/>
        <w:rPr>
          <w:b/>
          <w:color w:val="000000"/>
          <w:sz w:val="24"/>
          <w:szCs w:val="24"/>
        </w:rPr>
      </w:pPr>
      <w:r>
        <w:rPr>
          <w:b/>
          <w:bCs/>
          <w:sz w:val="24"/>
          <w:szCs w:val="24"/>
        </w:rPr>
        <w:t>пожарной и промышленной безопасности</w:t>
      </w:r>
    </w:p>
    <w:p>
      <w:pPr>
        <w:pStyle w:val="Normal"/>
        <w:spacing w:lineRule="auto" w:line="240"/>
        <w:rPr>
          <w:b/>
          <w:sz w:val="24"/>
          <w:szCs w:val="24"/>
        </w:rPr>
      </w:pPr>
      <w:r>
        <w:rPr>
          <w:b/>
          <w:sz w:val="24"/>
          <w:szCs w:val="24"/>
        </w:rPr>
      </w:r>
    </w:p>
    <w:tbl>
      <w:tblPr>
        <w:tblW w:w="4850" w:type="pct"/>
        <w:jc w:val="left"/>
        <w:tblInd w:w="-5" w:type="dxa"/>
        <w:tblLayout w:type="fixed"/>
        <w:tblCellMar>
          <w:top w:w="0" w:type="dxa"/>
          <w:left w:w="108" w:type="dxa"/>
          <w:bottom w:w="0" w:type="dxa"/>
          <w:right w:w="108" w:type="dxa"/>
        </w:tblCellMar>
        <w:tblLook w:noVBand="0" w:val="01e0" w:noHBand="0" w:lastColumn="1" w:firstColumn="1" w:lastRow="1" w:firstRow="1"/>
      </w:tblPr>
      <w:tblGrid>
        <w:gridCol w:w="5392"/>
        <w:gridCol w:w="3954"/>
      </w:tblGrid>
      <w:tr>
        <w:trPr/>
        <w:tc>
          <w:tcPr>
            <w:tcW w:w="53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Виды нарушений</w:t>
            </w:r>
          </w:p>
        </w:tc>
        <w:tc>
          <w:tcPr>
            <w:tcW w:w="39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b/>
                <w:sz w:val="24"/>
                <w:szCs w:val="24"/>
              </w:rPr>
            </w:pPr>
            <w:r>
              <w:rPr>
                <w:b/>
                <w:sz w:val="24"/>
                <w:szCs w:val="24"/>
              </w:rPr>
              <w:t>Штрафные санкции</w:t>
            </w:r>
          </w:p>
        </w:tc>
      </w:tr>
      <w:tr>
        <w:trPr/>
        <w:tc>
          <w:tcPr>
            <w:tcW w:w="53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1. Нарушение правил пожарной безопасности (ППБ):</w:t>
            </w:r>
          </w:p>
        </w:tc>
        <w:tc>
          <w:tcPr>
            <w:tcW w:w="39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r>
          </w:p>
        </w:tc>
      </w:tr>
      <w:tr>
        <w:trPr/>
        <w:tc>
          <w:tcPr>
            <w:tcW w:w="53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1.1. Нарушение ППБ без возникновения пожара</w:t>
            </w:r>
          </w:p>
          <w:p>
            <w:pPr>
              <w:pStyle w:val="Normal"/>
              <w:widowControl w:val="false"/>
              <w:spacing w:lineRule="auto" w:line="240"/>
              <w:ind w:hanging="0"/>
              <w:rPr>
                <w:b/>
                <w:sz w:val="24"/>
                <w:szCs w:val="24"/>
              </w:rPr>
            </w:pPr>
            <w:r>
              <w:rPr>
                <w:b/>
                <w:sz w:val="24"/>
                <w:szCs w:val="24"/>
              </w:rPr>
            </w:r>
          </w:p>
        </w:tc>
        <w:tc>
          <w:tcPr>
            <w:tcW w:w="39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53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1.2. Нарушение ППБ, ставшее причиной возникновения пожара, не причинившего ущерб имуществу Заказчика</w:t>
            </w:r>
          </w:p>
        </w:tc>
        <w:tc>
          <w:tcPr>
            <w:tcW w:w="39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53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1.3. Нарушение ППБ, ставшее причиной возникновения пожара, причинившего ущерб имуществу Заказчика.</w:t>
            </w:r>
          </w:p>
        </w:tc>
        <w:tc>
          <w:tcPr>
            <w:tcW w:w="39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xml:space="preserve"> </w:t>
            </w:r>
            <w:r>
              <w:rPr>
                <w:sz w:val="24"/>
                <w:szCs w:val="24"/>
              </w:rPr>
              <w:t>250 000 (двести пятьдесят тысяч) рублей за каждый случай нарушения.</w:t>
            </w:r>
          </w:p>
        </w:tc>
      </w:tr>
      <w:tr>
        <w:trPr/>
        <w:tc>
          <w:tcPr>
            <w:tcW w:w="539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rPr>
              <w:t>2.</w:t>
            </w:r>
            <w:r>
              <w:rPr>
                <w:b/>
                <w:sz w:val="24"/>
                <w:szCs w:val="24"/>
              </w:rPr>
              <w:t xml:space="preserve"> </w:t>
            </w:r>
            <w:r>
              <w:rPr>
                <w:sz w:val="24"/>
              </w:rPr>
              <w:t xml:space="preserve">Нарушение пропускного и внутриобъектового режима, </w:t>
            </w:r>
            <w:r>
              <w:rPr>
                <w:color w:val="000000"/>
                <w:sz w:val="24"/>
              </w:rPr>
              <w:t>требований охраны труда, промышленной безопасности, охраны окружающей среды.</w:t>
            </w:r>
          </w:p>
        </w:tc>
        <w:tc>
          <w:tcPr>
            <w:tcW w:w="395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rPr>
                <w:sz w:val="24"/>
                <w:szCs w:val="24"/>
              </w:rPr>
            </w:pPr>
            <w:r>
              <w:rPr>
                <w:sz w:val="24"/>
                <w:szCs w:val="24"/>
              </w:rPr>
              <w:t>- 50 000 (пятьдесят тысяч) рублей за каждый случай нарушения;</w:t>
            </w:r>
          </w:p>
          <w:p>
            <w:pPr>
              <w:pStyle w:val="Normal"/>
              <w:widowControl w:val="false"/>
              <w:spacing w:lineRule="auto" w:line="240"/>
              <w:ind w:hanging="0"/>
              <w:rPr>
                <w:sz w:val="24"/>
                <w:szCs w:val="24"/>
              </w:rPr>
            </w:pPr>
            <w:r>
              <w:rPr>
                <w:sz w:val="24"/>
                <w:szCs w:val="24"/>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spacing w:lineRule="auto" w:line="240"/>
              <w:ind w:hanging="0"/>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left="5103" w:hanging="0"/>
        <w:rPr>
          <w:sz w:val="22"/>
          <w:szCs w:val="22"/>
        </w:rPr>
      </w:pPr>
      <w:r>
        <w:rPr>
          <w:sz w:val="22"/>
          <w:szCs w:val="22"/>
        </w:rPr>
      </w:r>
    </w:p>
    <w:tbl>
      <w:tblPr>
        <w:tblW w:w="9571"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785"/>
        <w:gridCol w:w="4785"/>
      </w:tblGrid>
      <w:tr>
        <w:trPr/>
        <w:tc>
          <w:tcPr>
            <w:tcW w:w="4785" w:type="dxa"/>
            <w:tcBorders/>
          </w:tcPr>
          <w:p>
            <w:pPr>
              <w:pStyle w:val="Normal"/>
              <w:widowControl w:val="false"/>
              <w:spacing w:lineRule="auto" w:line="240"/>
              <w:ind w:hanging="0"/>
              <w:rPr>
                <w:b/>
                <w:sz w:val="24"/>
              </w:rPr>
            </w:pPr>
            <w:r>
              <w:rPr>
                <w:b/>
                <w:sz w:val="24"/>
              </w:rPr>
              <w:t>Заказчик:</w:t>
            </w:r>
          </w:p>
        </w:tc>
        <w:tc>
          <w:tcPr>
            <w:tcW w:w="4785" w:type="dxa"/>
            <w:tcBorders/>
          </w:tcPr>
          <w:p>
            <w:pPr>
              <w:pStyle w:val="Normal"/>
              <w:widowControl w:val="false"/>
              <w:spacing w:lineRule="auto" w:line="240"/>
              <w:ind w:hanging="0"/>
              <w:rPr>
                <w:b/>
                <w:sz w:val="24"/>
              </w:rPr>
            </w:pPr>
            <w:r>
              <w:rPr>
                <w:b/>
                <w:sz w:val="24"/>
              </w:rPr>
              <w:t>Подрядчик:</w:t>
            </w:r>
          </w:p>
        </w:tc>
      </w:tr>
      <w:tr>
        <w:trPr/>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c>
          <w:tcPr>
            <w:tcW w:w="4785" w:type="dxa"/>
            <w:tcBorders/>
          </w:tcPr>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r>
          </w:p>
          <w:p>
            <w:pPr>
              <w:pStyle w:val="Normal"/>
              <w:widowControl w:val="false"/>
              <w:spacing w:lineRule="auto" w:line="240"/>
              <w:ind w:hanging="0"/>
              <w:rPr>
                <w:sz w:val="22"/>
                <w:szCs w:val="22"/>
              </w:rPr>
            </w:pPr>
            <w:r>
              <w:rPr>
                <w:sz w:val="22"/>
                <w:szCs w:val="22"/>
              </w:rPr>
              <w:t xml:space="preserve">_______________ / _______________ </w:t>
            </w:r>
          </w:p>
          <w:p>
            <w:pPr>
              <w:pStyle w:val="Normal"/>
              <w:widowControl w:val="false"/>
              <w:spacing w:lineRule="auto" w:line="240"/>
              <w:ind w:hanging="0"/>
              <w:rPr>
                <w:sz w:val="22"/>
                <w:szCs w:val="22"/>
              </w:rPr>
            </w:pPr>
            <w:r>
              <w:rPr>
                <w:sz w:val="22"/>
                <w:szCs w:val="22"/>
              </w:rPr>
            </w:r>
          </w:p>
        </w:tc>
      </w:tr>
    </w:tbl>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p>
    <w:p>
      <w:pPr>
        <w:pStyle w:val="Normal"/>
        <w:spacing w:lineRule="auto" w:line="240"/>
        <w:ind w:left="5103" w:hanging="0"/>
        <w:rPr>
          <w:sz w:val="22"/>
          <w:szCs w:val="22"/>
        </w:rPr>
      </w:pPr>
      <w:r>
        <w:rPr>
          <w:sz w:val="22"/>
          <w:szCs w:val="22"/>
        </w:rPr>
      </w:r>
      <w:r>
        <w:br w:type="page"/>
      </w:r>
    </w:p>
    <w:tbl>
      <w:tblPr>
        <w:tblW w:w="9571"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785"/>
        <w:gridCol w:w="4785"/>
      </w:tblGrid>
      <w:tr>
        <w:trPr/>
        <w:tc>
          <w:tcPr>
            <w:tcW w:w="4785" w:type="dxa"/>
            <w:tcBorders/>
          </w:tcPr>
          <w:p>
            <w:pPr>
              <w:pStyle w:val="Normal"/>
              <w:pageBreakBefore/>
              <w:widowControl w:val="false"/>
              <w:snapToGrid w:val="false"/>
              <w:spacing w:lineRule="auto" w:line="240"/>
              <w:rPr>
                <w:b/>
                <w:bCs/>
                <w:szCs w:val="24"/>
              </w:rPr>
            </w:pPr>
            <w:r>
              <w:rPr>
                <w:b/>
                <w:bCs/>
                <w:szCs w:val="24"/>
              </w:rPr>
            </w:r>
          </w:p>
        </w:tc>
        <w:tc>
          <w:tcPr>
            <w:tcW w:w="4785" w:type="dxa"/>
            <w:tcBorders/>
          </w:tcPr>
          <w:p>
            <w:pPr>
              <w:pStyle w:val="Normal"/>
              <w:widowControl w:val="false"/>
              <w:shd w:val="clear" w:color="auto" w:fill="FFFFFF"/>
              <w:spacing w:lineRule="auto" w:line="240"/>
              <w:ind w:firstLine="352"/>
              <w:rPr>
                <w:bCs/>
                <w:sz w:val="22"/>
                <w:szCs w:val="22"/>
              </w:rPr>
            </w:pPr>
            <w:r>
              <w:rPr>
                <w:bCs/>
                <w:sz w:val="22"/>
                <w:szCs w:val="22"/>
              </w:rPr>
              <w:t>Приложение № 7</w:t>
            </w:r>
          </w:p>
          <w:p>
            <w:pPr>
              <w:pStyle w:val="Normal"/>
              <w:widowControl w:val="false"/>
              <w:shd w:val="clear" w:color="auto" w:fill="FFFFFF"/>
              <w:spacing w:lineRule="auto" w:line="240"/>
              <w:ind w:firstLine="352"/>
              <w:rPr>
                <w:bCs/>
                <w:sz w:val="22"/>
                <w:szCs w:val="22"/>
              </w:rPr>
            </w:pPr>
            <w:r>
              <w:rPr>
                <w:bCs/>
                <w:sz w:val="22"/>
                <w:szCs w:val="22"/>
              </w:rPr>
              <w:t xml:space="preserve">к Договору подряда </w:t>
            </w:r>
          </w:p>
          <w:p>
            <w:pPr>
              <w:pStyle w:val="Normal"/>
              <w:widowControl w:val="false"/>
              <w:shd w:val="clear" w:color="auto" w:fill="FFFFFF"/>
              <w:spacing w:lineRule="auto" w:line="240"/>
              <w:ind w:firstLine="352"/>
              <w:rPr>
                <w:bCs/>
                <w:sz w:val="22"/>
                <w:szCs w:val="22"/>
              </w:rPr>
            </w:pPr>
            <w:r>
              <w:rPr>
                <w:bCs/>
                <w:sz w:val="22"/>
                <w:szCs w:val="22"/>
              </w:rPr>
              <w:t>от «___» ________20__ г. № ___</w:t>
            </w:r>
          </w:p>
          <w:p>
            <w:pPr>
              <w:pStyle w:val="Normal"/>
              <w:widowControl w:val="false"/>
              <w:snapToGrid w:val="false"/>
              <w:spacing w:lineRule="auto" w:line="240"/>
              <w:rPr>
                <w:b/>
                <w:bCs/>
                <w:szCs w:val="24"/>
                <w:highlight w:val="lightGray"/>
              </w:rPr>
            </w:pPr>
            <w:r>
              <w:rPr>
                <w:b/>
                <w:bCs/>
                <w:szCs w:val="24"/>
                <w:highlight w:val="lightGray"/>
              </w:rPr>
            </w:r>
          </w:p>
        </w:tc>
      </w:tr>
    </w:tbl>
    <w:p>
      <w:pPr>
        <w:pStyle w:val="Normal"/>
        <w:shd w:val="clear" w:color="auto" w:fill="FFFFFF"/>
        <w:spacing w:lineRule="auto" w:line="240"/>
        <w:jc w:val="center"/>
        <w:rPr>
          <w:b/>
          <w:bCs/>
          <w:szCs w:val="24"/>
        </w:rPr>
      </w:pPr>
      <w:r>
        <w:rPr>
          <w:b/>
          <w:bCs/>
          <w:szCs w:val="24"/>
        </w:rPr>
        <w:t>Акт сдачи-приемки выполненных работ</w:t>
      </w:r>
    </w:p>
    <w:p>
      <w:pPr>
        <w:pStyle w:val="Normal"/>
        <w:shd w:val="clear" w:color="auto" w:fill="FFFFFF"/>
        <w:spacing w:lineRule="auto" w:line="240"/>
        <w:jc w:val="center"/>
        <w:rPr>
          <w:b/>
          <w:bCs/>
          <w:szCs w:val="24"/>
        </w:rPr>
      </w:pPr>
      <w:r>
        <w:rPr>
          <w:b/>
          <w:bCs/>
          <w:szCs w:val="24"/>
        </w:rPr>
        <w:t>(форма)</w:t>
      </w:r>
      <w:r>
        <w:rPr>
          <w:rStyle w:val="FootnoteReference"/>
          <w:b/>
          <w:bCs/>
          <w:szCs w:val="24"/>
        </w:rPr>
        <w:footnoteReference w:id="18"/>
      </w:r>
    </w:p>
    <w:p>
      <w:pPr>
        <w:pStyle w:val="Normal"/>
        <w:shd w:val="clear" w:color="auto" w:fill="FFFFFF"/>
        <w:spacing w:lineRule="auto" w:line="240"/>
        <w:jc w:val="center"/>
        <w:rPr>
          <w:b/>
          <w:bCs/>
          <w:szCs w:val="24"/>
        </w:rPr>
      </w:pPr>
      <w:r>
        <w:rPr>
          <w:b/>
          <w:bCs/>
          <w:szCs w:val="24"/>
        </w:rPr>
      </w:r>
    </w:p>
    <w:tbl>
      <w:tblPr>
        <w:tblW w:w="10070" w:type="dxa"/>
        <w:jc w:val="left"/>
        <w:tblInd w:w="-11" w:type="dxa"/>
        <w:tblLayout w:type="fixed"/>
        <w:tblCellMar>
          <w:top w:w="0" w:type="dxa"/>
          <w:left w:w="10" w:type="dxa"/>
          <w:bottom w:w="0" w:type="dxa"/>
          <w:right w:w="10" w:type="dxa"/>
        </w:tblCellMar>
        <w:tblLook w:noVBand="1" w:val="04a0" w:noHBand="0" w:lastColumn="0" w:firstColumn="1" w:lastRow="0" w:firstRow="1"/>
      </w:tblPr>
      <w:tblGrid>
        <w:gridCol w:w="40"/>
        <w:gridCol w:w="10029"/>
      </w:tblGrid>
      <w:tr>
        <w:trPr/>
        <w:tc>
          <w:tcPr>
            <w:tcW w:w="40" w:type="dxa"/>
            <w:tcBorders>
              <w:top w:val="single" w:sz="8" w:space="0" w:color="000000"/>
              <w:left w:val="single" w:sz="8" w:space="0" w:color="000000"/>
              <w:bottom w:val="single" w:sz="8" w:space="0" w:color="000000"/>
              <w:right w:val="single" w:sz="8" w:space="0" w:color="000000"/>
            </w:tcBorders>
          </w:tcPr>
          <w:p>
            <w:pPr>
              <w:pStyle w:val="Normal"/>
              <w:widowControl w:val="false"/>
              <w:spacing w:lineRule="auto" w:line="240"/>
              <w:jc w:val="center"/>
              <w:rPr>
                <w:b/>
                <w:bCs/>
                <w:szCs w:val="24"/>
              </w:rPr>
            </w:pPr>
            <w:r>
              <w:rPr>
                <w:b/>
                <w:bCs/>
                <w:szCs w:val="24"/>
              </w:rPr>
            </w:r>
          </w:p>
        </w:tc>
        <w:tc>
          <w:tcPr>
            <w:tcW w:w="10029" w:type="dxa"/>
            <w:tcBorders>
              <w:top w:val="single" w:sz="8" w:space="0" w:color="000000"/>
              <w:left w:val="single" w:sz="8" w:space="0" w:color="000000"/>
              <w:bottom w:val="single" w:sz="8" w:space="0" w:color="000000"/>
              <w:right w:val="single" w:sz="8" w:space="0" w:color="000000"/>
            </w:tcBorders>
            <w:tcMar>
              <w:left w:w="108" w:type="dxa"/>
              <w:right w:w="108" w:type="dxa"/>
            </w:tcMar>
          </w:tcPr>
          <w:p>
            <w:pPr>
              <w:pStyle w:val="Normal"/>
              <w:widowControl w:val="false"/>
              <w:spacing w:lineRule="auto" w:line="240"/>
              <w:jc w:val="center"/>
              <w:rPr>
                <w:b/>
                <w:bCs/>
                <w:sz w:val="20"/>
                <w:szCs w:val="20"/>
              </w:rPr>
            </w:pPr>
            <w:r>
              <w:rPr>
                <w:b/>
                <w:bCs/>
                <w:sz w:val="20"/>
                <w:szCs w:val="20"/>
              </w:rPr>
              <w:t>АКТ СДАЧИ-ПРИЕМКИ ВЫПОЛНЕННЫХ РАБОТ №  _________</w:t>
            </w:r>
          </w:p>
          <w:tbl>
            <w:tblPr>
              <w:tblW w:w="9735" w:type="dxa"/>
              <w:jc w:val="left"/>
              <w:tblInd w:w="0" w:type="dxa"/>
              <w:tblLayout w:type="fixed"/>
              <w:tblCellMar>
                <w:top w:w="15" w:type="dxa"/>
                <w:left w:w="15" w:type="dxa"/>
                <w:bottom w:w="0" w:type="dxa"/>
                <w:right w:w="15" w:type="dxa"/>
              </w:tblCellMar>
              <w:tblLook w:noVBand="1" w:val="04a0" w:noHBand="0" w:lastColumn="0" w:firstColumn="1" w:lastRow="0" w:firstRow="1"/>
            </w:tblPr>
            <w:tblGrid>
              <w:gridCol w:w="844"/>
              <w:gridCol w:w="1895"/>
              <w:gridCol w:w="1890"/>
              <w:gridCol w:w="952"/>
              <w:gridCol w:w="628"/>
              <w:gridCol w:w="1058"/>
              <w:gridCol w:w="1634"/>
              <w:gridCol w:w="832"/>
            </w:tblGrid>
            <w:tr>
              <w:trPr>
                <w:trHeight w:val="255" w:hRule="atLeast"/>
              </w:trPr>
              <w:tc>
                <w:tcPr>
                  <w:tcW w:w="8901" w:type="dxa"/>
                  <w:gridSpan w:val="7"/>
                  <w:tcBorders/>
                  <w:vAlign w:val="bottom"/>
                </w:tcPr>
                <w:p>
                  <w:pPr>
                    <w:pStyle w:val="Normal"/>
                    <w:widowControl w:val="false"/>
                    <w:spacing w:lineRule="auto" w:line="240"/>
                    <w:rPr>
                      <w:sz w:val="20"/>
                      <w:szCs w:val="20"/>
                    </w:rPr>
                  </w:pPr>
                  <w:r>
                    <w:rPr>
                      <w:sz w:val="20"/>
                      <w:szCs w:val="20"/>
                    </w:rPr>
                  </w:r>
                </w:p>
                <w:p>
                  <w:pPr>
                    <w:pStyle w:val="Normal"/>
                    <w:widowControl w:val="false"/>
                    <w:spacing w:lineRule="auto" w:line="240"/>
                    <w:rPr>
                      <w:sz w:val="20"/>
                      <w:szCs w:val="20"/>
                    </w:rPr>
                  </w:pPr>
                  <w:r>
                    <w:rPr>
                      <w:sz w:val="20"/>
                      <w:szCs w:val="20"/>
                    </w:rPr>
                    <w:t>г.___________                                                                                                             «_____» _________20_г.</w:t>
                  </w:r>
                </w:p>
                <w:tbl>
                  <w:tblPr>
                    <w:tblW w:w="9590" w:type="dxa"/>
                    <w:jc w:val="left"/>
                    <w:tblInd w:w="0" w:type="dxa"/>
                    <w:tblLayout w:type="fixed"/>
                    <w:tblCellMar>
                      <w:top w:w="15" w:type="dxa"/>
                      <w:left w:w="15" w:type="dxa"/>
                      <w:bottom w:w="0" w:type="dxa"/>
                      <w:right w:w="15" w:type="dxa"/>
                    </w:tblCellMar>
                    <w:tblLook w:noVBand="1" w:val="04a0" w:noHBand="0" w:lastColumn="0" w:firstColumn="1" w:lastRow="0" w:firstRow="1"/>
                  </w:tblPr>
                  <w:tblGrid>
                    <w:gridCol w:w="1356"/>
                    <w:gridCol w:w="8163"/>
                    <w:gridCol w:w="71"/>
                  </w:tblGrid>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p>
                        <w:pPr>
                          <w:pStyle w:val="Normal"/>
                          <w:widowControl w:val="false"/>
                          <w:snapToGrid w:val="false"/>
                          <w:spacing w:lineRule="auto" w:line="240"/>
                          <w:ind w:hanging="0"/>
                          <w:jc w:val="left"/>
                          <w:rPr>
                            <w:sz w:val="22"/>
                            <w:szCs w:val="22"/>
                          </w:rPr>
                        </w:pPr>
                        <w:r>
                          <w:rPr>
                            <w:sz w:val="22"/>
                            <w:szCs w:val="22"/>
                          </w:rPr>
                          <w:t xml:space="preserve">Заказчик: </w:t>
                        </w:r>
                      </w:p>
                    </w:tc>
                    <w:tc>
                      <w:tcPr>
                        <w:tcW w:w="8163" w:type="dxa"/>
                        <w:tcBorders>
                          <w:bottom w:val="single" w:sz="4" w:space="0" w:color="000000"/>
                        </w:tcBorders>
                        <w:vAlign w:val="bottom"/>
                      </w:tcPr>
                      <w:p>
                        <w:pPr>
                          <w:pStyle w:val="Normal"/>
                          <w:widowControl w:val="false"/>
                          <w:snapToGrid w:val="false"/>
                          <w:spacing w:lineRule="auto" w:line="240"/>
                          <w:ind w:hanging="0"/>
                          <w:jc w:val="left"/>
                          <w:rPr>
                            <w:sz w:val="22"/>
                            <w:szCs w:val="22"/>
                          </w:rPr>
                        </w:pPr>
                        <w:r>
                          <w:rPr>
                            <w:sz w:val="22"/>
                            <w:szCs w:val="22"/>
                          </w:rPr>
                        </w:r>
                      </w:p>
                    </w:tc>
                    <w:tc>
                      <w:tcPr>
                        <w:tcW w:w="71" w:type="dxa"/>
                        <w:tcBorders/>
                        <w:tcMar>
                          <w:top w:w="0" w:type="dxa"/>
                          <w:left w:w="0" w:type="dxa"/>
                          <w:right w:w="0" w:type="dxa"/>
                        </w:tcMar>
                      </w:tcPr>
                      <w:p>
                        <w:pPr>
                          <w:pStyle w:val="Normal"/>
                          <w:widowControl w:val="false"/>
                          <w:rPr/>
                        </w:pPr>
                        <w:r>
                          <w:rPr/>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op w:val="single" w:sz="4" w:space="0" w:color="000000"/>
                        </w:tcBorders>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t xml:space="preserve">Подрядчик: </w:t>
                        </w:r>
                      </w:p>
                    </w:tc>
                    <w:tc>
                      <w:tcPr>
                        <w:tcW w:w="8234" w:type="dxa"/>
                        <w:gridSpan w:val="2"/>
                        <w:tcBorders>
                          <w:bottom w:val="single" w:sz="4" w:space="0" w:color="000000"/>
                        </w:tcBorders>
                        <w:vAlign w:val="bottom"/>
                      </w:tcPr>
                      <w:p>
                        <w:pPr>
                          <w:pStyle w:val="Normal"/>
                          <w:widowControl w:val="false"/>
                          <w:snapToGrid w:val="false"/>
                          <w:spacing w:lineRule="auto" w:line="240"/>
                          <w:ind w:hanging="0"/>
                          <w:jc w:val="left"/>
                          <w:rPr>
                            <w:sz w:val="22"/>
                            <w:szCs w:val="22"/>
                          </w:rPr>
                        </w:pPr>
                        <w:r>
                          <w:rPr>
                            <w:sz w:val="22"/>
                            <w:szCs w:val="22"/>
                          </w:rPr>
                        </w:r>
                      </w:p>
                    </w:tc>
                  </w:tr>
                  <w:tr>
                    <w:trPr>
                      <w:trHeight w:val="255" w:hRule="atLeast"/>
                    </w:trPr>
                    <w:tc>
                      <w:tcPr>
                        <w:tcW w:w="1356" w:type="dxa"/>
                        <w:tcBorders/>
                        <w:vAlign w:val="bottom"/>
                      </w:tcPr>
                      <w:p>
                        <w:pPr>
                          <w:pStyle w:val="Normal"/>
                          <w:widowControl w:val="false"/>
                          <w:snapToGrid w:val="false"/>
                          <w:spacing w:lineRule="auto" w:line="240"/>
                          <w:ind w:hanging="0"/>
                          <w:jc w:val="left"/>
                          <w:rPr>
                            <w:sz w:val="22"/>
                            <w:szCs w:val="22"/>
                          </w:rPr>
                        </w:pPr>
                        <w:r>
                          <w:rPr>
                            <w:sz w:val="22"/>
                            <w:szCs w:val="22"/>
                          </w:rPr>
                        </w:r>
                      </w:p>
                    </w:tc>
                    <w:tc>
                      <w:tcPr>
                        <w:tcW w:w="8234" w:type="dxa"/>
                        <w:gridSpan w:val="2"/>
                        <w:tcBorders/>
                      </w:tcPr>
                      <w:p>
                        <w:pPr>
                          <w:pStyle w:val="Normal"/>
                          <w:widowControl w:val="false"/>
                          <w:snapToGrid w:val="false"/>
                          <w:spacing w:lineRule="auto" w:line="240"/>
                          <w:ind w:hanging="0"/>
                          <w:jc w:val="center"/>
                          <w:rPr>
                            <w:sz w:val="22"/>
                            <w:szCs w:val="22"/>
                          </w:rPr>
                        </w:pPr>
                        <w:r>
                          <w:rPr>
                            <w:i/>
                            <w:iCs/>
                            <w:sz w:val="22"/>
                            <w:szCs w:val="22"/>
                          </w:rPr>
                          <w:t>(наименование организации, адрес, телефон, факс</w:t>
                        </w:r>
                        <w:r>
                          <w:rPr>
                            <w:sz w:val="22"/>
                            <w:szCs w:val="22"/>
                          </w:rPr>
                          <w:t>, ИНН, КПП, ОГРН</w:t>
                        </w:r>
                        <w:r>
                          <w:rPr>
                            <w:i/>
                            <w:iCs/>
                            <w:sz w:val="22"/>
                            <w:szCs w:val="22"/>
                          </w:rPr>
                          <w:t>)</w:t>
                        </w:r>
                      </w:p>
                    </w:tc>
                  </w:tr>
                </w:tbl>
                <w:p>
                  <w:pPr>
                    <w:pStyle w:val="Normal"/>
                    <w:widowControl w:val="false"/>
                    <w:spacing w:lineRule="auto" w:line="240"/>
                    <w:ind w:hanging="0"/>
                    <w:rPr>
                      <w:sz w:val="20"/>
                      <w:szCs w:val="20"/>
                    </w:rPr>
                  </w:pPr>
                  <w:r>
                    <w:rPr>
                      <w:sz w:val="20"/>
                      <w:szCs w:val="20"/>
                    </w:rPr>
                  </w:r>
                </w:p>
                <w:p>
                  <w:pPr>
                    <w:pStyle w:val="Normal"/>
                    <w:widowControl w:val="false"/>
                    <w:spacing w:lineRule="auto" w:line="240"/>
                    <w:ind w:hanging="0"/>
                    <w:rPr>
                      <w:sz w:val="20"/>
                      <w:szCs w:val="20"/>
                    </w:rPr>
                  </w:pPr>
                  <w:r>
                    <w:rPr>
                      <w:sz w:val="20"/>
                      <w:szCs w:val="20"/>
                    </w:rPr>
                    <w:t>составили настоящий акт о нижеследующем:</w:t>
                  </w:r>
                </w:p>
                <w:p>
                  <w:pPr>
                    <w:pStyle w:val="Normal"/>
                    <w:widowControl w:val="false"/>
                    <w:spacing w:lineRule="auto" w:line="240"/>
                    <w:ind w:hanging="0"/>
                    <w:rPr>
                      <w:sz w:val="20"/>
                      <w:szCs w:val="20"/>
                    </w:rPr>
                  </w:pPr>
                  <w:r>
                    <w:rPr>
                      <w:sz w:val="20"/>
                      <w:szCs w:val="20"/>
                    </w:rPr>
                  </w:r>
                </w:p>
                <w:p>
                  <w:pPr>
                    <w:pStyle w:val="Normal"/>
                    <w:widowControl w:val="false"/>
                    <w:spacing w:lineRule="auto" w:line="240"/>
                    <w:rPr>
                      <w:sz w:val="20"/>
                      <w:szCs w:val="20"/>
                    </w:rPr>
                  </w:pPr>
                  <w:r>
                    <w:rPr>
                      <w:sz w:val="20"/>
                      <w:szCs w:val="20"/>
                    </w:rPr>
                  </w:r>
                </w:p>
              </w:tc>
              <w:tc>
                <w:tcPr>
                  <w:tcW w:w="832" w:type="dxa"/>
                  <w:tcBorders/>
                </w:tcPr>
                <w:p>
                  <w:pPr>
                    <w:pStyle w:val="Normal"/>
                    <w:widowControl w:val="false"/>
                    <w:rPr/>
                  </w:pPr>
                  <w:r>
                    <w:rPr/>
                  </w:r>
                </w:p>
              </w:tc>
            </w:tr>
            <w:tr>
              <w:trPr>
                <w:trHeight w:val="255" w:hRule="atLeast"/>
              </w:trPr>
              <w:tc>
                <w:tcPr>
                  <w:tcW w:w="8901" w:type="dxa"/>
                  <w:gridSpan w:val="7"/>
                  <w:tcBorders/>
                  <w:vAlign w:val="bottom"/>
                </w:tcPr>
                <w:p>
                  <w:pPr>
                    <w:pStyle w:val="Normal"/>
                    <w:widowControl w:val="false"/>
                    <w:snapToGrid w:val="false"/>
                    <w:spacing w:lineRule="auto" w:line="240"/>
                    <w:rPr>
                      <w:sz w:val="20"/>
                      <w:szCs w:val="20"/>
                    </w:rPr>
                  </w:pPr>
                  <w:r>
                    <w:rPr>
                      <w:sz w:val="20"/>
                      <w:szCs w:val="20"/>
                    </w:rPr>
                    <w:t>Сметная (договорная) стоимость по договору № _____  от  _________ 20__ г.  -  ___________ руб.</w:t>
                  </w:r>
                </w:p>
                <w:p>
                  <w:pPr>
                    <w:pStyle w:val="Normal"/>
                    <w:widowControl w:val="false"/>
                    <w:snapToGrid w:val="false"/>
                    <w:spacing w:lineRule="auto" w:line="240"/>
                    <w:rPr>
                      <w:i/>
                      <w:i/>
                      <w:iCs/>
                      <w:sz w:val="20"/>
                      <w:szCs w:val="20"/>
                    </w:rPr>
                  </w:pPr>
                  <w:r>
                    <w:rPr>
                      <w:i/>
                      <w:iCs/>
                      <w:sz w:val="20"/>
                      <w:szCs w:val="20"/>
                    </w:rPr>
                    <w:t xml:space="preserve"> </w:t>
                  </w:r>
                </w:p>
              </w:tc>
              <w:tc>
                <w:tcPr>
                  <w:tcW w:w="832" w:type="dxa"/>
                  <w:tcBorders/>
                </w:tcPr>
                <w:p>
                  <w:pPr>
                    <w:pStyle w:val="Normal"/>
                    <w:widowControl w:val="false"/>
                    <w:rPr/>
                  </w:pPr>
                  <w:r>
                    <w:rPr/>
                  </w:r>
                </w:p>
              </w:tc>
            </w:tr>
            <w:tr>
              <w:trPr>
                <w:trHeight w:val="255" w:hRule="atLeast"/>
              </w:trPr>
              <w:tc>
                <w:tcPr>
                  <w:tcW w:w="5581" w:type="dxa"/>
                  <w:gridSpan w:val="4"/>
                  <w:tcBorders/>
                  <w:vAlign w:val="bottom"/>
                </w:tcPr>
                <w:p>
                  <w:pPr>
                    <w:pStyle w:val="Normal"/>
                    <w:widowControl w:val="false"/>
                    <w:spacing w:lineRule="auto" w:line="240"/>
                    <w:rPr>
                      <w:sz w:val="20"/>
                      <w:szCs w:val="20"/>
                    </w:rPr>
                  </w:pPr>
                  <w:r>
                    <w:rPr>
                      <w:sz w:val="20"/>
                      <w:szCs w:val="20"/>
                    </w:rPr>
                  </w:r>
                </w:p>
                <w:p>
                  <w:pPr>
                    <w:pStyle w:val="Normal"/>
                    <w:widowControl w:val="false"/>
                    <w:snapToGrid w:val="false"/>
                    <w:spacing w:lineRule="auto" w:line="240"/>
                    <w:rPr>
                      <w:sz w:val="20"/>
                      <w:szCs w:val="20"/>
                    </w:rPr>
                  </w:pPr>
                  <w:r>
                    <w:rPr>
                      <w:sz w:val="20"/>
                      <w:szCs w:val="20"/>
                    </w:rPr>
                  </w:r>
                </w:p>
              </w:tc>
              <w:tc>
                <w:tcPr>
                  <w:tcW w:w="3320" w:type="dxa"/>
                  <w:gridSpan w:val="3"/>
                  <w:tcBorders/>
                  <w:tcMar>
                    <w:top w:w="0" w:type="dxa"/>
                    <w:left w:w="0" w:type="dxa"/>
                    <w:right w:w="0" w:type="dxa"/>
                  </w:tcMar>
                </w:tcPr>
                <w:p>
                  <w:pPr>
                    <w:pStyle w:val="Normal"/>
                    <w:widowControl w:val="false"/>
                    <w:snapToGrid w:val="false"/>
                    <w:spacing w:lineRule="auto" w:line="240"/>
                    <w:ind w:right="180" w:firstLine="567"/>
                    <w:jc w:val="right"/>
                    <w:rPr>
                      <w:sz w:val="20"/>
                      <w:szCs w:val="20"/>
                    </w:rPr>
                  </w:pPr>
                  <w:r>
                    <w:rPr>
                      <w:sz w:val="20"/>
                      <w:szCs w:val="20"/>
                    </w:rPr>
                    <w:t>               </w:t>
                  </w:r>
                  <w:r>
                    <w:rPr>
                      <w:sz w:val="20"/>
                      <w:szCs w:val="20"/>
                      <w:highlight w:val="lightGray"/>
                    </w:rPr>
                    <w:t>Этап № ______</w:t>
                  </w:r>
                  <w:r>
                    <w:rPr>
                      <w:sz w:val="20"/>
                      <w:szCs w:val="20"/>
                    </w:rPr>
                    <w:t xml:space="preserve"> </w:t>
                  </w:r>
                </w:p>
              </w:tc>
              <w:tc>
                <w:tcPr>
                  <w:tcW w:w="832" w:type="dxa"/>
                  <w:tcBorders/>
                </w:tcPr>
                <w:p>
                  <w:pPr>
                    <w:pStyle w:val="Normal"/>
                    <w:widowControl w:val="false"/>
                    <w:rPr/>
                  </w:pPr>
                  <w:r>
                    <w:rPr/>
                  </w:r>
                </w:p>
              </w:tc>
            </w:tr>
            <w:tr>
              <w:trPr>
                <w:cantSplit w:val="true"/>
              </w:trPr>
              <w:tc>
                <w:tcPr>
                  <w:tcW w:w="844" w:type="dxa"/>
                  <w:tcBorders/>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1895" w:type="dxa"/>
                  <w:tcBorders>
                    <w:top w:val="single" w:sz="8" w:space="0" w:color="000000"/>
                    <w:left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 xml:space="preserve">№ </w:t>
                  </w:r>
                  <w:r>
                    <w:rPr>
                      <w:b/>
                      <w:bCs/>
                      <w:sz w:val="20"/>
                      <w:szCs w:val="20"/>
                    </w:rPr>
                    <w:t>п/п</w:t>
                  </w:r>
                </w:p>
              </w:tc>
              <w:tc>
                <w:tcPr>
                  <w:tcW w:w="1890" w:type="dxa"/>
                  <w:vMerge w:val="restart"/>
                  <w:tcBorders>
                    <w:top w:val="single" w:sz="8" w:space="0" w:color="000000"/>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Наименование работ</w:t>
                  </w:r>
                </w:p>
              </w:tc>
              <w:tc>
                <w:tcPr>
                  <w:tcW w:w="5104" w:type="dxa"/>
                  <w:gridSpan w:val="5"/>
                  <w:tcBorders>
                    <w:top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Выполнено работ</w:t>
                  </w:r>
                </w:p>
              </w:tc>
            </w:tr>
            <w:tr>
              <w:trPr>
                <w:trHeight w:val="693" w:hRule="atLeast"/>
                <w:cantSplit w:val="true"/>
              </w:trPr>
              <w:tc>
                <w:tcPr>
                  <w:tcW w:w="844" w:type="dxa"/>
                  <w:tcBorders/>
                  <w:tcMar>
                    <w:top w:w="0" w:type="dxa"/>
                    <w:left w:w="0" w:type="dxa"/>
                    <w:right w:w="0" w:type="dxa"/>
                  </w:tcMar>
                </w:tcPr>
                <w:p>
                  <w:pPr>
                    <w:pStyle w:val="Normal"/>
                    <w:widowControl w:val="false"/>
                    <w:spacing w:lineRule="auto" w:line="240"/>
                    <w:ind w:hanging="0"/>
                    <w:rPr>
                      <w:b/>
                      <w:bCs/>
                      <w:sz w:val="20"/>
                      <w:szCs w:val="20"/>
                    </w:rPr>
                  </w:pPr>
                  <w:r>
                    <w:rPr>
                      <w:b/>
                      <w:bCs/>
                      <w:sz w:val="20"/>
                      <w:szCs w:val="20"/>
                    </w:rPr>
                  </w:r>
                </w:p>
              </w:tc>
              <w:tc>
                <w:tcPr>
                  <w:tcW w:w="1895" w:type="dxa"/>
                  <w:tcBorders>
                    <w:top w:val="single" w:sz="8" w:space="0" w:color="000000"/>
                    <w:left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1890" w:type="dxa"/>
                  <w:vMerge w:val="continue"/>
                  <w:tcBorders>
                    <w:top w:val="single" w:sz="8" w:space="0" w:color="000000"/>
                    <w:bottom w:val="single" w:sz="8" w:space="0" w:color="000000"/>
                    <w:right w:val="single" w:sz="8" w:space="0" w:color="000000"/>
                  </w:tcBorders>
                  <w:tcMar>
                    <w:top w:w="0" w:type="dxa"/>
                    <w:left w:w="0" w:type="dxa"/>
                    <w:right w:w="0" w:type="dxa"/>
                  </w:tcMar>
                  <w:vAlign w:val="center"/>
                </w:tcPr>
                <w:p>
                  <w:pPr>
                    <w:pStyle w:val="Normal"/>
                    <w:widowControl w:val="false"/>
                    <w:spacing w:lineRule="auto" w:line="240"/>
                    <w:ind w:hanging="0"/>
                    <w:rPr>
                      <w:b/>
                      <w:bCs/>
                      <w:sz w:val="20"/>
                      <w:szCs w:val="20"/>
                    </w:rPr>
                  </w:pPr>
                  <w:r>
                    <w:rPr>
                      <w:b/>
                      <w:bCs/>
                      <w:sz w:val="20"/>
                      <w:szCs w:val="20"/>
                    </w:rPr>
                  </w:r>
                </w:p>
              </w:tc>
              <w:tc>
                <w:tcPr>
                  <w:tcW w:w="952"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ед. </w:t>
                  </w:r>
                </w:p>
                <w:p>
                  <w:pPr>
                    <w:pStyle w:val="Normal"/>
                    <w:widowControl w:val="false"/>
                    <w:snapToGrid w:val="false"/>
                    <w:spacing w:lineRule="auto" w:line="240"/>
                    <w:ind w:hanging="0"/>
                    <w:jc w:val="center"/>
                    <w:rPr>
                      <w:b/>
                      <w:bCs/>
                      <w:sz w:val="20"/>
                      <w:szCs w:val="20"/>
                    </w:rPr>
                  </w:pPr>
                  <w:r>
                    <w:rPr>
                      <w:b/>
                      <w:bCs/>
                      <w:sz w:val="20"/>
                      <w:szCs w:val="20"/>
                    </w:rPr>
                    <w:t>изм.</w:t>
                  </w:r>
                </w:p>
              </w:tc>
              <w:tc>
                <w:tcPr>
                  <w:tcW w:w="628" w:type="dxa"/>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коли-чество</w:t>
                  </w:r>
                </w:p>
              </w:tc>
              <w:tc>
                <w:tcPr>
                  <w:tcW w:w="1058"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цена за </w:t>
                  </w:r>
                </w:p>
                <w:p>
                  <w:pPr>
                    <w:pStyle w:val="Normal"/>
                    <w:widowControl w:val="false"/>
                    <w:snapToGrid w:val="false"/>
                    <w:spacing w:lineRule="auto" w:line="240"/>
                    <w:ind w:hanging="0"/>
                    <w:jc w:val="center"/>
                    <w:rPr>
                      <w:b/>
                      <w:bCs/>
                      <w:sz w:val="20"/>
                      <w:szCs w:val="20"/>
                    </w:rPr>
                  </w:pPr>
                  <w:r>
                    <w:rPr>
                      <w:b/>
                      <w:bCs/>
                      <w:sz w:val="20"/>
                      <w:szCs w:val="20"/>
                    </w:rPr>
                    <w:t>1 ед., руб.</w:t>
                  </w:r>
                </w:p>
              </w:tc>
              <w:tc>
                <w:tcPr>
                  <w:tcW w:w="1634" w:type="dxa"/>
                  <w:tcBorders>
                    <w:bottom w:val="single" w:sz="8" w:space="0" w:color="000000"/>
                    <w:right w:val="single" w:sz="8" w:space="0" w:color="000000"/>
                  </w:tcBorders>
                  <w:tcMar>
                    <w:top w:w="0" w:type="dxa"/>
                    <w:left w:w="108" w:type="dxa"/>
                    <w:right w:w="108" w:type="dxa"/>
                  </w:tcMar>
                  <w:vAlign w:val="center"/>
                </w:tcPr>
                <w:p>
                  <w:pPr>
                    <w:pStyle w:val="Normal"/>
                    <w:widowControl w:val="false"/>
                    <w:spacing w:lineRule="auto" w:line="240"/>
                    <w:ind w:hanging="0"/>
                    <w:jc w:val="center"/>
                    <w:rPr>
                      <w:b/>
                      <w:bCs/>
                      <w:sz w:val="20"/>
                      <w:szCs w:val="20"/>
                    </w:rPr>
                  </w:pPr>
                  <w:r>
                    <w:rPr>
                      <w:b/>
                      <w:bCs/>
                      <w:sz w:val="20"/>
                      <w:szCs w:val="20"/>
                    </w:rPr>
                    <w:t xml:space="preserve">стоимость, </w:t>
                  </w:r>
                </w:p>
                <w:p>
                  <w:pPr>
                    <w:pStyle w:val="Normal"/>
                    <w:widowControl w:val="false"/>
                    <w:snapToGrid w:val="false"/>
                    <w:spacing w:lineRule="auto" w:line="240"/>
                    <w:ind w:hanging="0"/>
                    <w:jc w:val="center"/>
                    <w:rPr>
                      <w:b/>
                      <w:bCs/>
                      <w:sz w:val="20"/>
                      <w:szCs w:val="20"/>
                    </w:rPr>
                  </w:pPr>
                  <w:r>
                    <w:rPr>
                      <w:b/>
                      <w:bCs/>
                      <w:sz w:val="20"/>
                      <w:szCs w:val="20"/>
                    </w:rPr>
                    <w:t>руб.</w:t>
                  </w:r>
                </w:p>
              </w:tc>
              <w:tc>
                <w:tcPr>
                  <w:tcW w:w="832" w:type="dxa"/>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ind w:hanging="0"/>
                    <w:jc w:val="center"/>
                    <w:rPr>
                      <w:b/>
                      <w:bCs/>
                      <w:sz w:val="20"/>
                      <w:szCs w:val="20"/>
                    </w:rPr>
                  </w:pPr>
                  <w:r>
                    <w:rPr>
                      <w:b/>
                      <w:bCs/>
                      <w:sz w:val="20"/>
                      <w:szCs w:val="20"/>
                    </w:rPr>
                    <w:t>в т.ч. НДС, руб.*</w:t>
                  </w:r>
                </w:p>
              </w:tc>
            </w:tr>
            <w:tr>
              <w:trPr/>
              <w:tc>
                <w:tcPr>
                  <w:tcW w:w="844" w:type="dxa"/>
                  <w:tcBorders/>
                  <w:tcMar>
                    <w:top w:w="0" w:type="dxa"/>
                    <w:left w:w="0" w:type="dxa"/>
                    <w:right w:w="0" w:type="dxa"/>
                  </w:tcMar>
                </w:tcPr>
                <w:p>
                  <w:pPr>
                    <w:pStyle w:val="Normal"/>
                    <w:widowControl w:val="false"/>
                    <w:snapToGrid w:val="false"/>
                    <w:spacing w:lineRule="auto" w:line="240"/>
                    <w:ind w:hanging="0"/>
                    <w:jc w:val="center"/>
                    <w:rPr>
                      <w:b/>
                      <w:bCs/>
                      <w:sz w:val="20"/>
                      <w:szCs w:val="20"/>
                    </w:rPr>
                  </w:pPr>
                  <w:r>
                    <w:rPr>
                      <w:b/>
                      <w:bCs/>
                      <w:sz w:val="20"/>
                      <w:szCs w:val="20"/>
                    </w:rPr>
                  </w:r>
                </w:p>
              </w:tc>
              <w:tc>
                <w:tcPr>
                  <w:tcW w:w="1895"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1</w:t>
                  </w:r>
                </w:p>
              </w:tc>
              <w:tc>
                <w:tcPr>
                  <w:tcW w:w="1890"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2</w:t>
                  </w:r>
                </w:p>
              </w:tc>
              <w:tc>
                <w:tcPr>
                  <w:tcW w:w="952"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3</w:t>
                  </w:r>
                </w:p>
              </w:tc>
              <w:tc>
                <w:tcPr>
                  <w:tcW w:w="62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4</w:t>
                  </w:r>
                </w:p>
              </w:tc>
              <w:tc>
                <w:tcPr>
                  <w:tcW w:w="105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5</w:t>
                  </w:r>
                </w:p>
              </w:tc>
              <w:tc>
                <w:tcPr>
                  <w:tcW w:w="1634"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6</w:t>
                  </w:r>
                </w:p>
              </w:tc>
              <w:tc>
                <w:tcPr>
                  <w:tcW w:w="832"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ind w:hanging="0"/>
                    <w:jc w:val="center"/>
                    <w:rPr>
                      <w:b/>
                      <w:bCs/>
                      <w:sz w:val="20"/>
                      <w:szCs w:val="20"/>
                    </w:rPr>
                  </w:pPr>
                  <w:r>
                    <w:rPr>
                      <w:b/>
                      <w:bCs/>
                      <w:sz w:val="20"/>
                      <w:szCs w:val="20"/>
                    </w:rPr>
                    <w:t>7</w:t>
                  </w:r>
                </w:p>
              </w:tc>
            </w:tr>
            <w:tr>
              <w:trPr/>
              <w:tc>
                <w:tcPr>
                  <w:tcW w:w="844"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1895"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1890"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952"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62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05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634"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32"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844"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1895"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1890"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952"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62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05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634"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32"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844" w:type="dxa"/>
                  <w:tcBorders/>
                  <w:tcMar>
                    <w:top w:w="0" w:type="dxa"/>
                    <w:left w:w="0" w:type="dxa"/>
                    <w:right w:w="0" w:type="dxa"/>
                  </w:tcMar>
                </w:tcPr>
                <w:p>
                  <w:pPr>
                    <w:pStyle w:val="Normal"/>
                    <w:widowControl w:val="false"/>
                    <w:snapToGrid w:val="false"/>
                    <w:spacing w:lineRule="auto" w:line="240"/>
                    <w:jc w:val="center"/>
                    <w:rPr>
                      <w:sz w:val="20"/>
                      <w:szCs w:val="20"/>
                    </w:rPr>
                  </w:pPr>
                  <w:r>
                    <w:rPr>
                      <w:sz w:val="20"/>
                      <w:szCs w:val="20"/>
                    </w:rPr>
                  </w:r>
                </w:p>
              </w:tc>
              <w:tc>
                <w:tcPr>
                  <w:tcW w:w="1895"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jc w:val="center"/>
                    <w:rPr>
                      <w:sz w:val="20"/>
                      <w:szCs w:val="20"/>
                    </w:rPr>
                  </w:pPr>
                  <w:r>
                    <w:rPr>
                      <w:sz w:val="20"/>
                      <w:szCs w:val="20"/>
                    </w:rPr>
                  </w:r>
                </w:p>
              </w:tc>
              <w:tc>
                <w:tcPr>
                  <w:tcW w:w="1890"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952"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62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05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634"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32"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r>
            <w:tr>
              <w:trPr/>
              <w:tc>
                <w:tcPr>
                  <w:tcW w:w="844" w:type="dxa"/>
                  <w:tcBorders/>
                  <w:tcMar>
                    <w:top w:w="0" w:type="dxa"/>
                    <w:left w:w="0" w:type="dxa"/>
                    <w:right w:w="0" w:type="dxa"/>
                  </w:tcMar>
                </w:tcPr>
                <w:p>
                  <w:pPr>
                    <w:pStyle w:val="Normal"/>
                    <w:widowControl w:val="false"/>
                    <w:snapToGrid w:val="false"/>
                    <w:spacing w:lineRule="auto" w:line="240"/>
                    <w:rPr>
                      <w:sz w:val="20"/>
                      <w:szCs w:val="20"/>
                    </w:rPr>
                  </w:pPr>
                  <w:r>
                    <w:rPr>
                      <w:sz w:val="20"/>
                      <w:szCs w:val="20"/>
                    </w:rPr>
                  </w:r>
                </w:p>
              </w:tc>
              <w:tc>
                <w:tcPr>
                  <w:tcW w:w="1895" w:type="dxa"/>
                  <w:tcBorders>
                    <w:left w:val="single" w:sz="8" w:space="0" w:color="000000"/>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t xml:space="preserve">Выполнено работ </w:t>
                  </w:r>
                  <w:r>
                    <w:rPr>
                      <w:sz w:val="20"/>
                      <w:szCs w:val="20"/>
                      <w:highlight w:val="lightGray"/>
                    </w:rPr>
                    <w:t>по этапу</w:t>
                  </w:r>
                </w:p>
              </w:tc>
              <w:tc>
                <w:tcPr>
                  <w:tcW w:w="3470" w:type="dxa"/>
                  <w:gridSpan w:val="3"/>
                  <w:tcBorders>
                    <w:bottom w:val="single" w:sz="8" w:space="0" w:color="000000"/>
                    <w:right w:val="single" w:sz="8" w:space="0" w:color="000000"/>
                  </w:tcBorders>
                  <w:tcMar>
                    <w:top w:w="0" w:type="dxa"/>
                    <w:left w:w="108" w:type="dxa"/>
                    <w:right w:w="108" w:type="dxa"/>
                  </w:tcMar>
                  <w:vAlign w:val="center"/>
                </w:tcPr>
                <w:p>
                  <w:pPr>
                    <w:pStyle w:val="Normal"/>
                    <w:widowControl w:val="false"/>
                    <w:snapToGrid w:val="false"/>
                    <w:spacing w:lineRule="auto" w:line="240"/>
                    <w:jc w:val="center"/>
                    <w:rPr>
                      <w:b/>
                      <w:bCs/>
                      <w:sz w:val="20"/>
                      <w:szCs w:val="20"/>
                    </w:rPr>
                  </w:pPr>
                  <w:r>
                    <w:rPr>
                      <w:b/>
                      <w:bCs/>
                      <w:sz w:val="20"/>
                      <w:szCs w:val="20"/>
                    </w:rPr>
                    <w:t>ИТОГО</w:t>
                  </w:r>
                </w:p>
              </w:tc>
              <w:tc>
                <w:tcPr>
                  <w:tcW w:w="1058"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1634" w:type="dxa"/>
                  <w:tcBorders>
                    <w:bottom w:val="single" w:sz="8" w:space="0" w:color="000000"/>
                    <w:right w:val="single" w:sz="8" w:space="0" w:color="000000"/>
                  </w:tcBorders>
                  <w:tcMar>
                    <w:top w:w="0" w:type="dxa"/>
                    <w:left w:w="108" w:type="dxa"/>
                    <w:right w:w="108" w:type="dxa"/>
                  </w:tcMar>
                </w:tcPr>
                <w:p>
                  <w:pPr>
                    <w:pStyle w:val="Normal"/>
                    <w:widowControl w:val="false"/>
                    <w:snapToGrid w:val="false"/>
                    <w:spacing w:lineRule="auto" w:line="240"/>
                    <w:rPr>
                      <w:sz w:val="20"/>
                      <w:szCs w:val="20"/>
                    </w:rPr>
                  </w:pPr>
                  <w:r>
                    <w:rPr>
                      <w:sz w:val="20"/>
                      <w:szCs w:val="20"/>
                    </w:rPr>
                  </w:r>
                </w:p>
              </w:tc>
              <w:tc>
                <w:tcPr>
                  <w:tcW w:w="832" w:type="dxa"/>
                  <w:tcBorders/>
                </w:tcPr>
                <w:p>
                  <w:pPr>
                    <w:pStyle w:val="Normal"/>
                    <w:widowControl w:val="false"/>
                    <w:rPr/>
                  </w:pPr>
                  <w:r>
                    <w:rPr/>
                  </w:r>
                </w:p>
              </w:tc>
            </w:tr>
          </w:tbl>
          <w:p>
            <w:pPr>
              <w:pStyle w:val="Normal"/>
              <w:widowControl w:val="false"/>
              <w:spacing w:lineRule="auto" w:line="240"/>
              <w:ind w:hanging="0"/>
              <w:rPr>
                <w:i/>
                <w:i/>
                <w:iCs/>
                <w:sz w:val="16"/>
                <w:szCs w:val="20"/>
              </w:rPr>
            </w:pPr>
            <w:r>
              <w:rPr>
                <w:sz w:val="16"/>
              </w:rPr>
              <w:t>* Применимая ставка НДС в отчётных документах определяется на момент определения налоговой базы в соответствии с действующим законодательством Российской Федерации о налогах и сборах.</w:t>
            </w:r>
          </w:p>
          <w:p>
            <w:pPr>
              <w:pStyle w:val="Normal"/>
              <w:widowControl w:val="false"/>
              <w:spacing w:lineRule="auto" w:line="240"/>
              <w:ind w:hanging="0"/>
              <w:rPr>
                <w:i/>
                <w:i/>
                <w:iCs/>
                <w:sz w:val="16"/>
                <w:szCs w:val="20"/>
              </w:rPr>
            </w:pPr>
            <w:r>
              <w:rPr>
                <w:i/>
                <w:iCs/>
                <w:sz w:val="16"/>
                <w:szCs w:val="20"/>
              </w:rPr>
            </w:r>
          </w:p>
          <w:p>
            <w:pPr>
              <w:pStyle w:val="Normal"/>
              <w:widowControl w:val="false"/>
              <w:spacing w:lineRule="auto" w:line="240"/>
              <w:rPr>
                <w:sz w:val="20"/>
                <w:szCs w:val="20"/>
              </w:rPr>
            </w:pPr>
            <w:r>
              <w:rPr>
                <w:sz w:val="20"/>
                <w:szCs w:val="20"/>
              </w:rPr>
              <w:t>Выполненные работы удовлетворяют условиям договора (техническому заданию).</w:t>
            </w:r>
          </w:p>
          <w:p>
            <w:pPr>
              <w:pStyle w:val="Normal"/>
              <w:widowControl w:val="false"/>
              <w:spacing w:lineRule="auto" w:line="240"/>
              <w:rPr>
                <w:sz w:val="20"/>
                <w:szCs w:val="20"/>
              </w:rPr>
            </w:pPr>
            <w:r>
              <w:rPr>
                <w:sz w:val="20"/>
                <w:szCs w:val="20"/>
              </w:rPr>
              <w:t>Подрядчиком переданы Заказчику следующие документы (с указанием количества оригиналов/копий, на каком носителе, в каком формате)</w:t>
            </w:r>
          </w:p>
          <w:p>
            <w:pPr>
              <w:pStyle w:val="Normal"/>
              <w:widowControl w:val="false"/>
              <w:spacing w:lineRule="auto" w:line="240"/>
              <w:rPr>
                <w:sz w:val="20"/>
                <w:szCs w:val="20"/>
              </w:rPr>
            </w:pPr>
            <w:r>
              <w:rPr>
                <w:sz w:val="20"/>
                <w:szCs w:val="20"/>
              </w:rPr>
              <w:t>____________________________________________________________________</w:t>
            </w:r>
          </w:p>
          <w:tbl>
            <w:tblPr>
              <w:tblW w:w="9720"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51"/>
              <w:gridCol w:w="4049"/>
              <w:gridCol w:w="707"/>
              <w:gridCol w:w="347"/>
              <w:gridCol w:w="4166"/>
            </w:tblGrid>
            <w:tr>
              <w:trPr>
                <w:cantSplit w:val="true"/>
              </w:trPr>
              <w:tc>
                <w:tcPr>
                  <w:tcW w:w="4500" w:type="dxa"/>
                  <w:gridSpan w:val="2"/>
                  <w:tcBorders/>
                </w:tcPr>
                <w:p>
                  <w:pPr>
                    <w:pStyle w:val="Normal"/>
                    <w:widowControl w:val="false"/>
                    <w:spacing w:lineRule="auto" w:line="240"/>
                    <w:rPr>
                      <w:sz w:val="20"/>
                      <w:szCs w:val="20"/>
                    </w:rPr>
                  </w:pPr>
                  <w:r>
                    <w:rPr>
                      <w:b/>
                      <w:bCs/>
                      <w:sz w:val="20"/>
                      <w:szCs w:val="20"/>
                    </w:rPr>
                    <w:t>Заказчика:</w:t>
                  </w:r>
                </w:p>
              </w:tc>
              <w:tc>
                <w:tcPr>
                  <w:tcW w:w="707" w:type="dxa"/>
                  <w:vMerge w:val="restart"/>
                  <w:tcBorders/>
                </w:tcPr>
                <w:p>
                  <w:pPr>
                    <w:pStyle w:val="Normal"/>
                    <w:widowControl w:val="false"/>
                    <w:snapToGrid w:val="false"/>
                    <w:spacing w:lineRule="auto" w:line="240"/>
                    <w:rPr>
                      <w:sz w:val="20"/>
                      <w:szCs w:val="20"/>
                    </w:rPr>
                  </w:pPr>
                  <w:r>
                    <w:rPr>
                      <w:sz w:val="20"/>
                      <w:szCs w:val="20"/>
                    </w:rPr>
                  </w:r>
                </w:p>
              </w:tc>
              <w:tc>
                <w:tcPr>
                  <w:tcW w:w="4513" w:type="dxa"/>
                  <w:gridSpan w:val="2"/>
                  <w:tcBorders/>
                </w:tcPr>
                <w:p>
                  <w:pPr>
                    <w:pStyle w:val="Normal"/>
                    <w:widowControl w:val="false"/>
                    <w:spacing w:lineRule="auto" w:line="240"/>
                    <w:rPr>
                      <w:sz w:val="20"/>
                      <w:szCs w:val="20"/>
                    </w:rPr>
                  </w:pPr>
                  <w:r>
                    <w:rPr>
                      <w:b/>
                      <w:bCs/>
                      <w:sz w:val="20"/>
                      <w:szCs w:val="20"/>
                    </w:rPr>
                    <w:t>Подрядчика:</w:t>
                  </w:r>
                </w:p>
              </w:tc>
            </w:tr>
            <w:tr>
              <w:trPr>
                <w:cantSplit w:val="true"/>
              </w:trPr>
              <w:tc>
                <w:tcPr>
                  <w:tcW w:w="4500" w:type="dxa"/>
                  <w:gridSpan w:val="2"/>
                  <w:tcBorders/>
                </w:tcPr>
                <w:p>
                  <w:pPr>
                    <w:pStyle w:val="Normal"/>
                    <w:widowControl w:val="false"/>
                    <w:snapToGrid w:val="false"/>
                    <w:spacing w:lineRule="auto" w:line="240"/>
                    <w:rPr>
                      <w:b/>
                      <w:bCs/>
                      <w:sz w:val="20"/>
                      <w:szCs w:val="20"/>
                    </w:rPr>
                  </w:pPr>
                  <w:r>
                    <w:rPr>
                      <w:b/>
                      <w:bCs/>
                      <w:sz w:val="20"/>
                      <w:szCs w:val="20"/>
                    </w:rPr>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513" w:type="dxa"/>
                  <w:gridSpan w:val="2"/>
                  <w:tcBorders/>
                </w:tcPr>
                <w:p>
                  <w:pPr>
                    <w:pStyle w:val="Normal"/>
                    <w:widowControl w:val="false"/>
                    <w:snapToGrid w:val="false"/>
                    <w:spacing w:lineRule="auto" w:line="240"/>
                    <w:rPr>
                      <w:b/>
                      <w:bCs/>
                      <w:sz w:val="20"/>
                      <w:szCs w:val="20"/>
                    </w:rPr>
                  </w:pPr>
                  <w:r>
                    <w:rPr>
                      <w:b/>
                      <w:bCs/>
                      <w:sz w:val="20"/>
                      <w:szCs w:val="20"/>
                    </w:rPr>
                  </w:r>
                </w:p>
              </w:tc>
            </w:tr>
            <w:tr>
              <w:trPr>
                <w:cantSplit w:val="true"/>
              </w:trPr>
              <w:tc>
                <w:tcPr>
                  <w:tcW w:w="451" w:type="dxa"/>
                  <w:vMerge w:val="restart"/>
                  <w:tcBorders/>
                </w:tcPr>
                <w:p>
                  <w:pPr>
                    <w:pStyle w:val="Normal"/>
                    <w:widowControl w:val="false"/>
                    <w:snapToGrid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(должность)</w:t>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restart"/>
                  <w:tcBorders/>
                </w:tcPr>
                <w:p>
                  <w:pPr>
                    <w:pStyle w:val="Normal"/>
                    <w:widowControl w:val="false"/>
                    <w:snapToGrid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(должность)</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bottom w:val="single" w:sz="4" w:space="0" w:color="000000"/>
                  </w:tcBorders>
                </w:tcPr>
                <w:p>
                  <w:pPr>
                    <w:pStyle w:val="Normal"/>
                    <w:widowControl w:val="false"/>
                    <w:snapToGrid w:val="false"/>
                    <w:spacing w:lineRule="auto" w:line="240"/>
                    <w:rPr>
                      <w:sz w:val="20"/>
                      <w:szCs w:val="20"/>
                    </w:rPr>
                  </w:pPr>
                  <w:r>
                    <w:rPr>
                      <w:sz w:val="20"/>
                      <w:szCs w:val="20"/>
                    </w:rPr>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bottom w:val="single" w:sz="4" w:space="0" w:color="000000"/>
                  </w:tcBorders>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(подпись)</w:t>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(подпись)</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bottom w:val="single" w:sz="4" w:space="0" w:color="000000"/>
                  </w:tcBorders>
                </w:tcPr>
                <w:p>
                  <w:pPr>
                    <w:pStyle w:val="Normal"/>
                    <w:widowControl w:val="false"/>
                    <w:snapToGrid w:val="false"/>
                    <w:spacing w:lineRule="auto" w:line="240"/>
                    <w:rPr>
                      <w:sz w:val="20"/>
                      <w:szCs w:val="20"/>
                    </w:rPr>
                  </w:pPr>
                  <w:r>
                    <w:rPr>
                      <w:sz w:val="20"/>
                      <w:szCs w:val="20"/>
                    </w:rPr>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bottom w:val="single" w:sz="4" w:space="0" w:color="000000"/>
                  </w:tcBorders>
                </w:tcPr>
                <w:p>
                  <w:pPr>
                    <w:pStyle w:val="Normal"/>
                    <w:widowControl w:val="false"/>
                    <w:snapToGrid w:val="false"/>
                    <w:spacing w:lineRule="auto" w:line="240"/>
                    <w:rPr>
                      <w:sz w:val="20"/>
                      <w:szCs w:val="20"/>
                    </w:rPr>
                  </w:pPr>
                  <w:r>
                    <w:rPr>
                      <w:sz w:val="20"/>
                      <w:szCs w:val="20"/>
                    </w:rPr>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op w:val="single" w:sz="4" w:space="0" w:color="000000"/>
                  </w:tcBorders>
                </w:tcPr>
                <w:p>
                  <w:pPr>
                    <w:pStyle w:val="Normal"/>
                    <w:widowControl w:val="false"/>
                    <w:snapToGrid w:val="false"/>
                    <w:spacing w:lineRule="auto" w:line="240"/>
                    <w:ind w:firstLine="7"/>
                    <w:jc w:val="center"/>
                    <w:rPr>
                      <w:sz w:val="20"/>
                      <w:szCs w:val="20"/>
                    </w:rPr>
                  </w:pPr>
                  <w:r>
                    <w:rPr>
                      <w:i/>
                      <w:iCs/>
                      <w:sz w:val="20"/>
                      <w:szCs w:val="20"/>
                    </w:rPr>
                    <w:t>(расшифровка подписи)</w:t>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op w:val="single" w:sz="4" w:space="0" w:color="000000"/>
                  </w:tcBorders>
                </w:tcPr>
                <w:p>
                  <w:pPr>
                    <w:pStyle w:val="Normal"/>
                    <w:widowControl w:val="false"/>
                    <w:snapToGrid w:val="false"/>
                    <w:spacing w:lineRule="auto" w:line="240"/>
                    <w:jc w:val="center"/>
                    <w:rPr>
                      <w:sz w:val="20"/>
                      <w:szCs w:val="20"/>
                    </w:rPr>
                  </w:pPr>
                  <w:r>
                    <w:rPr>
                      <w:i/>
                      <w:iCs/>
                      <w:sz w:val="20"/>
                      <w:szCs w:val="20"/>
                    </w:rPr>
                    <w:t>(расшифровка подписи)</w:t>
                  </w:r>
                </w:p>
              </w:tc>
            </w:tr>
            <w:tr>
              <w:trPr>
                <w:cantSplit w:val="true"/>
              </w:trPr>
              <w:tc>
                <w:tcPr>
                  <w:tcW w:w="451"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049" w:type="dxa"/>
                  <w:tcBorders/>
                </w:tcPr>
                <w:p>
                  <w:pPr>
                    <w:pStyle w:val="Normal"/>
                    <w:widowControl w:val="false"/>
                    <w:snapToGrid w:val="false"/>
                    <w:spacing w:lineRule="auto" w:line="240"/>
                    <w:rPr>
                      <w:sz w:val="20"/>
                      <w:szCs w:val="20"/>
                    </w:rPr>
                  </w:pPr>
                  <w:r>
                    <w:rPr>
                      <w:sz w:val="20"/>
                      <w:szCs w:val="20"/>
                    </w:rPr>
                  </w:r>
                </w:p>
              </w:tc>
              <w:tc>
                <w:tcPr>
                  <w:tcW w:w="70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347" w:type="dxa"/>
                  <w:vMerge w:val="continue"/>
                  <w:tcBorders/>
                  <w:tcMar>
                    <w:left w:w="0" w:type="dxa"/>
                    <w:right w:w="0" w:type="dxa"/>
                  </w:tcMar>
                  <w:vAlign w:val="center"/>
                </w:tcPr>
                <w:p>
                  <w:pPr>
                    <w:pStyle w:val="Normal"/>
                    <w:widowControl w:val="false"/>
                    <w:spacing w:lineRule="auto" w:line="240"/>
                    <w:rPr>
                      <w:sz w:val="20"/>
                      <w:szCs w:val="20"/>
                    </w:rPr>
                  </w:pPr>
                  <w:r>
                    <w:rPr>
                      <w:sz w:val="20"/>
                      <w:szCs w:val="20"/>
                    </w:rPr>
                  </w:r>
                </w:p>
              </w:tc>
              <w:tc>
                <w:tcPr>
                  <w:tcW w:w="4166" w:type="dxa"/>
                  <w:tcBorders/>
                </w:tcPr>
                <w:p>
                  <w:pPr>
                    <w:pStyle w:val="Normal"/>
                    <w:widowControl w:val="false"/>
                    <w:snapToGrid w:val="false"/>
                    <w:spacing w:lineRule="auto" w:line="240"/>
                    <w:rPr>
                      <w:sz w:val="20"/>
                      <w:szCs w:val="20"/>
                    </w:rPr>
                  </w:pPr>
                  <w:r>
                    <w:rPr>
                      <w:sz w:val="20"/>
                      <w:szCs w:val="20"/>
                    </w:rPr>
                  </w:r>
                </w:p>
              </w:tc>
            </w:tr>
          </w:tbl>
          <w:p>
            <w:pPr>
              <w:pStyle w:val="Normal"/>
              <w:widowControl w:val="false"/>
              <w:snapToGrid w:val="false"/>
              <w:spacing w:lineRule="auto" w:line="240"/>
              <w:ind w:right="-76" w:firstLine="567"/>
              <w:jc w:val="center"/>
              <w:rPr>
                <w:szCs w:val="24"/>
              </w:rPr>
            </w:pPr>
            <w:r>
              <w:rPr>
                <w:szCs w:val="24"/>
              </w:rPr>
            </w:r>
          </w:p>
        </w:tc>
      </w:tr>
    </w:tbl>
    <w:p>
      <w:pPr>
        <w:pStyle w:val="Normal"/>
        <w:spacing w:lineRule="auto" w:line="240"/>
        <w:ind w:left="5103" w:firstLine="567"/>
        <w:rPr>
          <w:highlight w:val="yellow"/>
        </w:rPr>
      </w:pPr>
      <w:r>
        <w:rPr>
          <w:highlight w:val="yellow"/>
        </w:rPr>
      </w:r>
    </w:p>
    <w:tbl>
      <w:tblPr>
        <w:tblW w:w="9637"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880"/>
        <w:gridCol w:w="4756"/>
      </w:tblGrid>
      <w:tr>
        <w:trPr/>
        <w:tc>
          <w:tcPr>
            <w:tcW w:w="4880" w:type="dxa"/>
            <w:tcBorders/>
          </w:tcPr>
          <w:p>
            <w:pPr>
              <w:pStyle w:val="Normal"/>
              <w:widowControl w:val="false"/>
              <w:spacing w:lineRule="auto" w:line="240"/>
              <w:rPr>
                <w:b/>
                <w:sz w:val="24"/>
                <w:szCs w:val="24"/>
                <w:lang w:val="en-US"/>
              </w:rPr>
            </w:pPr>
            <w:r>
              <w:rPr>
                <w:b/>
                <w:sz w:val="24"/>
                <w:szCs w:val="24"/>
              </w:rPr>
              <w:t>Заказчик</w:t>
            </w:r>
            <w:r>
              <w:rPr>
                <w:b/>
                <w:sz w:val="24"/>
                <w:szCs w:val="24"/>
                <w:lang w:val="en-US"/>
              </w:rPr>
              <w:t>:</w:t>
            </w:r>
          </w:p>
          <w:p>
            <w:pPr>
              <w:pStyle w:val="Normal"/>
              <w:widowControl w:val="false"/>
              <w:spacing w:lineRule="auto" w:line="240"/>
              <w:rPr>
                <w:b/>
                <w:sz w:val="24"/>
                <w:szCs w:val="24"/>
              </w:rPr>
            </w:pPr>
            <w:r>
              <w:rPr>
                <w:b/>
                <w:sz w:val="24"/>
                <w:szCs w:val="24"/>
              </w:rPr>
            </w:r>
          </w:p>
          <w:p>
            <w:pPr>
              <w:pStyle w:val="Normal"/>
              <w:widowControl w:val="false"/>
              <w:spacing w:lineRule="auto" w:line="240"/>
              <w:ind w:firstLine="34"/>
              <w:rPr>
                <w:b/>
                <w:sz w:val="24"/>
                <w:szCs w:val="24"/>
              </w:rPr>
            </w:pPr>
            <w:r>
              <w:rPr>
                <w:b/>
                <w:sz w:val="24"/>
                <w:szCs w:val="24"/>
              </w:rPr>
              <w:t>___________/__________________________</w:t>
            </w:r>
          </w:p>
        </w:tc>
        <w:tc>
          <w:tcPr>
            <w:tcW w:w="4756" w:type="dxa"/>
            <w:tcBorders/>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ind w:hanging="0"/>
              <w:rPr>
                <w:b/>
                <w:sz w:val="24"/>
                <w:szCs w:val="24"/>
              </w:rPr>
            </w:pPr>
            <w:r>
              <w:rPr>
                <w:b/>
                <w:sz w:val="24"/>
                <w:szCs w:val="24"/>
              </w:rPr>
              <w:t>_______________/________</w:t>
            </w:r>
          </w:p>
          <w:p>
            <w:pPr>
              <w:pStyle w:val="Normal"/>
              <w:widowControl w:val="false"/>
              <w:spacing w:lineRule="auto" w:line="240"/>
              <w:ind w:hanging="0"/>
              <w:rPr>
                <w:b/>
                <w:sz w:val="24"/>
                <w:szCs w:val="24"/>
              </w:rPr>
            </w:pPr>
            <w:r>
              <w:rPr>
                <w:b/>
                <w:sz w:val="24"/>
                <w:szCs w:val="24"/>
              </w:rPr>
              <w:t>______________</w:t>
            </w:r>
          </w:p>
        </w:tc>
      </w:tr>
    </w:tbl>
    <w:p>
      <w:pPr>
        <w:sectPr>
          <w:headerReference w:type="default" r:id="rId15"/>
          <w:headerReference w:type="first" r:id="rId16"/>
          <w:footerReference w:type="default" r:id="rId17"/>
          <w:footerReference w:type="first" r:id="rId18"/>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pPr>
      <w:r>
        <w:br w:type="page"/>
      </w:r>
    </w:p>
    <w:p>
      <w:pPr>
        <w:pStyle w:val="Normal"/>
        <w:spacing w:lineRule="auto" w:line="240"/>
        <w:ind w:left="5103" w:hanging="0"/>
        <w:rPr>
          <w:sz w:val="22"/>
          <w:szCs w:val="22"/>
        </w:rPr>
      </w:pPr>
      <w:r>
        <w:rPr>
          <w:sz w:val="22"/>
          <w:szCs w:val="22"/>
        </w:rPr>
        <w:t xml:space="preserve"> </w:t>
      </w:r>
    </w:p>
    <w:p>
      <w:pPr>
        <w:pStyle w:val="Normal"/>
        <w:shd w:val="clear" w:color="auto" w:fill="FFFFFF"/>
        <w:spacing w:lineRule="auto" w:line="240"/>
        <w:ind w:left="3119" w:firstLine="8363"/>
        <w:rPr>
          <w:bCs/>
          <w:sz w:val="22"/>
          <w:szCs w:val="22"/>
        </w:rPr>
      </w:pPr>
      <w:r>
        <w:rPr>
          <w:bCs/>
          <w:sz w:val="22"/>
          <w:szCs w:val="22"/>
        </w:rPr>
        <w:t>Приложение № 8</w:t>
      </w:r>
    </w:p>
    <w:p>
      <w:pPr>
        <w:pStyle w:val="Normal"/>
        <w:shd w:val="clear" w:color="auto" w:fill="FFFFFF"/>
        <w:spacing w:lineRule="auto" w:line="240"/>
        <w:ind w:left="3119" w:firstLine="8363"/>
        <w:rPr>
          <w:bCs/>
          <w:sz w:val="22"/>
          <w:szCs w:val="22"/>
        </w:rPr>
      </w:pPr>
      <w:r>
        <w:rPr>
          <w:bCs/>
          <w:sz w:val="22"/>
          <w:szCs w:val="22"/>
        </w:rPr>
        <w:t xml:space="preserve">к Договору </w:t>
      </w:r>
    </w:p>
    <w:p>
      <w:pPr>
        <w:pStyle w:val="Normal"/>
        <w:shd w:val="clear" w:color="auto" w:fill="FFFFFF"/>
        <w:spacing w:lineRule="auto" w:line="240"/>
        <w:ind w:left="3119" w:firstLine="8363"/>
        <w:rPr>
          <w:bCs/>
          <w:sz w:val="22"/>
          <w:szCs w:val="22"/>
        </w:rPr>
      </w:pPr>
      <w:r>
        <w:rPr>
          <w:bCs/>
          <w:sz w:val="22"/>
          <w:szCs w:val="22"/>
        </w:rPr>
        <w:t xml:space="preserve">подряда </w:t>
      </w:r>
    </w:p>
    <w:p>
      <w:pPr>
        <w:pStyle w:val="Normal"/>
        <w:shd w:val="clear" w:color="auto" w:fill="FFFFFF"/>
        <w:spacing w:lineRule="auto" w:line="240"/>
        <w:ind w:left="3119" w:firstLine="8363"/>
        <w:rPr>
          <w:bCs/>
          <w:sz w:val="22"/>
          <w:szCs w:val="22"/>
        </w:rPr>
      </w:pPr>
      <w:r>
        <w:rPr>
          <w:bCs/>
          <w:sz w:val="22"/>
          <w:szCs w:val="22"/>
        </w:rPr>
        <w:t>от «___» ________</w:t>
      </w:r>
    </w:p>
    <w:p>
      <w:pPr>
        <w:pStyle w:val="Normal"/>
        <w:shd w:val="clear" w:color="auto" w:fill="FFFFFF"/>
        <w:spacing w:lineRule="auto" w:line="240"/>
        <w:ind w:left="3119" w:firstLine="8363"/>
        <w:rPr>
          <w:bCs/>
          <w:sz w:val="22"/>
          <w:szCs w:val="22"/>
        </w:rPr>
      </w:pPr>
      <w:r>
        <w:rPr>
          <w:bCs/>
          <w:sz w:val="22"/>
          <w:szCs w:val="22"/>
        </w:rPr>
        <w:t>20__ г. № ___</w:t>
      </w:r>
    </w:p>
    <w:p>
      <w:pPr>
        <w:pStyle w:val="Normal"/>
        <w:spacing w:lineRule="auto" w:line="240"/>
        <w:ind w:hanging="0"/>
        <w:jc w:val="center"/>
        <w:rPr>
          <w:b/>
          <w:sz w:val="24"/>
          <w:szCs w:val="24"/>
        </w:rPr>
      </w:pPr>
      <w:r>
        <w:rPr>
          <w:b/>
          <w:bCs/>
          <w:sz w:val="24"/>
          <w:szCs w:val="24"/>
        </w:rPr>
        <w:t xml:space="preserve">Форма справки </w:t>
      </w:r>
    </w:p>
    <w:p>
      <w:pPr>
        <w:pStyle w:val="Normal"/>
        <w:spacing w:lineRule="auto" w:line="240"/>
        <w:ind w:hanging="0"/>
        <w:jc w:val="center"/>
        <w:rPr>
          <w:b/>
          <w:sz w:val="24"/>
          <w:szCs w:val="24"/>
        </w:rPr>
      </w:pPr>
      <w:r>
        <w:rPr>
          <w:b/>
          <w:bCs/>
          <w:sz w:val="24"/>
          <w:szCs w:val="24"/>
        </w:rPr>
        <w:t>о заключенных</w:t>
      </w:r>
    </w:p>
    <w:p>
      <w:pPr>
        <w:pStyle w:val="Normal"/>
        <w:spacing w:lineRule="auto" w:line="240"/>
        <w:ind w:hanging="0"/>
        <w:jc w:val="center"/>
        <w:rPr>
          <w:b/>
          <w:sz w:val="24"/>
          <w:szCs w:val="24"/>
        </w:rPr>
      </w:pPr>
      <w:r>
        <w:rPr>
          <w:b/>
          <w:bCs/>
          <w:sz w:val="24"/>
          <w:szCs w:val="24"/>
        </w:rPr>
        <w:t xml:space="preserve"> </w:t>
      </w:r>
      <w:r>
        <w:rPr>
          <w:b/>
          <w:bCs/>
          <w:sz w:val="24"/>
          <w:szCs w:val="24"/>
        </w:rPr>
        <w:t xml:space="preserve">договорах Подрядчика с </w:t>
      </w:r>
    </w:p>
    <w:p>
      <w:pPr>
        <w:pStyle w:val="Normal"/>
        <w:spacing w:lineRule="auto" w:line="240"/>
        <w:ind w:hanging="0"/>
        <w:jc w:val="center"/>
        <w:rPr>
          <w:b/>
          <w:sz w:val="24"/>
          <w:szCs w:val="24"/>
        </w:rPr>
      </w:pPr>
      <w:r>
        <w:rPr>
          <w:b/>
          <w:bCs/>
          <w:sz w:val="24"/>
          <w:szCs w:val="24"/>
        </w:rPr>
        <w:t>Субподрядчиками</w:t>
      </w:r>
    </w:p>
    <w:p>
      <w:pPr>
        <w:pStyle w:val="Normal"/>
        <w:spacing w:lineRule="auto" w:line="240"/>
        <w:ind w:hanging="0"/>
        <w:jc w:val="center"/>
        <w:rPr>
          <w:b/>
          <w:sz w:val="24"/>
          <w:szCs w:val="24"/>
        </w:rPr>
      </w:pPr>
      <w:r>
        <w:rPr>
          <w:b/>
          <w:sz w:val="24"/>
          <w:szCs w:val="24"/>
        </w:rPr>
        <w:t xml:space="preserve"> </w:t>
      </w:r>
    </w:p>
    <w:p>
      <w:pPr>
        <w:pStyle w:val="Normal"/>
        <w:spacing w:lineRule="auto" w:line="240"/>
        <w:ind w:hanging="0"/>
        <w:jc w:val="right"/>
        <w:rPr>
          <w:sz w:val="16"/>
          <w:szCs w:val="16"/>
        </w:rPr>
      </w:pPr>
      <w:r>
        <w:rPr>
          <w:sz w:val="16"/>
          <w:szCs w:val="16"/>
        </w:rPr>
      </w:r>
    </w:p>
    <w:tbl>
      <w:tblPr>
        <w:tblW w:w="5000" w:type="pct"/>
        <w:jc w:val="center"/>
        <w:tblInd w:w="0" w:type="dxa"/>
        <w:tblLayout w:type="fixed"/>
        <w:tblCellMar>
          <w:top w:w="0" w:type="dxa"/>
          <w:left w:w="28" w:type="dxa"/>
          <w:bottom w:w="0" w:type="dxa"/>
          <w:right w:w="28" w:type="dxa"/>
        </w:tblCellMar>
        <w:tblLook w:noVBand="1" w:val="04a0" w:noHBand="0" w:lastColumn="0" w:firstColumn="1" w:lastRow="0" w:firstRow="1"/>
      </w:tblPr>
      <w:tblGrid>
        <w:gridCol w:w="269"/>
        <w:gridCol w:w="810"/>
        <w:gridCol w:w="1185"/>
        <w:gridCol w:w="1411"/>
        <w:gridCol w:w="2409"/>
        <w:gridCol w:w="2975"/>
        <w:gridCol w:w="2843"/>
        <w:gridCol w:w="995"/>
        <w:gridCol w:w="1671"/>
      </w:tblGrid>
      <w:tr>
        <w:trPr>
          <w:trHeight w:val="1327" w:hRule="atLeast"/>
        </w:trPr>
        <w:tc>
          <w:tcPr>
            <w:tcW w:w="2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r>
          </w:p>
        </w:tc>
        <w:tc>
          <w:tcPr>
            <w:tcW w:w="8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Предмет договора</w:t>
            </w:r>
          </w:p>
        </w:tc>
        <w:tc>
          <w:tcPr>
            <w:tcW w:w="11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Дата договора</w:t>
            </w:r>
          </w:p>
        </w:tc>
        <w:tc>
          <w:tcPr>
            <w:tcW w:w="14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Номер договора с субподрядчиком</w:t>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ОКПД2</w:t>
            </w:r>
          </w:p>
          <w:p>
            <w:pPr>
              <w:pStyle w:val="Normal"/>
              <w:widowControl w:val="false"/>
              <w:spacing w:lineRule="auto" w:line="240"/>
              <w:ind w:hanging="0"/>
              <w:jc w:val="center"/>
              <w:rPr>
                <w:sz w:val="16"/>
                <w:szCs w:val="16"/>
              </w:rPr>
            </w:pPr>
            <w:r>
              <w:rPr>
                <w:sz w:val="16"/>
                <w:szCs w:val="16"/>
              </w:rPr>
              <w:t>(</w:t>
            </w:r>
            <w:r>
              <w:rPr>
                <w:bCs/>
                <w:sz w:val="16"/>
                <w:szCs w:val="16"/>
              </w:rPr>
              <w:t>Если договором предусмотрена поставка товара, предусмотренного одним из перечней в соответствии с Постановлением Правительства РФ от 23.12.2024 № 1875 либо иного нормативно-правового акта, устанавливающего защитные меры в соответствии с законодательством о Национальном режиме, данный товар заполняется отдельной строкой</w:t>
            </w:r>
            <w:r>
              <w:rPr>
                <w:sz w:val="16"/>
                <w:szCs w:val="16"/>
              </w:rPr>
              <w:t>)</w:t>
            </w:r>
          </w:p>
        </w:tc>
        <w:tc>
          <w:tcPr>
            <w:tcW w:w="29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Страна происхождения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28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Страна регистрации производителя товара</w:t>
            </w:r>
          </w:p>
          <w:p>
            <w:pPr>
              <w:pStyle w:val="Normal"/>
              <w:widowControl w:val="false"/>
              <w:spacing w:lineRule="auto" w:line="240"/>
              <w:ind w:hanging="0"/>
              <w:jc w:val="center"/>
              <w:rPr>
                <w:sz w:val="16"/>
                <w:szCs w:val="16"/>
              </w:rPr>
            </w:pPr>
            <w:r>
              <w:rPr>
                <w:sz w:val="16"/>
                <w:szCs w:val="16"/>
              </w:rPr>
              <w:t>(Заполняется только к ОКПД к договорам на поставку товаров (в том числе товаров, поставленных при выполнении закупаемых работ, оказании закупаемых услуг)</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Валюта (ОКВ)</w:t>
            </w:r>
          </w:p>
        </w:tc>
        <w:tc>
          <w:tcPr>
            <w:tcW w:w="167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Единица измерения</w:t>
            </w:r>
          </w:p>
          <w:p>
            <w:pPr>
              <w:pStyle w:val="Normal"/>
              <w:widowControl w:val="false"/>
              <w:spacing w:lineRule="auto" w:line="240"/>
              <w:ind w:hanging="0"/>
              <w:jc w:val="center"/>
              <w:rPr>
                <w:sz w:val="16"/>
                <w:szCs w:val="16"/>
              </w:rPr>
            </w:pPr>
            <w:r>
              <w:rPr>
                <w:sz w:val="16"/>
                <w:szCs w:val="16"/>
              </w:rPr>
              <w:t>ОКЕИ</w:t>
            </w:r>
          </w:p>
        </w:tc>
      </w:tr>
      <w:tr>
        <w:trPr/>
        <w:tc>
          <w:tcPr>
            <w:tcW w:w="2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w:t>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r>
          </w:p>
        </w:tc>
        <w:tc>
          <w:tcPr>
            <w:tcW w:w="11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2</w:t>
            </w:r>
          </w:p>
        </w:tc>
        <w:tc>
          <w:tcPr>
            <w:tcW w:w="14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3</w:t>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4</w:t>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5</w:t>
            </w:r>
          </w:p>
        </w:tc>
        <w:tc>
          <w:tcPr>
            <w:tcW w:w="28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6</w:t>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lang w:val="en-US"/>
              </w:rPr>
            </w:pPr>
            <w:r>
              <w:rPr>
                <w:b/>
                <w:sz w:val="16"/>
                <w:szCs w:val="16"/>
                <w:lang w:val="en-US"/>
              </w:rPr>
              <w:t>7</w:t>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8</w:t>
            </w:r>
          </w:p>
        </w:tc>
      </w:tr>
      <w:tr>
        <w:trPr/>
        <w:tc>
          <w:tcPr>
            <w:tcW w:w="269"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lang w:val="en-US"/>
              </w:rPr>
            </w:pPr>
            <w:r>
              <w:rPr>
                <w:i/>
                <w:sz w:val="16"/>
                <w:szCs w:val="16"/>
                <w:lang w:val="en-US"/>
              </w:rPr>
              <w:t>1</w:t>
            </w:r>
          </w:p>
        </w:tc>
        <w:tc>
          <w:tcPr>
            <w:tcW w:w="81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5"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41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40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9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8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9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c>
          <w:tcPr>
            <w:tcW w:w="167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r>
    </w:tbl>
    <w:p>
      <w:pPr>
        <w:pStyle w:val="Normal"/>
        <w:spacing w:lineRule="auto" w:line="240"/>
        <w:ind w:hanging="0"/>
        <w:rPr>
          <w:sz w:val="16"/>
          <w:szCs w:val="16"/>
        </w:rPr>
      </w:pPr>
      <w:r>
        <w:rPr>
          <w:sz w:val="16"/>
          <w:szCs w:val="16"/>
        </w:rPr>
      </w:r>
    </w:p>
    <w:p>
      <w:pPr>
        <w:pStyle w:val="Normal"/>
        <w:spacing w:lineRule="auto" w:line="240"/>
        <w:ind w:hanging="0"/>
        <w:rPr>
          <w:sz w:val="16"/>
          <w:szCs w:val="16"/>
        </w:rPr>
      </w:pPr>
      <w:r>
        <w:rPr>
          <w:sz w:val="16"/>
          <w:szCs w:val="16"/>
        </w:rPr>
      </w:r>
    </w:p>
    <w:tbl>
      <w:tblPr>
        <w:tblW w:w="5000" w:type="pct"/>
        <w:jc w:val="left"/>
        <w:tblInd w:w="-5" w:type="dxa"/>
        <w:tblLayout w:type="fixed"/>
        <w:tblCellMar>
          <w:top w:w="0" w:type="dxa"/>
          <w:left w:w="28" w:type="dxa"/>
          <w:bottom w:w="0" w:type="dxa"/>
          <w:right w:w="28" w:type="dxa"/>
        </w:tblCellMar>
        <w:tblLook w:noVBand="1" w:val="04a0" w:noHBand="0" w:lastColumn="0" w:firstColumn="1" w:lastRow="0" w:firstRow="1"/>
      </w:tblPr>
      <w:tblGrid>
        <w:gridCol w:w="1270"/>
        <w:gridCol w:w="1702"/>
        <w:gridCol w:w="1130"/>
        <w:gridCol w:w="1129"/>
        <w:gridCol w:w="1272"/>
        <w:gridCol w:w="2132"/>
        <w:gridCol w:w="1843"/>
        <w:gridCol w:w="1279"/>
        <w:gridCol w:w="2811"/>
      </w:tblGrid>
      <w:tr>
        <w:trPr>
          <w:trHeight w:val="1289" w:hRule="atLeast"/>
        </w:trPr>
        <w:tc>
          <w:tcPr>
            <w:tcW w:w="12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Кол-во товара, работ, услуг</w:t>
            </w:r>
          </w:p>
        </w:tc>
        <w:tc>
          <w:tcPr>
            <w:tcW w:w="170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Цена за единицу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113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Цена по договору</w:t>
            </w:r>
          </w:p>
          <w:p>
            <w:pPr>
              <w:pStyle w:val="Normal"/>
              <w:widowControl w:val="false"/>
              <w:spacing w:lineRule="auto" w:line="240"/>
              <w:ind w:hanging="0"/>
              <w:jc w:val="center"/>
              <w:rPr>
                <w:sz w:val="16"/>
                <w:szCs w:val="16"/>
              </w:rPr>
            </w:pPr>
            <w:r>
              <w:rPr>
                <w:sz w:val="16"/>
                <w:szCs w:val="16"/>
              </w:rPr>
              <w:t xml:space="preserve"> </w:t>
            </w:r>
            <w:r>
              <w:rPr>
                <w:sz w:val="16"/>
                <w:szCs w:val="16"/>
              </w:rPr>
              <w:t>(руб. без НДС)</w:t>
            </w:r>
          </w:p>
        </w:tc>
        <w:tc>
          <w:tcPr>
            <w:tcW w:w="11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Дата начала выполнения работ</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Дата окончания выполнения работ</w:t>
            </w:r>
          </w:p>
        </w:tc>
        <w:tc>
          <w:tcPr>
            <w:tcW w:w="2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Принадлежность к МСП</w:t>
            </w:r>
          </w:p>
          <w:p>
            <w:pPr>
              <w:pStyle w:val="Normal"/>
              <w:widowControl w:val="false"/>
              <w:spacing w:lineRule="auto" w:line="240"/>
              <w:ind w:hanging="0"/>
              <w:jc w:val="center"/>
              <w:rPr>
                <w:sz w:val="16"/>
                <w:szCs w:val="16"/>
              </w:rPr>
            </w:pPr>
            <w:r>
              <w:rPr>
                <w:sz w:val="16"/>
                <w:szCs w:val="16"/>
              </w:rPr>
              <w:t>(среднее предприятие, малое предприятие, микропредприятие)</w:t>
            </w:r>
            <w:r>
              <w:rPr>
                <w:rStyle w:val="FootnoteReference"/>
                <w:rFonts w:eastAsia="Symbol" w:cs="Symbol" w:ascii="Symbol" w:hAnsi="Symbol"/>
                <w:sz w:val="16"/>
                <w:szCs w:val="16"/>
              </w:rPr>
              <w:footnoteReference w:customMarkFollows="1" w:id="19"/>
              <w:t></w:t>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Полное наименование/ФИО</w:t>
            </w:r>
          </w:p>
        </w:tc>
        <w:tc>
          <w:tcPr>
            <w:tcW w:w="12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Сокращенное наименование</w:t>
            </w:r>
          </w:p>
        </w:tc>
        <w:tc>
          <w:tcPr>
            <w:tcW w:w="2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Физическое/Юридическое лицо</w:t>
            </w:r>
          </w:p>
        </w:tc>
      </w:tr>
      <w:tr>
        <w:trPr/>
        <w:tc>
          <w:tcPr>
            <w:tcW w:w="12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9</w:t>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10</w:t>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rPr>
              <w:t>1</w:t>
            </w:r>
            <w:r>
              <w:rPr>
                <w:b/>
                <w:sz w:val="16"/>
                <w:szCs w:val="16"/>
                <w:lang w:val="en-US"/>
              </w:rPr>
              <w:t>1</w:t>
            </w:r>
          </w:p>
        </w:tc>
        <w:tc>
          <w:tcPr>
            <w:tcW w:w="11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12</w:t>
            </w:r>
          </w:p>
        </w:tc>
        <w:tc>
          <w:tcPr>
            <w:tcW w:w="12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lang w:val="en-US"/>
              </w:rPr>
            </w:pPr>
            <w:r>
              <w:rPr>
                <w:b/>
                <w:sz w:val="16"/>
                <w:szCs w:val="16"/>
                <w:lang w:val="en-US"/>
              </w:rPr>
              <w:t>13</w:t>
            </w:r>
          </w:p>
        </w:tc>
        <w:tc>
          <w:tcPr>
            <w:tcW w:w="2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14</w:t>
            </w:r>
          </w:p>
        </w:tc>
        <w:tc>
          <w:tcPr>
            <w:tcW w:w="18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15</w:t>
            </w:r>
          </w:p>
        </w:tc>
        <w:tc>
          <w:tcPr>
            <w:tcW w:w="127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spacing w:lineRule="auto" w:line="240"/>
              <w:ind w:hanging="0"/>
              <w:jc w:val="center"/>
              <w:rPr>
                <w:b/>
                <w:sz w:val="16"/>
                <w:szCs w:val="16"/>
                <w:lang w:val="en-US"/>
              </w:rPr>
            </w:pPr>
            <w:r>
              <w:rPr>
                <w:b/>
                <w:sz w:val="16"/>
                <w:szCs w:val="16"/>
                <w:lang w:val="en-US"/>
              </w:rPr>
              <w:t>16</w:t>
            </w:r>
          </w:p>
        </w:tc>
        <w:tc>
          <w:tcPr>
            <w:tcW w:w="2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spacing w:lineRule="auto" w:line="240"/>
              <w:ind w:hanging="0"/>
              <w:jc w:val="center"/>
              <w:rPr>
                <w:b/>
                <w:sz w:val="16"/>
                <w:szCs w:val="16"/>
                <w:lang w:val="en-US"/>
              </w:rPr>
            </w:pPr>
            <w:r>
              <w:rPr>
                <w:b/>
                <w:sz w:val="16"/>
                <w:szCs w:val="16"/>
                <w:lang w:val="en-US"/>
              </w:rPr>
              <w:t>17</w:t>
            </w:r>
          </w:p>
        </w:tc>
      </w:tr>
      <w:tr>
        <w:trPr/>
        <w:tc>
          <w:tcPr>
            <w:tcW w:w="127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3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2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2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13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84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27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281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r>
    </w:tbl>
    <w:p>
      <w:pPr>
        <w:pStyle w:val="Normal"/>
        <w:widowControl w:val="false"/>
        <w:spacing w:lineRule="auto" w:line="240"/>
        <w:ind w:hanging="0"/>
        <w:jc w:val="left"/>
        <w:rPr>
          <w:sz w:val="16"/>
          <w:szCs w:val="16"/>
        </w:rPr>
      </w:pPr>
      <w:r>
        <w:rPr>
          <w:sz w:val="16"/>
          <w:szCs w:val="16"/>
        </w:rPr>
      </w:r>
    </w:p>
    <w:p>
      <w:pPr>
        <w:pStyle w:val="Normal"/>
        <w:widowControl w:val="false"/>
        <w:spacing w:lineRule="auto" w:line="240"/>
        <w:ind w:hanging="0"/>
        <w:jc w:val="left"/>
        <w:rPr>
          <w:sz w:val="16"/>
          <w:szCs w:val="16"/>
        </w:rPr>
      </w:pPr>
      <w:r>
        <w:rPr>
          <w:sz w:val="16"/>
          <w:szCs w:val="16"/>
        </w:rPr>
      </w:r>
    </w:p>
    <w:tbl>
      <w:tblPr>
        <w:tblW w:w="5000" w:type="pct"/>
        <w:jc w:val="left"/>
        <w:tblInd w:w="-5" w:type="dxa"/>
        <w:tblLayout w:type="fixed"/>
        <w:tblCellMar>
          <w:top w:w="0" w:type="dxa"/>
          <w:left w:w="28" w:type="dxa"/>
          <w:bottom w:w="0" w:type="dxa"/>
          <w:right w:w="28" w:type="dxa"/>
        </w:tblCellMar>
        <w:tblLook w:noVBand="1" w:val="04a0" w:noHBand="0" w:lastColumn="0" w:firstColumn="1" w:lastRow="0" w:firstRow="1"/>
      </w:tblPr>
      <w:tblGrid>
        <w:gridCol w:w="1334"/>
        <w:gridCol w:w="1786"/>
        <w:gridCol w:w="1191"/>
        <w:gridCol w:w="1189"/>
        <w:gridCol w:w="1339"/>
        <w:gridCol w:w="1188"/>
        <w:gridCol w:w="1934"/>
        <w:gridCol w:w="1042"/>
        <w:gridCol w:w="1189"/>
        <w:gridCol w:w="890"/>
        <w:gridCol w:w="744"/>
        <w:gridCol w:w="743"/>
      </w:tblGrid>
      <w:tr>
        <w:trPr>
          <w:trHeight w:val="1266" w:hRule="atLeast"/>
        </w:trPr>
        <w:tc>
          <w:tcPr>
            <w:tcW w:w="13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Дата постановки на учет</w:t>
            </w:r>
          </w:p>
        </w:tc>
        <w:tc>
          <w:tcPr>
            <w:tcW w:w="17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Почтовый индекс</w:t>
            </w:r>
          </w:p>
        </w:tc>
        <w:tc>
          <w:tcPr>
            <w:tcW w:w="1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Адрес местонахождения</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Адрес пребывания на территории РФ (для нерезидентов РФ)</w:t>
            </w:r>
          </w:p>
        </w:tc>
        <w:tc>
          <w:tcPr>
            <w:tcW w:w="13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Электронный адрес</w:t>
            </w:r>
          </w:p>
        </w:tc>
        <w:tc>
          <w:tcPr>
            <w:tcW w:w="11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Контактный телефон</w:t>
            </w:r>
          </w:p>
        </w:tc>
        <w:tc>
          <w:tcPr>
            <w:tcW w:w="19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sz w:val="16"/>
                <w:szCs w:val="16"/>
              </w:rPr>
            </w:pPr>
            <w:r>
              <w:rPr>
                <w:sz w:val="16"/>
                <w:szCs w:val="16"/>
              </w:rPr>
              <w:t>ОКСМ</w:t>
            </w:r>
          </w:p>
        </w:tc>
        <w:tc>
          <w:tcPr>
            <w:tcW w:w="10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ОКТМО</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sz w:val="16"/>
                <w:szCs w:val="16"/>
              </w:rPr>
            </w:pPr>
            <w:r>
              <w:rPr>
                <w:sz w:val="16"/>
                <w:szCs w:val="16"/>
              </w:rPr>
              <w:t>ОКОПФ</w:t>
            </w:r>
          </w:p>
        </w:tc>
        <w:tc>
          <w:tcPr>
            <w:tcW w:w="8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ОКПО</w:t>
            </w:r>
          </w:p>
        </w:tc>
        <w:tc>
          <w:tcPr>
            <w:tcW w:w="7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КПП</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r>
          </w:p>
          <w:p>
            <w:pPr>
              <w:pStyle w:val="Normal"/>
              <w:widowControl w:val="false"/>
              <w:spacing w:lineRule="auto" w:line="240"/>
              <w:ind w:hanging="0"/>
              <w:jc w:val="center"/>
              <w:rPr>
                <w:sz w:val="16"/>
                <w:szCs w:val="16"/>
              </w:rPr>
            </w:pPr>
            <w:r>
              <w:rPr>
                <w:sz w:val="16"/>
                <w:szCs w:val="16"/>
              </w:rPr>
              <w:t>ИНН</w:t>
            </w:r>
          </w:p>
          <w:p>
            <w:pPr>
              <w:pStyle w:val="Normal"/>
              <w:widowControl w:val="false"/>
              <w:rPr>
                <w:sz w:val="16"/>
                <w:szCs w:val="16"/>
              </w:rPr>
            </w:pPr>
            <w:r>
              <w:rPr>
                <w:sz w:val="16"/>
                <w:szCs w:val="16"/>
              </w:rPr>
            </w:r>
          </w:p>
          <w:p>
            <w:pPr>
              <w:pStyle w:val="Normal"/>
              <w:widowControl w:val="false"/>
              <w:rPr>
                <w:sz w:val="16"/>
                <w:szCs w:val="16"/>
              </w:rPr>
            </w:pPr>
            <w:r>
              <w:rPr>
                <w:sz w:val="16"/>
                <w:szCs w:val="16"/>
              </w:rPr>
            </w:r>
          </w:p>
        </w:tc>
      </w:tr>
      <w:tr>
        <w:trPr>
          <w:trHeight w:val="200" w:hRule="atLeast"/>
        </w:trPr>
        <w:tc>
          <w:tcPr>
            <w:tcW w:w="13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18</w:t>
            </w:r>
          </w:p>
        </w:tc>
        <w:tc>
          <w:tcPr>
            <w:tcW w:w="17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19</w:t>
            </w:r>
          </w:p>
        </w:tc>
        <w:tc>
          <w:tcPr>
            <w:tcW w:w="1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20</w:t>
            </w:r>
          </w:p>
        </w:tc>
        <w:tc>
          <w:tcPr>
            <w:tcW w:w="11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b/>
                <w:sz w:val="16"/>
                <w:szCs w:val="16"/>
                <w:lang w:val="en-US"/>
              </w:rPr>
            </w:pPr>
            <w:r>
              <w:rPr>
                <w:b/>
                <w:sz w:val="16"/>
                <w:szCs w:val="16"/>
                <w:lang w:val="en-US"/>
              </w:rPr>
              <w:t>21</w:t>
            </w:r>
          </w:p>
        </w:tc>
        <w:tc>
          <w:tcPr>
            <w:tcW w:w="13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b/>
                <w:sz w:val="16"/>
                <w:szCs w:val="16"/>
                <w:lang w:val="en-US"/>
              </w:rPr>
            </w:pPr>
            <w:r>
              <w:rPr>
                <w:b/>
                <w:sz w:val="16"/>
                <w:szCs w:val="16"/>
                <w:lang w:val="en-US"/>
              </w:rPr>
              <w:t>22</w:t>
            </w:r>
          </w:p>
        </w:tc>
        <w:tc>
          <w:tcPr>
            <w:tcW w:w="11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b/>
                <w:sz w:val="16"/>
                <w:szCs w:val="16"/>
                <w:lang w:val="en-US"/>
              </w:rPr>
            </w:pPr>
            <w:r>
              <w:rPr>
                <w:b/>
                <w:sz w:val="16"/>
                <w:szCs w:val="16"/>
                <w:lang w:val="en-US"/>
              </w:rPr>
              <w:t>23</w:t>
            </w:r>
          </w:p>
        </w:tc>
        <w:tc>
          <w:tcPr>
            <w:tcW w:w="193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ind w:hanging="0"/>
              <w:jc w:val="center"/>
              <w:rPr>
                <w:b/>
                <w:sz w:val="16"/>
                <w:szCs w:val="16"/>
                <w:lang w:val="en-US"/>
              </w:rPr>
            </w:pPr>
            <w:r>
              <w:rPr>
                <w:b/>
                <w:sz w:val="16"/>
                <w:szCs w:val="16"/>
                <w:lang w:val="en-US"/>
              </w:rPr>
              <w:t>24</w:t>
            </w:r>
          </w:p>
        </w:tc>
        <w:tc>
          <w:tcPr>
            <w:tcW w:w="10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spacing w:lineRule="auto" w:line="240"/>
              <w:ind w:hanging="0"/>
              <w:jc w:val="center"/>
              <w:rPr>
                <w:b/>
                <w:sz w:val="16"/>
                <w:szCs w:val="16"/>
                <w:lang w:val="en-US"/>
              </w:rPr>
            </w:pPr>
            <w:r>
              <w:rPr>
                <w:b/>
                <w:sz w:val="16"/>
                <w:szCs w:val="16"/>
                <w:lang w:val="en-US"/>
              </w:rPr>
              <w:t>25</w:t>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9"/>
                <w:tab w:val="left" w:pos="1531" w:leader="none"/>
              </w:tabs>
              <w:spacing w:lineRule="auto" w:line="240"/>
              <w:ind w:hanging="0"/>
              <w:jc w:val="center"/>
              <w:rPr>
                <w:b/>
                <w:sz w:val="16"/>
                <w:szCs w:val="16"/>
                <w:lang w:val="en-US"/>
              </w:rPr>
            </w:pPr>
            <w:r>
              <w:rPr>
                <w:b/>
                <w:sz w:val="16"/>
                <w:szCs w:val="16"/>
                <w:lang w:val="en-US"/>
              </w:rPr>
              <w:t>26</w:t>
            </w:r>
          </w:p>
        </w:tc>
        <w:tc>
          <w:tcPr>
            <w:tcW w:w="8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spacing w:lineRule="auto" w:line="240"/>
              <w:ind w:hanging="0"/>
              <w:jc w:val="center"/>
              <w:rPr>
                <w:b/>
                <w:sz w:val="16"/>
                <w:szCs w:val="16"/>
                <w:lang w:val="en-US"/>
              </w:rPr>
            </w:pPr>
            <w:r>
              <w:rPr>
                <w:b/>
                <w:sz w:val="16"/>
                <w:szCs w:val="16"/>
                <w:lang w:val="en-US"/>
              </w:rPr>
              <w:t>27</w:t>
            </w:r>
          </w:p>
        </w:tc>
        <w:tc>
          <w:tcPr>
            <w:tcW w:w="744"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spacing w:lineRule="auto" w:line="240"/>
              <w:ind w:hanging="0"/>
              <w:jc w:val="center"/>
              <w:rPr>
                <w:b/>
                <w:sz w:val="16"/>
                <w:szCs w:val="16"/>
                <w:lang w:val="en-US"/>
              </w:rPr>
            </w:pPr>
            <w:r>
              <w:rPr>
                <w:b/>
                <w:sz w:val="16"/>
                <w:szCs w:val="16"/>
                <w:lang w:val="en-US"/>
              </w:rPr>
              <w:t>28</w:t>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531" w:leader="none"/>
              </w:tabs>
              <w:spacing w:lineRule="auto" w:line="240"/>
              <w:ind w:hanging="0"/>
              <w:jc w:val="center"/>
              <w:rPr>
                <w:b/>
                <w:sz w:val="16"/>
                <w:szCs w:val="16"/>
                <w:lang w:val="en-US"/>
              </w:rPr>
            </w:pPr>
            <w:r>
              <w:rPr>
                <w:b/>
                <w:sz w:val="16"/>
                <w:szCs w:val="16"/>
                <w:lang w:val="en-US"/>
              </w:rPr>
              <w:t>29</w:t>
            </w:r>
          </w:p>
        </w:tc>
      </w:tr>
      <w:tr>
        <w:trPr>
          <w:trHeight w:val="200" w:hRule="atLeast"/>
        </w:trPr>
        <w:tc>
          <w:tcPr>
            <w:tcW w:w="13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78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33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934"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spacing w:lineRule="auto" w:line="240"/>
              <w:ind w:hanging="0"/>
              <w:jc w:val="center"/>
              <w:rPr>
                <w:i/>
                <w:i/>
                <w:sz w:val="16"/>
                <w:szCs w:val="16"/>
              </w:rPr>
            </w:pPr>
            <w:r>
              <w:rPr>
                <w:i/>
                <w:sz w:val="16"/>
                <w:szCs w:val="16"/>
              </w:rPr>
            </w:r>
          </w:p>
        </w:tc>
        <w:tc>
          <w:tcPr>
            <w:tcW w:w="10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11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ind w:hanging="0"/>
              <w:jc w:val="center"/>
              <w:rPr>
                <w:i/>
                <w:i/>
                <w:sz w:val="16"/>
                <w:szCs w:val="16"/>
              </w:rPr>
            </w:pPr>
            <w:r>
              <w:rPr>
                <w:i/>
                <w:sz w:val="16"/>
                <w:szCs w:val="16"/>
              </w:rPr>
            </w:r>
          </w:p>
        </w:tc>
        <w:tc>
          <w:tcPr>
            <w:tcW w:w="8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74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c>
          <w:tcPr>
            <w:tcW w:w="74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hanging="0"/>
              <w:jc w:val="center"/>
              <w:rPr>
                <w:i/>
                <w:i/>
                <w:sz w:val="16"/>
                <w:szCs w:val="16"/>
              </w:rPr>
            </w:pPr>
            <w:r>
              <w:rPr>
                <w:i/>
                <w:sz w:val="16"/>
                <w:szCs w:val="16"/>
              </w:rPr>
            </w:r>
          </w:p>
        </w:tc>
      </w:tr>
    </w:tbl>
    <w:p>
      <w:pPr>
        <w:pStyle w:val="Normal"/>
        <w:widowControl w:val="false"/>
        <w:spacing w:lineRule="auto" w:line="240"/>
        <w:ind w:hanging="0"/>
        <w:jc w:val="left"/>
        <w:rPr>
          <w:sz w:val="16"/>
          <w:szCs w:val="16"/>
        </w:rPr>
      </w:pPr>
      <w:r>
        <w:rPr>
          <w:sz w:val="16"/>
          <w:szCs w:val="16"/>
        </w:rPr>
        <w:t>Генеральный директор ________________________________</w:t>
      </w:r>
    </w:p>
    <w:p>
      <w:pPr>
        <w:pStyle w:val="Normal"/>
        <w:widowControl w:val="false"/>
        <w:spacing w:lineRule="auto" w:line="240"/>
        <w:ind w:hanging="0"/>
        <w:jc w:val="left"/>
        <w:rPr>
          <w:sz w:val="16"/>
          <w:szCs w:val="16"/>
        </w:rPr>
      </w:pPr>
      <w:r>
        <w:rPr>
          <w:sz w:val="16"/>
          <w:szCs w:val="16"/>
        </w:rPr>
        <w:t xml:space="preserve">Дата составления справки _________     </w:t>
      </w:r>
    </w:p>
    <w:tbl>
      <w:tblPr>
        <w:tblW w:w="14622"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6739"/>
        <w:gridCol w:w="7882"/>
      </w:tblGrid>
      <w:tr>
        <w:trPr>
          <w:trHeight w:val="283" w:hRule="atLeast"/>
        </w:trPr>
        <w:tc>
          <w:tcPr>
            <w:tcW w:w="6739" w:type="dxa"/>
            <w:tcBorders/>
          </w:tcPr>
          <w:p>
            <w:pPr>
              <w:pStyle w:val="Normal"/>
              <w:widowControl w:val="false"/>
              <w:spacing w:lineRule="auto" w:line="240"/>
              <w:ind w:hanging="0"/>
              <w:jc w:val="center"/>
              <w:rPr>
                <w:b/>
                <w:sz w:val="16"/>
                <w:szCs w:val="16"/>
              </w:rPr>
            </w:pPr>
            <w:r>
              <w:rPr>
                <w:b/>
                <w:sz w:val="16"/>
                <w:szCs w:val="16"/>
              </w:rPr>
              <w:t>Заказчик:</w:t>
            </w:r>
          </w:p>
        </w:tc>
        <w:tc>
          <w:tcPr>
            <w:tcW w:w="7882" w:type="dxa"/>
            <w:tcBorders/>
          </w:tcPr>
          <w:p>
            <w:pPr>
              <w:pStyle w:val="Normal"/>
              <w:widowControl w:val="false"/>
              <w:spacing w:lineRule="auto" w:line="240"/>
              <w:ind w:hanging="0"/>
              <w:jc w:val="center"/>
              <w:rPr>
                <w:b/>
                <w:sz w:val="16"/>
                <w:szCs w:val="16"/>
              </w:rPr>
            </w:pPr>
            <w:r>
              <w:rPr>
                <w:b/>
                <w:sz w:val="16"/>
                <w:szCs w:val="16"/>
              </w:rPr>
              <w:t>Подрядчик:</w:t>
            </w:r>
          </w:p>
        </w:tc>
      </w:tr>
      <w:tr>
        <w:trPr>
          <w:trHeight w:val="264" w:hRule="atLeast"/>
        </w:trPr>
        <w:tc>
          <w:tcPr>
            <w:tcW w:w="6739" w:type="dxa"/>
            <w:tcBorders/>
          </w:tcPr>
          <w:p>
            <w:pPr>
              <w:pStyle w:val="Normal"/>
              <w:widowControl w:val="false"/>
              <w:spacing w:lineRule="auto" w:line="240"/>
              <w:ind w:hanging="0"/>
              <w:jc w:val="center"/>
              <w:rPr>
                <w:sz w:val="16"/>
                <w:szCs w:val="16"/>
              </w:rPr>
            </w:pPr>
            <w:r>
              <w:rPr>
                <w:sz w:val="16"/>
                <w:szCs w:val="16"/>
              </w:rPr>
              <w:t>______________ /_______________</w:t>
            </w:r>
          </w:p>
        </w:tc>
        <w:tc>
          <w:tcPr>
            <w:tcW w:w="7882" w:type="dxa"/>
            <w:tcBorders/>
          </w:tcPr>
          <w:p>
            <w:pPr>
              <w:pStyle w:val="Normal"/>
              <w:widowControl w:val="false"/>
              <w:spacing w:lineRule="auto" w:line="240"/>
              <w:ind w:hanging="0"/>
              <w:jc w:val="center"/>
              <w:rPr>
                <w:sz w:val="16"/>
                <w:szCs w:val="16"/>
              </w:rPr>
            </w:pPr>
            <w:r>
              <w:rPr>
                <w:sz w:val="16"/>
                <w:szCs w:val="16"/>
              </w:rPr>
              <w:t>_______________ / _______________</w:t>
            </w:r>
          </w:p>
        </w:tc>
      </w:tr>
    </w:tbl>
    <w:p>
      <w:pPr>
        <w:sectPr>
          <w:headerReference w:type="default" r:id="rId19"/>
          <w:headerReference w:type="first" r:id="rId20"/>
          <w:footerReference w:type="default" r:id="rId21"/>
          <w:footerReference w:type="first" r:id="rId22"/>
          <w:footnotePr>
            <w:numFmt w:val="decimal"/>
          </w:footnotePr>
          <w:type w:val="nextPage"/>
          <w:pgSz w:orient="landscape" w:w="16838" w:h="11906"/>
          <w:pgMar w:left="1134" w:right="1134" w:gutter="0" w:header="567" w:top="1418" w:footer="284" w:bottom="851"/>
          <w:pgNumType w:fmt="decimal"/>
          <w:formProt w:val="false"/>
          <w:textDirection w:val="lrTb"/>
          <w:docGrid w:type="default" w:linePitch="360" w:charSpace="0"/>
        </w:sectPr>
      </w:pPr>
    </w:p>
    <w:p>
      <w:pPr>
        <w:pStyle w:val="Normal"/>
        <w:shd w:val="clear" w:color="auto" w:fill="FFFFFF"/>
        <w:spacing w:lineRule="auto" w:line="240"/>
        <w:ind w:left="3119" w:firstLine="1984"/>
        <w:rPr>
          <w:bCs/>
          <w:sz w:val="22"/>
          <w:szCs w:val="22"/>
        </w:rPr>
      </w:pPr>
      <w:bookmarkStart w:id="41" w:name="RANGE!A1%2525252525252525252525252525252"/>
      <w:bookmarkEnd w:id="41"/>
      <w:r>
        <w:rPr>
          <w:bCs/>
          <w:sz w:val="22"/>
          <w:szCs w:val="22"/>
        </w:rPr>
        <w:t>Приложение № 9</w:t>
      </w:r>
    </w:p>
    <w:p>
      <w:pPr>
        <w:pStyle w:val="Normal"/>
        <w:shd w:val="clear" w:color="auto" w:fill="FFFFFF"/>
        <w:spacing w:lineRule="auto" w:line="240"/>
        <w:ind w:left="3119" w:firstLine="1984"/>
        <w:rPr>
          <w:bCs/>
          <w:sz w:val="22"/>
          <w:szCs w:val="22"/>
        </w:rPr>
      </w:pPr>
      <w:r>
        <w:rPr>
          <w:bCs/>
          <w:sz w:val="22"/>
          <w:szCs w:val="22"/>
        </w:rPr>
        <w:t xml:space="preserve">к Договору подряда </w:t>
      </w:r>
    </w:p>
    <w:p>
      <w:pPr>
        <w:pStyle w:val="Normal"/>
        <w:shd w:val="clear" w:color="auto" w:fill="FFFFFF"/>
        <w:spacing w:lineRule="auto" w:line="240"/>
        <w:ind w:left="3119" w:firstLine="1984"/>
        <w:rPr>
          <w:bCs/>
          <w:sz w:val="22"/>
          <w:szCs w:val="22"/>
        </w:rPr>
      </w:pPr>
      <w:r>
        <w:rPr>
          <w:bCs/>
          <w:sz w:val="22"/>
          <w:szCs w:val="22"/>
        </w:rPr>
        <w:t>от «___» ________20__ г. № ___</w:t>
      </w:r>
    </w:p>
    <w:p>
      <w:pPr>
        <w:pStyle w:val="Normal"/>
        <w:spacing w:lineRule="auto" w:line="240"/>
        <w:ind w:hanging="0"/>
        <w:rPr>
          <w:sz w:val="24"/>
          <w:szCs w:val="24"/>
        </w:rPr>
      </w:pPr>
      <w:r>
        <w:rPr>
          <w:sz w:val="24"/>
          <w:szCs w:val="24"/>
        </w:rPr>
      </w:r>
    </w:p>
    <w:p>
      <w:pPr>
        <w:pStyle w:val="Normal"/>
        <w:spacing w:lineRule="auto" w:line="240"/>
        <w:jc w:val="center"/>
        <w:rPr>
          <w:b/>
          <w:sz w:val="24"/>
          <w:szCs w:val="24"/>
        </w:rPr>
      </w:pPr>
      <w:r>
        <w:rPr>
          <w:b/>
          <w:sz w:val="24"/>
          <w:szCs w:val="24"/>
        </w:rPr>
        <w:t>Критерии отбора Банков-Гарантов</w:t>
      </w:r>
    </w:p>
    <w:p>
      <w:pPr>
        <w:pStyle w:val="Normal"/>
        <w:spacing w:lineRule="auto" w:line="240"/>
        <w:jc w:val="center"/>
        <w:rPr>
          <w:b/>
          <w:sz w:val="24"/>
          <w:szCs w:val="24"/>
        </w:rPr>
      </w:pPr>
      <w:r>
        <w:rPr>
          <w:b/>
          <w:sz w:val="24"/>
          <w:szCs w:val="24"/>
        </w:rPr>
      </w:r>
    </w:p>
    <w:p>
      <w:pPr>
        <w:pStyle w:val="Normal"/>
        <w:tabs>
          <w:tab w:val="clear" w:pos="709"/>
          <w:tab w:val="left" w:pos="1134" w:leader="none"/>
        </w:tabs>
        <w:spacing w:lineRule="auto" w:line="240"/>
        <w:ind w:firstLine="709"/>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rPr>
        <w:footnoteReference w:id="20"/>
      </w:r>
      <w:r>
        <w:rPr>
          <w:sz w:val="24"/>
          <w:szCs w:val="24"/>
        </w:rPr>
        <w:t>, а также соответствовать следующим критериям:</w:t>
      </w:r>
    </w:p>
    <w:p>
      <w:pPr>
        <w:pStyle w:val="Normal"/>
        <w:numPr>
          <w:ilvl w:val="1"/>
          <w:numId w:val="23"/>
        </w:numPr>
        <w:tabs>
          <w:tab w:val="clear" w:pos="709"/>
          <w:tab w:val="left" w:pos="1134" w:leader="none"/>
        </w:tabs>
        <w:spacing w:lineRule="auto" w:line="240"/>
        <w:ind w:left="0" w:firstLine="710"/>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numPr>
          <w:ilvl w:val="1"/>
          <w:numId w:val="23"/>
        </w:numPr>
        <w:tabs>
          <w:tab w:val="clear" w:pos="709"/>
          <w:tab w:val="left" w:pos="1134" w:leader="none"/>
        </w:tabs>
        <w:spacing w:lineRule="auto" w:line="240"/>
        <w:ind w:left="0" w:firstLine="710"/>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 213-ФЗ).</w:t>
      </w:r>
    </w:p>
    <w:p>
      <w:pPr>
        <w:pStyle w:val="Normal"/>
        <w:numPr>
          <w:ilvl w:val="1"/>
          <w:numId w:val="23"/>
        </w:numPr>
        <w:tabs>
          <w:tab w:val="clear" w:pos="709"/>
          <w:tab w:val="left" w:pos="1134" w:leader="none"/>
        </w:tabs>
        <w:spacing w:lineRule="auto" w:line="240"/>
        <w:ind w:left="0" w:firstLine="710"/>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3">
        <w:r>
          <w:rPr>
            <w:rStyle w:val="Hyperlink"/>
            <w:color w:val="auto"/>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numPr>
          <w:ilvl w:val="1"/>
          <w:numId w:val="23"/>
        </w:numPr>
        <w:tabs>
          <w:tab w:val="clear" w:pos="709"/>
          <w:tab w:val="left" w:pos="1134" w:leader="none"/>
        </w:tabs>
        <w:spacing w:lineRule="auto" w:line="240"/>
        <w:ind w:left="0" w:firstLine="710"/>
        <w:rPr>
          <w:sz w:val="24"/>
          <w:szCs w:val="24"/>
        </w:rPr>
      </w:pPr>
      <w:r>
        <w:rPr>
          <w:sz w:val="24"/>
          <w:szCs w:val="24"/>
        </w:rPr>
        <w:t>Иметь кредитный рейтинг по национальной шкале не ниже уровня «BBB» рейтингового агентства АКРА или не ниже уровня «ruBBB»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«Fitch-Ratings» или «Standard &amp; Poor's» либо уровня «Bа2» по классификации рейтингового агентства «Moody's Investors Service»</w:t>
      </w:r>
      <w:r>
        <w:rPr>
          <w:rStyle w:val="FootnoteReference"/>
          <w:sz w:val="24"/>
          <w:szCs w:val="24"/>
        </w:rPr>
        <w:footnoteReference w:id="21"/>
      </w:r>
      <w:r>
        <w:rPr>
          <w:sz w:val="24"/>
          <w:szCs w:val="24"/>
        </w:rPr>
        <w:t xml:space="preserve">. </w:t>
      </w:r>
    </w:p>
    <w:p>
      <w:pPr>
        <w:pStyle w:val="Normal"/>
        <w:numPr>
          <w:ilvl w:val="1"/>
          <w:numId w:val="23"/>
        </w:numPr>
        <w:tabs>
          <w:tab w:val="clear" w:pos="709"/>
          <w:tab w:val="left" w:pos="1134" w:leader="none"/>
        </w:tabs>
        <w:spacing w:lineRule="auto" w:line="240"/>
        <w:ind w:left="0" w:firstLine="710"/>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 177-ФЗ «О страховании вкладов в банках Российской Федерации»</w:t>
      </w:r>
      <w:r>
        <w:rPr>
          <w:rStyle w:val="FootnoteReference"/>
          <w:sz w:val="24"/>
          <w:szCs w:val="24"/>
        </w:rPr>
        <w:footnoteReference w:id="22"/>
      </w:r>
      <w:r>
        <w:rPr>
          <w:sz w:val="24"/>
          <w:szCs w:val="24"/>
        </w:rPr>
        <w:t>.</w:t>
      </w:r>
    </w:p>
    <w:p>
      <w:pPr>
        <w:pStyle w:val="Normal"/>
        <w:numPr>
          <w:ilvl w:val="1"/>
          <w:numId w:val="23"/>
        </w:numPr>
        <w:tabs>
          <w:tab w:val="clear" w:pos="709"/>
          <w:tab w:val="left" w:pos="1134" w:leader="none"/>
        </w:tabs>
        <w:spacing w:lineRule="auto" w:line="240"/>
        <w:ind w:left="0" w:firstLine="710"/>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(http://www.asv.org.ru))».</w:t>
      </w:r>
    </w:p>
    <w:p>
      <w:pPr>
        <w:pStyle w:val="Normal"/>
        <w:numPr>
          <w:ilvl w:val="1"/>
          <w:numId w:val="23"/>
        </w:numPr>
        <w:tabs>
          <w:tab w:val="clear" w:pos="709"/>
          <w:tab w:val="left" w:pos="1134" w:leader="none"/>
        </w:tabs>
        <w:spacing w:lineRule="auto" w:line="240"/>
        <w:ind w:left="0" w:firstLine="710"/>
        <w:rPr>
          <w:sz w:val="24"/>
          <w:szCs w:val="24"/>
        </w:rPr>
      </w:pPr>
      <w:r>
        <w:rPr>
          <w:sz w:val="24"/>
          <w:szCs w:val="24"/>
        </w:rPr>
        <w:t>Не иметь просроченную задолженность перед Заказчиком и компаниями Группы РусГидро.</w:t>
      </w:r>
    </w:p>
    <w:p>
      <w:pPr>
        <w:pStyle w:val="Normal"/>
        <w:numPr>
          <w:ilvl w:val="1"/>
          <w:numId w:val="23"/>
        </w:numPr>
        <w:tabs>
          <w:tab w:val="clear" w:pos="709"/>
          <w:tab w:val="left" w:pos="1134" w:leader="none"/>
        </w:tabs>
        <w:spacing w:lineRule="auto" w:line="240"/>
        <w:ind w:left="0" w:firstLine="710"/>
        <w:rPr>
          <w:sz w:val="24"/>
          <w:szCs w:val="24"/>
        </w:rPr>
      </w:pPr>
      <w:r>
        <w:rPr>
          <w:sz w:val="24"/>
          <w:szCs w:val="24"/>
        </w:rPr>
        <w:t>Присутствовать (иметь отделение, филиал) по месту нахождения Общества, его обособленного подразделения или Филиала, для нужд которого заключается Договор</w:t>
      </w:r>
      <w:r>
        <w:rPr>
          <w:rStyle w:val="FootnoteReference"/>
          <w:sz w:val="24"/>
          <w:szCs w:val="24"/>
        </w:rPr>
        <w:footnoteReference w:id="23"/>
      </w:r>
      <w:r>
        <w:rPr>
          <w:sz w:val="24"/>
          <w:szCs w:val="24"/>
        </w:rPr>
        <w:t>.</w:t>
      </w:r>
    </w:p>
    <w:p>
      <w:pPr>
        <w:pStyle w:val="Normal"/>
        <w:numPr>
          <w:ilvl w:val="1"/>
          <w:numId w:val="23"/>
        </w:numPr>
        <w:tabs>
          <w:tab w:val="clear" w:pos="709"/>
          <w:tab w:val="left" w:pos="1134" w:leader="none"/>
        </w:tabs>
        <w:spacing w:lineRule="auto" w:line="240"/>
        <w:ind w:left="0" w:firstLine="710"/>
        <w:rPr>
          <w:sz w:val="24"/>
          <w:szCs w:val="24"/>
        </w:rPr>
      </w:pPr>
      <w:r>
        <w:rPr>
          <w:sz w:val="24"/>
          <w:szCs w:val="24"/>
        </w:rPr>
        <w:t>Требования, установленные пунктами 2 – 4 настоящих Критериев, не распространяются на кредитные организации:</w:t>
      </w:r>
    </w:p>
    <w:p>
      <w:pPr>
        <w:pStyle w:val="Normal"/>
        <w:numPr>
          <w:ilvl w:val="1"/>
          <w:numId w:val="24"/>
        </w:numPr>
        <w:tabs>
          <w:tab w:val="clear" w:pos="709"/>
          <w:tab w:val="left" w:pos="1134" w:leader="none"/>
        </w:tabs>
        <w:spacing w:lineRule="auto" w:line="240"/>
        <w:ind w:left="0" w:firstLine="709"/>
        <w:rPr>
          <w:sz w:val="24"/>
          <w:szCs w:val="24"/>
        </w:rPr>
      </w:pPr>
      <w:r>
        <w:rPr>
          <w:sz w:val="24"/>
          <w:szCs w:val="24"/>
        </w:rPr>
        <w:t xml:space="preserve"> </w:t>
      </w:r>
      <w:r>
        <w:rPr>
          <w:sz w:val="24"/>
          <w:szCs w:val="24"/>
        </w:rPr>
        <w:t>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в которой могут размещаться средства федерального бюджета на банковских депозитах 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numPr>
          <w:ilvl w:val="1"/>
          <w:numId w:val="24"/>
        </w:numPr>
        <w:tabs>
          <w:tab w:val="clear" w:pos="709"/>
          <w:tab w:val="left" w:pos="1134" w:leader="none"/>
        </w:tabs>
        <w:spacing w:lineRule="auto" w:line="240"/>
        <w:ind w:left="0" w:firstLine="709"/>
        <w:rPr>
          <w:sz w:val="24"/>
          <w:szCs w:val="24"/>
        </w:rPr>
      </w:pPr>
      <w:r>
        <w:rPr>
          <w:sz w:val="24"/>
          <w:szCs w:val="24"/>
        </w:rPr>
        <w:t xml:space="preserve"> </w:t>
      </w:r>
      <w:r>
        <w:rPr>
          <w:sz w:val="24"/>
          <w:szCs w:val="24"/>
        </w:rPr>
        <w:t>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и Указом Президента Российской Федерации от 05.06.2015 № 287 «О мерах по дальнейшему развитию малого и среднего предпринимательства».</w:t>
      </w:r>
    </w:p>
    <w:p>
      <w:pPr>
        <w:pStyle w:val="Normal"/>
        <w:numPr>
          <w:ilvl w:val="1"/>
          <w:numId w:val="24"/>
        </w:numPr>
        <w:tabs>
          <w:tab w:val="clear" w:pos="709"/>
          <w:tab w:val="left" w:pos="1134" w:leader="none"/>
        </w:tabs>
        <w:spacing w:lineRule="auto" w:line="240"/>
        <w:ind w:left="0" w:firstLine="709"/>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numPr>
          <w:ilvl w:val="1"/>
          <w:numId w:val="24"/>
        </w:numPr>
        <w:tabs>
          <w:tab w:val="clear" w:pos="709"/>
          <w:tab w:val="left" w:pos="1134" w:leader="none"/>
        </w:tabs>
        <w:spacing w:lineRule="auto" w:line="240"/>
        <w:ind w:left="0" w:firstLine="709"/>
        <w:rPr>
          <w:sz w:val="24"/>
          <w:szCs w:val="24"/>
        </w:rPr>
      </w:pPr>
      <w:r>
        <w:rPr>
          <w:sz w:val="24"/>
          <w:szCs w:val="24"/>
        </w:rPr>
        <w:t xml:space="preserve"> </w:t>
      </w:r>
      <w:r>
        <w:rPr>
          <w:sz w:val="24"/>
          <w:szCs w:val="24"/>
        </w:rPr>
        <w:t>ВЭБ.РФ.</w:t>
      </w:r>
    </w:p>
    <w:p>
      <w:pPr>
        <w:pStyle w:val="Normal"/>
        <w:numPr>
          <w:ilvl w:val="1"/>
          <w:numId w:val="24"/>
        </w:numPr>
        <w:tabs>
          <w:tab w:val="clear" w:pos="709"/>
          <w:tab w:val="left" w:pos="1134" w:leader="none"/>
        </w:tabs>
        <w:spacing w:lineRule="auto" w:line="240"/>
        <w:ind w:left="0" w:firstLine="709"/>
        <w:rPr>
          <w:sz w:val="24"/>
          <w:szCs w:val="24"/>
        </w:rPr>
      </w:pPr>
      <w:r>
        <w:rPr>
          <w:sz w:val="24"/>
          <w:szCs w:val="24"/>
        </w:rPr>
        <w:t>Нерезидентов Российской Федерации.</w:t>
      </w:r>
    </w:p>
    <w:p>
      <w:pPr>
        <w:pStyle w:val="Normal"/>
        <w:numPr>
          <w:ilvl w:val="1"/>
          <w:numId w:val="23"/>
        </w:numPr>
        <w:tabs>
          <w:tab w:val="clear" w:pos="709"/>
          <w:tab w:val="left" w:pos="1134" w:leader="none"/>
        </w:tabs>
        <w:spacing w:lineRule="auto" w:line="240"/>
        <w:ind w:left="0" w:firstLine="710"/>
        <w:rPr>
          <w:sz w:val="24"/>
          <w:szCs w:val="24"/>
        </w:rPr>
      </w:pPr>
      <w:r>
        <w:rPr>
          <w:sz w:val="24"/>
          <w:szCs w:val="24"/>
        </w:rPr>
        <w:t xml:space="preserve">Максимальная сумма всех одновременно действующих банковских гарантий, выданных одной кредитной организацией, обеспечивающих обязательства </w:t>
      </w:r>
      <w:r>
        <w:rPr>
          <w:sz w:val="24"/>
          <w:szCs w:val="24"/>
          <w:highlight w:val="lightGray"/>
        </w:rPr>
        <w:t>Подрядчика/Исполнителя</w:t>
      </w:r>
      <w:r>
        <w:rPr>
          <w:sz w:val="24"/>
          <w:szCs w:val="24"/>
        </w:rPr>
        <w:t xml:space="preserve"> перед Группой РусГидро, не должна превышать размер лимита риска, определяемого по формуле:</w:t>
      </w:r>
    </w:p>
    <w:p>
      <w:pPr>
        <w:pStyle w:val="Normal"/>
        <w:tabs>
          <w:tab w:val="clear" w:pos="709"/>
          <w:tab w:val="left" w:pos="1134" w:leader="none"/>
        </w:tabs>
        <w:spacing w:lineRule="auto" w:line="240"/>
        <w:ind w:firstLine="709"/>
        <w:jc w:val="center"/>
        <w:rPr>
          <w:sz w:val="24"/>
          <w:szCs w:val="24"/>
        </w:rPr>
      </w:pPr>
      <w:r>
        <w:rPr>
          <w:sz w:val="24"/>
          <w:szCs w:val="24"/>
        </w:rPr>
      </w:r>
    </w:p>
    <w:p>
      <w:pPr>
        <w:pStyle w:val="Normal"/>
        <w:spacing w:lineRule="auto" w:line="240"/>
        <w:ind w:left="360" w:hanging="0"/>
        <w:jc w:val="center"/>
        <w:rPr>
          <w:sz w:val="24"/>
          <w:szCs w:val="24"/>
        </w:rPr>
      </w:pPr>
      <w:r>
        <w:rPr>
          <w:b/>
          <w:i/>
          <w:sz w:val="24"/>
          <w:szCs w:val="24"/>
          <w:lang w:val="en-US"/>
        </w:rPr>
        <w:t>Lim</w:t>
      </w:r>
      <w:r>
        <w:rPr>
          <w:b/>
          <w:i/>
          <w:sz w:val="24"/>
          <w:szCs w:val="24"/>
          <w:vertAlign w:val="subscript"/>
          <w:lang w:val="en-US"/>
        </w:rPr>
        <w:t>Ai</w:t>
      </w:r>
      <w:r>
        <w:rPr>
          <w:b/>
          <w:sz w:val="24"/>
          <w:szCs w:val="24"/>
          <w:vertAlign w:val="subscript"/>
        </w:rPr>
        <w:t xml:space="preserve"> </w:t>
      </w:r>
      <w:r>
        <w:rPr>
          <w:b/>
          <w:sz w:val="24"/>
          <w:szCs w:val="24"/>
        </w:rPr>
        <w:t xml:space="preserve"> = </w:t>
      </w:r>
      <w:r>
        <w:rPr>
          <w:b/>
          <w:i/>
          <w:sz w:val="24"/>
          <w:szCs w:val="24"/>
          <w:lang w:val="en-US"/>
        </w:rPr>
        <w:t>r</w:t>
      </w:r>
      <w:r>
        <w:rPr>
          <w:b/>
          <w:i/>
          <w:sz w:val="24"/>
          <w:szCs w:val="24"/>
          <w:vertAlign w:val="subscript"/>
          <w:lang w:val="en-US"/>
        </w:rPr>
        <w:t>i</w:t>
      </w:r>
      <w:r>
        <w:rPr>
          <w:b/>
          <w:i/>
          <w:sz w:val="24"/>
          <w:szCs w:val="24"/>
        </w:rPr>
        <w:t xml:space="preserve"> </w:t>
      </w:r>
      <w:r>
        <w:rPr>
          <w:b/>
          <w:sz w:val="24"/>
          <w:szCs w:val="24"/>
        </w:rPr>
        <w:t xml:space="preserve">× </w:t>
      </w:r>
      <w:r>
        <w:rPr>
          <w:b/>
          <w:i/>
          <w:sz w:val="24"/>
          <w:szCs w:val="24"/>
        </w:rPr>
        <w:t>С</w:t>
      </w:r>
      <w:r>
        <w:rPr>
          <w:b/>
          <w:i/>
          <w:sz w:val="24"/>
          <w:szCs w:val="24"/>
          <w:lang w:val="en-US"/>
        </w:rPr>
        <w:t>K</w:t>
      </w:r>
      <w:r>
        <w:rPr>
          <w:b/>
          <w:i/>
          <w:sz w:val="24"/>
          <w:szCs w:val="24"/>
          <w:vertAlign w:val="subscript"/>
          <w:lang w:val="en-US"/>
        </w:rPr>
        <w:t>i</w:t>
      </w:r>
      <w:r>
        <w:rPr>
          <w:sz w:val="24"/>
          <w:szCs w:val="24"/>
        </w:rPr>
        <w:t>, где</w:t>
      </w:r>
    </w:p>
    <w:p>
      <w:pPr>
        <w:pStyle w:val="Normal"/>
        <w:spacing w:lineRule="auto" w:line="240"/>
        <w:ind w:left="360" w:firstLine="349"/>
        <w:rPr>
          <w:sz w:val="24"/>
          <w:szCs w:val="24"/>
        </w:rPr>
      </w:pPr>
      <w:r>
        <w:rPr>
          <w:sz w:val="24"/>
          <w:szCs w:val="24"/>
        </w:rPr>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24"/>
            </w:r>
            <w:r>
              <w:rPr>
                <w:sz w:val="24"/>
                <w:szCs w:val="24"/>
              </w:rPr>
              <w:t>.</w:t>
            </w:r>
          </w:p>
        </w:tc>
      </w:tr>
      <w:tr>
        <w:trPr>
          <w:trHeight w:val="280" w:hRule="atLeast"/>
        </w:trPr>
        <w:tc>
          <w:tcPr>
            <w:tcW w:w="817" w:type="dxa"/>
            <w:tcBorders/>
            <w:shd w:color="auto" w:fill="auto" w:val="clear"/>
          </w:tcPr>
          <w:p>
            <w:pPr>
              <w:pStyle w:val="Normal"/>
              <w:widowControl w:val="false"/>
              <w:spacing w:lineRule="auto" w:line="240"/>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24">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993" w:hRule="atLeast"/>
        </w:trPr>
        <w:tc>
          <w:tcPr>
            <w:tcW w:w="817" w:type="dxa"/>
            <w:tcBorders/>
          </w:tcPr>
          <w:p>
            <w:pPr>
              <w:pStyle w:val="Normal"/>
              <w:widowControl w:val="false"/>
              <w:spacing w:lineRule="auto" w:line="240"/>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right="-108" w:hanging="0"/>
              <w:rPr>
                <w:sz w:val="24"/>
                <w:szCs w:val="24"/>
              </w:rPr>
            </w:pPr>
            <w:r>
              <w:rPr>
                <w:sz w:val="24"/>
                <w:szCs w:val="24"/>
              </w:rPr>
              <w:t>-</w:t>
            </w:r>
          </w:p>
        </w:tc>
        <w:tc>
          <w:tcPr>
            <w:tcW w:w="8509" w:type="dxa"/>
            <w:tcBorders/>
          </w:tcPr>
          <w:p>
            <w:pPr>
              <w:pStyle w:val="Normal"/>
              <w:widowControl w:val="false"/>
              <w:tabs>
                <w:tab w:val="left" w:pos="709" w:leader="none"/>
                <w:tab w:val="left" w:pos="851" w:leader="none"/>
              </w:tabs>
              <w:spacing w:lineRule="auto" w:line="240"/>
              <w:ind w:left="680" w:hanging="0"/>
              <w:rPr/>
            </w:pPr>
            <w:r>
              <w:rPr>
                <w:sz w:val="24"/>
                <w:szCs w:val="24"/>
              </w:rPr>
              <w:t>рейтинговый коэффициент</w:t>
            </w:r>
            <w:r>
              <w:rPr>
                <w:rStyle w:val="FootnoteReference"/>
                <w:sz w:val="24"/>
                <w:szCs w:val="24"/>
              </w:rPr>
              <w:footnoteReference w:id="25"/>
            </w:r>
            <w:r>
              <w:rPr>
                <w:sz w:val="24"/>
                <w:szCs w:val="24"/>
              </w:rPr>
              <w:t xml:space="preserve"> для i-ой кредитной организации, равный:</w:t>
            </w:r>
          </w:p>
          <w:p>
            <w:pPr>
              <w:pStyle w:val="Normal"/>
              <w:widowControl w:val="false"/>
              <w:tabs>
                <w:tab w:val="left" w:pos="709" w:leader="none"/>
                <w:tab w:val="left" w:pos="851" w:leader="none"/>
              </w:tabs>
              <w:spacing w:lineRule="auto" w:line="240"/>
              <w:ind w:right="-108" w:firstLine="709"/>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ind w:right="-108" w:firstLine="709"/>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tabs>
          <w:tab w:val="clear" w:pos="709"/>
          <w:tab w:val="left" w:pos="1134" w:leader="none"/>
        </w:tabs>
        <w:spacing w:lineRule="auto" w:line="240"/>
        <w:ind w:hanging="0"/>
        <w:jc w:val="center"/>
        <w:rPr>
          <w:sz w:val="24"/>
          <w:szCs w:val="24"/>
        </w:rPr>
      </w:pPr>
      <w:r>
        <w:rPr>
          <w:sz w:val="24"/>
          <w:szCs w:val="24"/>
        </w:rPr>
      </w:r>
    </w:p>
    <w:p>
      <w:pPr>
        <w:pStyle w:val="Normal"/>
        <w:spacing w:lineRule="auto" w:line="240"/>
        <w:ind w:hanging="0"/>
        <w:rPr>
          <w:b/>
          <w:sz w:val="24"/>
          <w:szCs w:val="24"/>
        </w:rPr>
      </w:pPr>
      <w:r>
        <w:rPr>
          <w:b/>
          <w:sz w:val="24"/>
          <w:szCs w:val="24"/>
        </w:rPr>
      </w:r>
    </w:p>
    <w:tbl>
      <w:tblPr>
        <w:tblW w:w="9637"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642"/>
        <w:gridCol w:w="4994"/>
      </w:tblGrid>
      <w:tr>
        <w:trPr>
          <w:trHeight w:val="1380" w:hRule="atLeast"/>
        </w:trPr>
        <w:tc>
          <w:tcPr>
            <w:tcW w:w="4642" w:type="dxa"/>
            <w:tcBorders/>
            <w:shd w:color="auto" w:fill="auto" w:val="clear"/>
          </w:tcPr>
          <w:p>
            <w:pPr>
              <w:pStyle w:val="Normal"/>
              <w:widowControl w:val="false"/>
              <w:spacing w:lineRule="auto" w:line="240"/>
              <w:rPr>
                <w:b/>
                <w:sz w:val="24"/>
                <w:szCs w:val="24"/>
              </w:rPr>
            </w:pPr>
            <w:r>
              <w:rPr>
                <w:b/>
                <w:sz w:val="24"/>
                <w:szCs w:val="24"/>
              </w:rPr>
              <w:t>Заказчик: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 xml:space="preserve">_______________ / _______________ </w:t>
            </w:r>
          </w:p>
          <w:p>
            <w:pPr>
              <w:pStyle w:val="Normal"/>
              <w:widowControl w:val="false"/>
              <w:spacing w:lineRule="auto" w:line="240"/>
              <w:rPr>
                <w:b/>
                <w:sz w:val="24"/>
                <w:szCs w:val="24"/>
              </w:rPr>
            </w:pPr>
            <w:r>
              <w:rPr>
                <w:b/>
                <w:sz w:val="24"/>
                <w:szCs w:val="24"/>
              </w:rPr>
            </w:r>
          </w:p>
        </w:tc>
        <w:tc>
          <w:tcPr>
            <w:tcW w:w="4994" w:type="dxa"/>
            <w:tcBorders/>
            <w:shd w:color="auto" w:fill="auto" w:val="clear"/>
          </w:tcPr>
          <w:p>
            <w:pPr>
              <w:pStyle w:val="Normal"/>
              <w:widowControl w:val="false"/>
              <w:spacing w:lineRule="auto" w:line="240"/>
              <w:rPr>
                <w:b/>
                <w:sz w:val="24"/>
                <w:szCs w:val="24"/>
              </w:rPr>
            </w:pPr>
            <w:r>
              <w:rPr>
                <w:b/>
                <w:sz w:val="24"/>
                <w:szCs w:val="24"/>
              </w:rPr>
              <w:t>Подрядчик:</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t xml:space="preserve">_______________ / _______________ </w:t>
            </w:r>
          </w:p>
          <w:p>
            <w:pPr>
              <w:pStyle w:val="Normal"/>
              <w:widowControl w:val="false"/>
              <w:spacing w:lineRule="auto" w:line="240"/>
              <w:rPr>
                <w:b/>
                <w:sz w:val="24"/>
                <w:szCs w:val="24"/>
              </w:rPr>
            </w:pPr>
            <w:r>
              <w:rPr>
                <w:b/>
                <w:sz w:val="24"/>
                <w:szCs w:val="24"/>
              </w:rPr>
            </w:r>
          </w:p>
          <w:p>
            <w:pPr>
              <w:pStyle w:val="Normal"/>
              <w:widowControl w:val="false"/>
              <w:spacing w:lineRule="auto" w:line="240"/>
              <w:rPr>
                <w:b/>
                <w:sz w:val="24"/>
                <w:szCs w:val="24"/>
              </w:rPr>
            </w:pPr>
            <w:r>
              <w:rPr>
                <w:b/>
                <w:sz w:val="24"/>
                <w:szCs w:val="24"/>
              </w:rPr>
            </w:r>
          </w:p>
        </w:tc>
      </w:tr>
    </w:tbl>
    <w:p>
      <w:pPr>
        <w:pStyle w:val="Normal"/>
        <w:snapToGrid w:val="false"/>
        <w:spacing w:lineRule="auto" w:line="240"/>
        <w:ind w:hanging="0"/>
        <w:rPr/>
      </w:pPr>
      <w:r>
        <w:rPr/>
      </w:r>
    </w:p>
    <w:sectPr>
      <w:headerReference w:type="default" r:id="rId25"/>
      <w:headerReference w:type="first" r:id="rId26"/>
      <w:footerReference w:type="default" r:id="rId27"/>
      <w:footerReference w:type="first" r:id="rId28"/>
      <w:footnotePr>
        <w:numFmt w:val="decimal"/>
      </w:footnotePr>
      <w:type w:val="nextPage"/>
      <w:pgSz w:w="11906" w:h="16838"/>
      <w:pgMar w:left="1418" w:right="851" w:gutter="0" w:header="567" w:top="1134" w:footer="28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iberation Sans">
    <w:altName w:val="Arial"/>
    <w:charset w:val="01"/>
    <w:family w:val="roman"/>
    <w:pitch w:val="variable"/>
  </w:font>
  <w:font w:name="Verdana">
    <w:charset w:val="01"/>
    <w:family w:val="roman"/>
    <w:pitch w:val="variable"/>
  </w:font>
  <w:font w:name="Arial">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40</w:t>
    </w:r>
    <w:r>
      <w:rPr>
        <w:sz w:val="24"/>
        <w:szCs w:val="24"/>
      </w:rPr>
      <w:fldChar w:fldCharType="end"/>
    </w:r>
  </w:p>
  <w:p>
    <w:pPr>
      <w:pStyle w:val="Footer"/>
      <w:rPr/>
    </w:pPr>
    <w:r>
      <w:rPr/>
    </w:r>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27</w:t>
    </w:r>
    <w:r>
      <w:rPr>
        <w:sz w:val="20"/>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rPr>
      <w:fldChar w:fldCharType="begin"/>
    </w:r>
    <w:r>
      <w:rPr>
        <w:sz w:val="24"/>
      </w:rPr>
      <w:instrText xml:space="preserve"> PAGE </w:instrText>
    </w:r>
    <w:r>
      <w:rPr>
        <w:sz w:val="24"/>
      </w:rPr>
      <w:fldChar w:fldCharType="separate"/>
    </w:r>
    <w:r>
      <w:rPr>
        <w:sz w:val="24"/>
      </w:rPr>
      <w:t>29</w:t>
    </w:r>
    <w:r>
      <w:rPr>
        <w:sz w:val="24"/>
      </w:rPr>
      <w:fldChar w:fldCharType="end"/>
    </w:r>
  </w:p>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rPr>
      <w:fldChar w:fldCharType="begin"/>
    </w:r>
    <w:r>
      <w:rPr>
        <w:sz w:val="24"/>
      </w:rPr>
      <w:instrText xml:space="preserve"> PAGE </w:instrText>
    </w:r>
    <w:r>
      <w:rPr>
        <w:sz w:val="24"/>
      </w:rPr>
      <w:fldChar w:fldCharType="separate"/>
    </w:r>
    <w:r>
      <w:rPr>
        <w:sz w:val="24"/>
      </w:rPr>
      <w:t>35</w:t>
    </w:r>
    <w:r>
      <w:rPr>
        <w:sz w:val="24"/>
      </w:rPr>
      <w:fldChar w:fldCharType="end"/>
    </w:r>
  </w:p>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rPr>
      <w:fldChar w:fldCharType="begin"/>
    </w:r>
    <w:r>
      <w:rPr>
        <w:sz w:val="24"/>
      </w:rPr>
      <w:instrText xml:space="preserve"> PAGE </w:instrText>
    </w:r>
    <w:r>
      <w:rPr>
        <w:sz w:val="24"/>
      </w:rPr>
      <w:fldChar w:fldCharType="separate"/>
    </w:r>
    <w:r>
      <w:rPr>
        <w:sz w:val="24"/>
      </w:rPr>
      <w:t>37</w:t>
    </w:r>
    <w:r>
      <w:rPr>
        <w:sz w:val="24"/>
      </w:rPr>
      <w:fldChar w:fldCharType="end"/>
    </w:r>
  </w:p>
  <w:p>
    <w:pPr>
      <w:pStyle w:val="Footer"/>
      <w:rPr/>
    </w:pPr>
    <w:r>
      <w:rPr/>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6"/>
        </w:rPr>
        <w:footnoteRef/>
      </w:r>
      <w:r>
        <w:rPr/>
        <w:t xml:space="preserve"> </w:t>
      </w:r>
      <w:r>
        <w:rPr>
          <w:shd w:fill="C0C0C0" w:val="clear"/>
        </w:rPr>
        <w:t xml:space="preserve">За исключением отходов черных и цветных металлов, отработанных масел, образующихся от оборудования, зданий, строений и </w:t>
      </w:r>
      <w:r>
        <w:rPr>
          <w:color w:val="000000"/>
          <w:shd w:fill="C0C0C0" w:val="clear"/>
        </w:rPr>
        <w:t>сооружений</w:t>
      </w:r>
      <w:r>
        <w:rPr>
          <w:shd w:fill="C0C0C0" w:val="clear"/>
        </w:rPr>
        <w:t xml:space="preserve"> Заказчика.</w:t>
      </w:r>
    </w:p>
  </w:footnote>
  <w:footnote w:id="3">
    <w:p>
      <w:pPr>
        <w:pStyle w:val="FootnoteText"/>
        <w:rPr/>
      </w:pPr>
      <w:r>
        <w:rPr>
          <w:rStyle w:val="Style6"/>
        </w:rPr>
        <w:footnoteRef/>
      </w:r>
      <w:r>
        <w:rPr/>
        <w:t xml:space="preserve"> </w:t>
      </w:r>
      <w:r>
        <w:rPr/>
        <w:t>Пункт включается в Договор, включающий выполнение работ / оказание услуг по:</w:t>
      </w:r>
    </w:p>
    <w:p>
      <w:pPr>
        <w:pStyle w:val="FootnoteText"/>
        <w:jc w:val="both"/>
        <w:rPr/>
      </w:pPr>
      <w:r>
        <w:rPr/>
        <w:t>-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проводящего и отводящего каналов и т.п.;</w:t>
      </w:r>
    </w:p>
    <w:p>
      <w:pPr>
        <w:pStyle w:val="FootnoteText"/>
        <w:jc w:val="both"/>
        <w:rPr/>
      </w:pPr>
      <w:r>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t>- техническому обслуживанию оборудования, зданий, сооружений Заказчика;</w:t>
      </w:r>
    </w:p>
    <w:p>
      <w:pPr>
        <w:pStyle w:val="FootnoteText"/>
        <w:jc w:val="both"/>
        <w:rPr/>
      </w:pPr>
      <w:r>
        <w:rPr/>
        <w:t>- утилизации плавмусора.</w:t>
      </w:r>
    </w:p>
  </w:footnote>
  <w:footnote w:id="4">
    <w:p>
      <w:pPr>
        <w:pStyle w:val="FootnoteText"/>
        <w:jc w:val="both"/>
        <w:rPr/>
      </w:pPr>
      <w:r>
        <w:rPr>
          <w:rStyle w:val="Style6"/>
        </w:rPr>
        <w:footnoteRef/>
      </w:r>
      <w:r>
        <w:rPr/>
        <w:t xml:space="preserve"> </w:t>
      </w:r>
      <w:r>
        <w:rPr/>
        <w:t>Необходимость участия Подрядчика в конкретном СРО определяется в зависимости от состава Работ, выполняемых по Договору.</w:t>
      </w:r>
    </w:p>
  </w:footnote>
  <w:footnote w:id="5">
    <w:p>
      <w:pPr>
        <w:pStyle w:val="FootnoteText"/>
        <w:jc w:val="both"/>
        <w:rPr/>
      </w:pPr>
      <w:r>
        <w:rPr>
          <w:rStyle w:val="Style6"/>
        </w:rPr>
        <w:footnoteRef/>
      </w:r>
      <w:r>
        <w:rPr/>
        <w:t xml:space="preserve"> </w:t>
      </w:r>
      <w:r>
        <w:rPr/>
        <w:t>Не требуется членство в СРО контрагентов по договорам на проведение инженерных изысканий, разработку проектной документации в следующих случаях:</w:t>
      </w:r>
    </w:p>
    <w:p>
      <w:pPr>
        <w:pStyle w:val="FootnoteText"/>
        <w:tabs>
          <w:tab w:val="clear" w:pos="709"/>
          <w:tab w:val="left" w:pos="284" w:leader="none"/>
        </w:tabs>
        <w:jc w:val="both"/>
        <w:rPr/>
      </w:pPr>
      <w:r>
        <w:rPr/>
        <w:t>-</w:t>
        <w:tab/>
        <w:t>при выполнении работ в отношении строительства, реконструкции, не являющихся объектами капитального строительства;</w:t>
      </w:r>
    </w:p>
    <w:p>
      <w:pPr>
        <w:pStyle w:val="FootnoteText"/>
        <w:tabs>
          <w:tab w:val="clear" w:pos="709"/>
          <w:tab w:val="left" w:pos="284" w:leader="none"/>
        </w:tabs>
        <w:jc w:val="both"/>
        <w:rPr/>
      </w:pPr>
      <w:r>
        <w:rPr/>
        <w:t>-</w:t>
        <w:tab/>
        <w:t>при выполнении работ в отношении строительства, реконструкции на земельном участке строений и сооружений вспомогательного использования;</w:t>
      </w:r>
    </w:p>
    <w:p>
      <w:pPr>
        <w:pStyle w:val="FootnoteText"/>
        <w:tabs>
          <w:tab w:val="clear" w:pos="709"/>
          <w:tab w:val="left" w:pos="284" w:leader="none"/>
        </w:tabs>
        <w:jc w:val="both"/>
        <w:rPr/>
      </w:pPr>
      <w:r>
        <w:rPr/>
        <w:t>-</w:t>
        <w:tab/>
        <w:t>для выполнения работ по договорам, заключенным с иными лицами, кроме застройщика, технического заказчика, лица, ответственного за эксплуатацию здания, сооружения.</w:t>
      </w:r>
    </w:p>
  </w:footnote>
  <w:footnote w:id="6">
    <w:p>
      <w:pPr>
        <w:pStyle w:val="FootnoteText"/>
        <w:rPr/>
      </w:pPr>
      <w:r>
        <w:rPr>
          <w:rStyle w:val="Style6"/>
        </w:rPr>
        <w:footnoteRef/>
      </w:r>
      <w:r>
        <w:rPr/>
        <w:t xml:space="preserve"> </w:t>
      </w:r>
      <w:r>
        <w:rPr/>
        <w:t>Применяется в случае, если по результатам закупки победителем закупки признан МСП, при этом Заказчик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7">
    <w:p>
      <w:pPr>
        <w:pStyle w:val="FootnoteText"/>
        <w:jc w:val="both"/>
        <w:rPr/>
      </w:pPr>
      <w:r>
        <w:rPr>
          <w:rStyle w:val="Style6"/>
        </w:rPr>
        <w:footnoteRef/>
      </w:r>
      <w:r>
        <w:rPr/>
        <w:t xml:space="preserve"> </w:t>
      </w:r>
      <w:r>
        <w:rPr/>
        <w:t>В случае если членство в СРО требуется в соответствии с законодательством Российской Федерации</w:t>
      </w:r>
    </w:p>
  </w:footnote>
  <w:footnote w:id="8">
    <w:p>
      <w:pPr>
        <w:pStyle w:val="FootnoteText"/>
        <w:rPr/>
      </w:pPr>
      <w:r>
        <w:rPr>
          <w:rStyle w:val="Style6"/>
        </w:rPr>
        <w:footnoteRef/>
      </w:r>
      <w:r>
        <w:rPr/>
        <w:t xml:space="preserve"> </w:t>
      </w:r>
      <w:r>
        <w:rPr/>
        <w:t>В случае непредоставления новой Банковской гарантии возврата авансового платежа.</w:t>
      </w:r>
    </w:p>
  </w:footnote>
  <w:footnote w:id="9">
    <w:p>
      <w:pPr>
        <w:pStyle w:val="FootnoteText"/>
        <w:jc w:val="both"/>
        <w:rPr/>
      </w:pPr>
      <w:r>
        <w:rPr>
          <w:rStyle w:val="Style6"/>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санкции/ограничительные меры. Форма допсоглашения является типовой (ТФД № 12.3)</w:t>
      </w:r>
    </w:p>
  </w:footnote>
  <w:footnote w:id="10">
    <w:p>
      <w:pPr>
        <w:pStyle w:val="FootnoteText"/>
        <w:rPr/>
      </w:pPr>
      <w:r>
        <w:rPr>
          <w:rStyle w:val="Style6"/>
        </w:rPr>
        <w:footnoteRef/>
      </w:r>
      <w:r>
        <w:rPr/>
        <w:t xml:space="preserve"> </w:t>
      </w:r>
      <w:r>
        <w:rPr/>
        <w:t>Включается в Договор, включающий выполнение работ / оказание услуг по:</w:t>
      </w:r>
    </w:p>
    <w:p>
      <w:pPr>
        <w:pStyle w:val="FootnoteText"/>
        <w:jc w:val="both"/>
        <w:rPr/>
      </w:pPr>
      <w:r>
        <w:rPr/>
        <w:t>-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проводящего и отводящего каналов и т.п.;</w:t>
      </w:r>
    </w:p>
    <w:p>
      <w:pPr>
        <w:pStyle w:val="FootnoteText"/>
        <w:jc w:val="both"/>
        <w:rPr/>
      </w:pPr>
      <w:r>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t>- техническому обслуживанию оборудования, зданий, сооружений Заказчика;</w:t>
      </w:r>
    </w:p>
    <w:p>
      <w:pPr>
        <w:pStyle w:val="FootnoteText"/>
        <w:rPr/>
      </w:pPr>
      <w:r>
        <w:rPr/>
        <w:t xml:space="preserve">- утилизации плавмусора. </w:t>
      </w:r>
    </w:p>
  </w:footnote>
  <w:footnote w:id="11">
    <w:p>
      <w:pPr>
        <w:pStyle w:val="FootnoteText"/>
        <w:rPr/>
      </w:pPr>
      <w:r>
        <w:rPr>
          <w:rStyle w:val="Style6"/>
        </w:rPr>
        <w:footnoteRef/>
      </w:r>
      <w:r>
        <w:rPr/>
        <w:t xml:space="preserve"> </w:t>
      </w:r>
      <w:r>
        <w:rPr/>
        <w:t>Включается в Договор, включающий выполнение работ / оказание услуг по:</w:t>
      </w:r>
    </w:p>
    <w:p>
      <w:pPr>
        <w:pStyle w:val="FootnoteText"/>
        <w:jc w:val="both"/>
        <w:rPr/>
      </w:pPr>
      <w:r>
        <w:rPr/>
        <w:t>- очистке, техническому обслуживанию, обследованию, ремонту, техническому перевооружению и реконструкции сороудерживающих решеток / сооружений, порогов пазов ремонтных затворов, проводящего и отводящего каналов и т.п.;</w:t>
      </w:r>
    </w:p>
    <w:p>
      <w:pPr>
        <w:pStyle w:val="FootnoteText"/>
        <w:jc w:val="both"/>
        <w:rPr/>
      </w:pPr>
      <w:r>
        <w:rPr/>
        <w:t>- очистке прилегающей акватории водохранилища от приплывающей к гидротехническим сооружениям ГЭС древесины и другого мусора;</w:t>
      </w:r>
    </w:p>
    <w:p>
      <w:pPr>
        <w:pStyle w:val="FootnoteText"/>
        <w:jc w:val="both"/>
        <w:rPr/>
      </w:pPr>
      <w:r>
        <w:rPr/>
        <w:t>- техническому обслуживанию оборудования, зданий, сооружений Заказчика;</w:t>
      </w:r>
    </w:p>
    <w:p>
      <w:pPr>
        <w:pStyle w:val="FootnoteText"/>
        <w:rPr/>
      </w:pPr>
      <w:r>
        <w:rPr/>
        <w:t xml:space="preserve">- утилизации плавмусора. </w:t>
      </w:r>
    </w:p>
  </w:footnote>
  <w:footnote w:id="12">
    <w:p>
      <w:pPr>
        <w:pStyle w:val="FootnoteText"/>
        <w:jc w:val="both"/>
        <w:rPr/>
      </w:pPr>
      <w:r>
        <w:rPr>
          <w:rStyle w:val="Style6"/>
        </w:rPr>
        <w:footnoteRef/>
      </w:r>
      <w:r>
        <w:rPr/>
        <w:t xml:space="preserve"> </w:t>
      </w:r>
      <w:r>
        <w:rPr/>
        <w:t>В случае если членство в СРО требуется в соответствии с законодательством Российской Федерации.</w:t>
      </w:r>
    </w:p>
  </w:footnote>
  <w:footnote w:id="13">
    <w:p>
      <w:pPr>
        <w:pStyle w:val="FootnoteText"/>
        <w:jc w:val="both"/>
        <w:rPr/>
      </w:pPr>
      <w:r>
        <w:rPr>
          <w:rStyle w:val="Style6"/>
        </w:rPr>
        <w:footnoteRef/>
      </w:r>
      <w:r>
        <w:rPr/>
        <w:t xml:space="preserve"> </w:t>
      </w:r>
      <w:r>
        <w:rPr/>
        <w:t>В случае если членство в СРО требуется в соответствии с законодательством Российской Федерации.</w:t>
      </w:r>
    </w:p>
  </w:footnote>
  <w:footnote w:id="14">
    <w:p>
      <w:pPr>
        <w:pStyle w:val="FootnoteText"/>
        <w:jc w:val="both"/>
        <w:rPr/>
      </w:pPr>
      <w:r>
        <w:rPr>
          <w:rStyle w:val="Style6"/>
        </w:rPr>
        <w:footnoteRef/>
      </w:r>
      <w:r>
        <w:rPr/>
        <w:t xml:space="preserve"> </w:t>
      </w:r>
      <w:r>
        <w:rPr/>
        <w:t>В случае если членство в СРО требуется в соответствии с законодательством Российской Федерации.</w:t>
      </w:r>
    </w:p>
  </w:footnote>
  <w:footnote w:id="15">
    <w:p>
      <w:pPr>
        <w:pStyle w:val="FootnoteText"/>
        <w:jc w:val="both"/>
        <w:rPr/>
      </w:pPr>
      <w:r>
        <w:rPr>
          <w:rStyle w:val="Style6"/>
        </w:rPr>
        <w:footnoteRef/>
      </w:r>
      <w:r>
        <w:rPr/>
        <w:t xml:space="preserve"> </w:t>
      </w:r>
      <w:r>
        <w:rPr/>
        <w:t>С учетом комментариев к пункту 2.3.10 Договора.</w:t>
      </w:r>
    </w:p>
  </w:footnote>
  <w:footnote w:id="16">
    <w:p>
      <w:pPr>
        <w:pStyle w:val="FootnoteText"/>
        <w:jc w:val="both"/>
        <w:rPr/>
      </w:pPr>
      <w:r>
        <w:rPr>
          <w:rStyle w:val="Style6"/>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7">
    <w:p>
      <w:pPr>
        <w:pStyle w:val="FootnoteText"/>
        <w:jc w:val="both"/>
        <w:rPr/>
      </w:pPr>
      <w:r>
        <w:rPr>
          <w:rStyle w:val="Style6"/>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18">
    <w:p>
      <w:pPr>
        <w:pStyle w:val="FootnoteText"/>
        <w:rPr/>
      </w:pPr>
      <w:r>
        <w:rPr>
          <w:rStyle w:val="Style6"/>
        </w:rPr>
        <w:footnoteRef/>
      </w:r>
      <w:r>
        <w:rPr/>
        <w:t xml:space="preserve"> </w:t>
      </w:r>
      <w:r>
        <w:rPr/>
        <w:t>Применяется, если не используется УПД.</w:t>
      </w:r>
    </w:p>
  </w:footnote>
  <w:footnote w:id="19">
    <w:p>
      <w:pPr>
        <w:pStyle w:val="Normal"/>
        <w:spacing w:lineRule="auto" w:line="240"/>
        <w:ind w:hanging="0"/>
        <w:rPr>
          <w:sz w:val="24"/>
          <w:szCs w:val="24"/>
        </w:rPr>
      </w:pPr>
      <w:r>
        <w:rPr>
          <w:rStyle w:val="Style6"/>
        </w:rPr>
        <w:t></w:t>
      </w:r>
      <w:r>
        <w:rPr>
          <w:rStyle w:val="Style6"/>
        </w:rPr>
        <w:t></w:t>
      </w:r>
      <w:r>
        <w:rPr/>
        <w:t xml:space="preserve"> </w:t>
      </w:r>
      <w:r>
        <w:rPr>
          <w:sz w:val="20"/>
          <w:szCs w:val="20"/>
        </w:rPr>
        <w:t>В соответствии со статьей 4 Федерального закона от 24.07.2007 № 209-ФЗ «О развитии малого и среднего предпринимательства в Российской Федерации» Подрядчик определяет и указывает критерий отнесения организации из числа: микропредприятия, малые предприятия и средние предприятия.</w:t>
      </w:r>
      <w:r>
        <w:rPr>
          <w:sz w:val="24"/>
          <w:szCs w:val="24"/>
        </w:rPr>
        <w:t xml:space="preserve">   </w:t>
      </w:r>
    </w:p>
    <w:p>
      <w:pPr>
        <w:pStyle w:val="FootnoteText"/>
        <w:rPr/>
      </w:pPr>
      <w:r>
        <w:rPr/>
      </w:r>
    </w:p>
  </w:footnote>
  <w:footnote w:id="20">
    <w:p>
      <w:pPr>
        <w:pStyle w:val="FootnoteText"/>
        <w:jc w:val="both"/>
        <w:rPr/>
      </w:pPr>
      <w:r>
        <w:rPr>
          <w:rStyle w:val="Style6"/>
        </w:rPr>
        <w:footnoteRef/>
      </w:r>
      <w:r>
        <w:rPr/>
        <w:t xml:space="preserve"> </w:t>
      </w:r>
      <w:r>
        <w:rPr/>
        <w:t>Актуальный Перечень Банков-Гарантов Группы РусГидро размещен на официальном сайте ПАО «РусГидро» http://zakupki.rushydro.ru/PublicContent/Section/6</w:t>
      </w:r>
    </w:p>
  </w:footnote>
  <w:footnote w:id="21">
    <w:p>
      <w:pPr>
        <w:pStyle w:val="FootnoteText"/>
        <w:jc w:val="both"/>
        <w:rPr/>
      </w:pPr>
      <w:r>
        <w:rPr>
          <w:rStyle w:val="Style6"/>
        </w:rPr>
        <w:footnoteRef/>
      </w:r>
      <w:r>
        <w:rPr/>
        <w:t xml:space="preserve"> </w:t>
      </w:r>
      <w:r>
        <w:rPr/>
        <w:t>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Reuters, Bloomberg, Сbonds).</w:t>
      </w:r>
    </w:p>
  </w:footnote>
  <w:footnote w:id="22">
    <w:p>
      <w:pPr>
        <w:pStyle w:val="FootnoteText"/>
        <w:jc w:val="both"/>
        <w:rPr/>
      </w:pPr>
      <w:r>
        <w:rPr>
          <w:rStyle w:val="Style6"/>
        </w:rPr>
        <w:footnoteRef/>
      </w:r>
      <w:r>
        <w:rPr/>
        <w:t xml:space="preserve"> </w:t>
      </w:r>
      <w:r>
        <w:rPr/>
        <w:t>Данное требование не применяется в отношении небанковских кредитных организаций.</w:t>
      </w:r>
    </w:p>
  </w:footnote>
  <w:footnote w:id="23">
    <w:p>
      <w:pPr>
        <w:pStyle w:val="FootnoteText"/>
        <w:jc w:val="both"/>
        <w:rPr/>
      </w:pPr>
      <w:r>
        <w:rPr>
          <w:rStyle w:val="Style6"/>
        </w:rPr>
        <w:footnoteRef/>
      </w:r>
      <w:r>
        <w:rPr/>
        <w:t xml:space="preserve"> </w:t>
      </w:r>
      <w:r>
        <w:rPr/>
        <w:t>При издании ПО организационно-распорядительного документа о ТФУ данный критерий может быть исключен.</w:t>
      </w:r>
    </w:p>
  </w:footnote>
  <w:footnote w:id="24">
    <w:p>
      <w:pPr>
        <w:pStyle w:val="FootnoteText"/>
        <w:jc w:val="both"/>
        <w:rPr/>
      </w:pPr>
      <w:r>
        <w:rPr>
          <w:rStyle w:val="Style6"/>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5">
    <w:p>
      <w:pPr>
        <w:pStyle w:val="FootnoteText"/>
        <w:jc w:val="both"/>
        <w:rPr/>
      </w:pPr>
      <w:r>
        <w:rPr>
          <w:rStyle w:val="Style6"/>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hanging="0"/>
      <w:rPr/>
    </w:pPr>
    <w:r>
      <w:rPr/>
    </w:r>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spacing w:lineRule="auto" w:line="288"/>
      <w:jc w:val="right"/>
      <w:rPr>
        <w:sz w:val="20"/>
        <w:szCs w:val="20"/>
      </w:rPr>
    </w:pPr>
    <w:r>
      <w:rPr>
        <w:sz w:val="20"/>
        <w:szCs w:val="2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sz w:val="20"/>
        <w:szCs w:val="20"/>
      </w:rPr>
    </w:pPr>
    <w:r>
      <w:rPr>
        <w:sz w:val="20"/>
        <w:szCs w:val="20"/>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3">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2204" w:hanging="360"/>
      </w:pPr>
      <w:rPr>
        <w:b/>
      </w:rPr>
    </w:lvl>
    <w:lvl w:ilvl="1">
      <w:start w:val="1"/>
      <w:numFmt w:val="decimal"/>
      <w:lvlText w:val="%1.%2."/>
      <w:lvlJc w:val="left"/>
      <w:pPr>
        <w:tabs>
          <w:tab w:val="num" w:pos="0"/>
        </w:tabs>
        <w:ind w:left="574" w:hanging="432"/>
      </w:pPr>
      <w:rPr>
        <w:u w:val="none"/>
        <w:b w:val="false"/>
      </w:rPr>
    </w:lvl>
    <w:lvl w:ilvl="2">
      <w:start w:val="1"/>
      <w:numFmt w:val="decimal"/>
      <w:lvlText w:val="%1.%2.%3."/>
      <w:lvlJc w:val="left"/>
      <w:pPr>
        <w:tabs>
          <w:tab w:val="num" w:pos="0"/>
        </w:tabs>
        <w:ind w:left="1214"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5">
    <w:lvl w:ilvl="0">
      <w:start w:val="1"/>
      <w:numFmt w:val="decimal"/>
      <w:lvlText w:val="%1."/>
      <w:lvlJc w:val="left"/>
      <w:pPr>
        <w:tabs>
          <w:tab w:val="num" w:pos="3240"/>
        </w:tabs>
        <w:ind w:left="3240" w:hanging="0"/>
      </w:pPr>
      <w:rPr/>
    </w:lvl>
    <w:lvl w:ilvl="1">
      <w:start w:val="1"/>
      <w:numFmt w:val="decimal"/>
      <w:lvlText w:val="%1.%2."/>
      <w:lvlJc w:val="left"/>
      <w:pPr>
        <w:tabs>
          <w:tab w:val="num" w:pos="851"/>
        </w:tabs>
        <w:ind w:left="851" w:hanging="851"/>
      </w:pPr>
      <w:rPr/>
    </w:lvl>
    <w:lvl w:ilvl="2">
      <w:start w:val="1"/>
      <w:numFmt w:val="decimal"/>
      <w:lvlText w:val="%1.%2.%3."/>
      <w:lvlJc w:val="left"/>
      <w:pPr>
        <w:tabs>
          <w:tab w:val="num" w:pos="851"/>
        </w:tabs>
        <w:ind w:left="851" w:hanging="851"/>
      </w:pPr>
      <w:rPr/>
    </w:lvl>
    <w:lvl w:ilvl="3">
      <w:start w:val="1"/>
      <w:numFmt w:val="lowerLetter"/>
      <w:lvlText w:val="%4)"/>
      <w:lvlJc w:val="left"/>
      <w:pPr>
        <w:tabs>
          <w:tab w:val="num" w:pos="1418"/>
        </w:tabs>
        <w:ind w:left="1418" w:hanging="567"/>
      </w:pPr>
      <w:rPr/>
    </w:lvl>
    <w:lvl w:ilvl="4">
      <w:start w:val="1"/>
      <w:numFmt w:val="decimal"/>
      <w:lvlText w:val="%1.%2.%3.%4.%5"/>
      <w:lvlJc w:val="left"/>
      <w:pPr>
        <w:tabs>
          <w:tab w:val="num" w:pos="1008"/>
        </w:tabs>
        <w:ind w:left="1008" w:hanging="1008"/>
      </w:pPr>
      <w:rPr/>
    </w:lvl>
    <w:lvl w:ilvl="5">
      <w:start w:val="1"/>
      <w:numFmt w:val="decimal"/>
      <w:lvlText w:val="%1.%2.%3.%4.%5.%6"/>
      <w:lvlJc w:val="left"/>
      <w:pPr>
        <w:tabs>
          <w:tab w:val="num" w:pos="1152"/>
        </w:tabs>
        <w:ind w:left="1152" w:hanging="1152"/>
      </w:pPr>
      <w:rPr/>
    </w:lvl>
    <w:lvl w:ilvl="6">
      <w:start w:val="1"/>
      <w:numFmt w:val="decimal"/>
      <w:lvlText w:val="%1.%2.%3.%4.%5.%6.%7"/>
      <w:lvlJc w:val="left"/>
      <w:pPr>
        <w:tabs>
          <w:tab w:val="num" w:pos="1296"/>
        </w:tabs>
        <w:ind w:left="1296" w:hanging="1296"/>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584"/>
        </w:tabs>
        <w:ind w:left="1584" w:hanging="1584"/>
      </w:pPr>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283"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4">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6">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7">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lvl w:ilvl="0">
      <w:start w:val="1"/>
      <w:numFmt w:val="bullet"/>
      <w:lvlText w:val=""/>
      <w:lvlJc w:val="left"/>
      <w:pPr>
        <w:tabs>
          <w:tab w:val="num" w:pos="0"/>
        </w:tabs>
        <w:ind w:left="163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bullet"/>
      <w:lvlText w:val=""/>
      <w:lvlJc w:val="left"/>
      <w:pPr>
        <w:tabs>
          <w:tab w:val="num" w:pos="0"/>
        </w:tabs>
        <w:ind w:left="720" w:hanging="360"/>
      </w:pPr>
      <w:rPr>
        <w:rFonts w:ascii="Symbol" w:hAnsi="Symbol" w:cs="Symbol" w:hint="default"/>
        <w:u w:val="none"/>
        <w:color w:val="auto"/>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decimal"/>
      <w:lvlText w:val="%1."/>
      <w:lvlJc w:val="left"/>
      <w:pPr>
        <w:tabs>
          <w:tab w:val="num" w:pos="0"/>
        </w:tabs>
        <w:ind w:left="720" w:hanging="360"/>
      </w:pPr>
      <w:rPr/>
    </w:lvl>
    <w:lvl w:ilvl="1">
      <w:start w:val="1"/>
      <w:numFmt w:val="decimal"/>
      <w:lvlText w:val="%2."/>
      <w:lvlJc w:val="left"/>
      <w:pPr>
        <w:tabs>
          <w:tab w:val="num" w:pos="0"/>
        </w:tabs>
        <w:ind w:left="1430" w:hanging="720"/>
      </w:pPr>
      <w:rPr/>
    </w:lvl>
    <w:lvl w:ilvl="2">
      <w:start w:val="1"/>
      <w:numFmt w:val="decimal"/>
      <w:lvlText w:val="%1.%2.%3."/>
      <w:lvlJc w:val="left"/>
      <w:pPr>
        <w:tabs>
          <w:tab w:val="num" w:pos="0"/>
        </w:tabs>
        <w:ind w:left="1146" w:hanging="720"/>
      </w:pPr>
      <w:rPr>
        <w:b w:val="false"/>
      </w:rPr>
    </w:lvl>
    <w:lvl w:ilvl="3">
      <w:start w:val="1"/>
      <w:numFmt w:val="decimal"/>
      <w:lvlText w:val="%1.%2.%3.%4."/>
      <w:lvlJc w:val="left"/>
      <w:pPr>
        <w:tabs>
          <w:tab w:val="num" w:pos="0"/>
        </w:tabs>
        <w:ind w:left="1506"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24">
    <w:lvl w:ilvl="0">
      <w:start w:val="9"/>
      <w:numFmt w:val="decimal"/>
      <w:lvlText w:val="%1."/>
      <w:lvlJc w:val="left"/>
      <w:pPr>
        <w:tabs>
          <w:tab w:val="num" w:pos="0"/>
        </w:tabs>
        <w:ind w:left="450" w:hanging="450"/>
      </w:pPr>
      <w:rPr/>
    </w:lvl>
    <w:lvl w:ilvl="1">
      <w:start w:val="1"/>
      <w:numFmt w:val="decimal"/>
      <w:lvlText w:val="%1.%2."/>
      <w:lvlJc w:val="left"/>
      <w:pPr>
        <w:tabs>
          <w:tab w:val="num" w:pos="0"/>
        </w:tabs>
        <w:ind w:left="2136" w:hanging="720"/>
      </w:pPr>
      <w:rPr/>
    </w:lvl>
    <w:lvl w:ilvl="2">
      <w:start w:val="1"/>
      <w:numFmt w:val="decimal"/>
      <w:lvlText w:val="%1.%2.%3."/>
      <w:lvlJc w:val="left"/>
      <w:pPr>
        <w:tabs>
          <w:tab w:val="num" w:pos="0"/>
        </w:tabs>
        <w:ind w:left="3552" w:hanging="720"/>
      </w:pPr>
      <w:rPr/>
    </w:lvl>
    <w:lvl w:ilvl="3">
      <w:start w:val="1"/>
      <w:numFmt w:val="decimal"/>
      <w:lvlText w:val="%1.%2.%3.%4."/>
      <w:lvlJc w:val="left"/>
      <w:pPr>
        <w:tabs>
          <w:tab w:val="num" w:pos="0"/>
        </w:tabs>
        <w:ind w:left="5328" w:hanging="1080"/>
      </w:pPr>
      <w:rPr/>
    </w:lvl>
    <w:lvl w:ilvl="4">
      <w:start w:val="1"/>
      <w:numFmt w:val="decimal"/>
      <w:lvlText w:val="%1.%2.%3.%4.%5."/>
      <w:lvlJc w:val="left"/>
      <w:pPr>
        <w:tabs>
          <w:tab w:val="num" w:pos="0"/>
        </w:tabs>
        <w:ind w:left="6744" w:hanging="1080"/>
      </w:pPr>
      <w:rPr/>
    </w:lvl>
    <w:lvl w:ilvl="5">
      <w:start w:val="1"/>
      <w:numFmt w:val="decimal"/>
      <w:lvlText w:val="%1.%2.%3.%4.%5.%6."/>
      <w:lvlJc w:val="left"/>
      <w:pPr>
        <w:tabs>
          <w:tab w:val="num" w:pos="0"/>
        </w:tabs>
        <w:ind w:left="8520" w:hanging="1440"/>
      </w:pPr>
      <w:rPr/>
    </w:lvl>
    <w:lvl w:ilvl="6">
      <w:start w:val="1"/>
      <w:numFmt w:val="decimal"/>
      <w:lvlText w:val="%1.%2.%3.%4.%5.%6.%7."/>
      <w:lvlJc w:val="left"/>
      <w:pPr>
        <w:tabs>
          <w:tab w:val="num" w:pos="0"/>
        </w:tabs>
        <w:ind w:left="10296" w:hanging="1800"/>
      </w:pPr>
      <w:rPr/>
    </w:lvl>
    <w:lvl w:ilvl="7">
      <w:start w:val="1"/>
      <w:numFmt w:val="decimal"/>
      <w:lvlText w:val="%1.%2.%3.%4.%5.%6.%7.%8."/>
      <w:lvlJc w:val="left"/>
      <w:pPr>
        <w:tabs>
          <w:tab w:val="num" w:pos="0"/>
        </w:tabs>
        <w:ind w:left="11712" w:hanging="1800"/>
      </w:pPr>
      <w:rPr/>
    </w:lvl>
    <w:lvl w:ilvl="8">
      <w:start w:val="1"/>
      <w:numFmt w:val="decimal"/>
      <w:lvlText w:val="%1.%2.%3.%4.%5.%6.%7.%8.%9."/>
      <w:lvlJc w:val="left"/>
      <w:pPr>
        <w:tabs>
          <w:tab w:val="num" w:pos="0"/>
        </w:tabs>
        <w:ind w:left="13488" w:hanging="21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writeProtection w:cryptProviderType="rsaAES" w:cryptAlgorithmClass="hash" w:cryptAlgorithmType="typeAny" w:cryptAlgorithmSid="14" w:cryptSpinCount="100000" w:hash="aM30BR0bezBYmHMZtJS/Twg5wVD8NguypNwWBMFFDitHZFlBUrYdWg9PzUdiTVr6fojWulxcsKzc3uL6gqXZEQ==" w:salt="+SYetLueirKS2YeipoI+jw=="/>
  <w:zoom w:percent="100"/>
  <w:revisionView w:insDel="0" w:formatting="0"/>
  <w:embedSystemFonts/>
  <w:defaultTabStop w:val="709"/>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semiHidden="1" w:unhideWhenUsed="1"/>
    <w:lsdException w:name="Body Text Indent 3" w:uiPriority="0"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16193c"/>
    <w:pPr>
      <w:widowControl/>
      <w:suppressAutoHyphens w:val="true"/>
      <w:bidi w:val="0"/>
      <w:spacing w:lineRule="auto" w:line="360" w:before="0" w:after="0"/>
      <w:ind w:firstLine="567"/>
      <w:jc w:val="both"/>
    </w:pPr>
    <w:rPr>
      <w:rFonts w:ascii="Times New Roman" w:hAnsi="Times New Roman" w:eastAsia="Times New Roman" w:cs="Times New Roman"/>
      <w:color w:val="auto"/>
      <w:kern w:val="0"/>
      <w:sz w:val="28"/>
      <w:szCs w:val="28"/>
      <w:lang w:val="ru-RU" w:eastAsia="ru-RU" w:bidi="ar-SA"/>
    </w:rPr>
  </w:style>
  <w:style w:type="paragraph" w:styleId="Heading1">
    <w:name w:val="Heading 1"/>
    <w:basedOn w:val="Normal"/>
    <w:next w:val="Normal"/>
    <w:link w:val="11"/>
    <w:qFormat/>
    <w:rsid w:val="00ae674d"/>
    <w:pPr>
      <w:keepNext w:val="true"/>
      <w:spacing w:before="240" w:after="60"/>
      <w:outlineLvl w:val="0"/>
    </w:pPr>
    <w:rPr>
      <w:rFonts w:ascii="Cambria" w:hAnsi="Cambria"/>
      <w:b/>
      <w:bCs/>
      <w:kern w:val="2"/>
      <w:sz w:val="32"/>
      <w:szCs w:val="32"/>
      <w:lang w:val="x-none" w:eastAsia="x-none"/>
    </w:rPr>
  </w:style>
  <w:style w:type="paragraph" w:styleId="Heading2">
    <w:name w:val="Heading 2"/>
    <w:basedOn w:val="Normal"/>
    <w:next w:val="Normal"/>
    <w:link w:val="2"/>
    <w:qFormat/>
    <w:rsid w:val="00ae674d"/>
    <w:pPr>
      <w:keepNext w:val="true"/>
      <w:spacing w:before="240" w:after="60"/>
      <w:outlineLvl w:val="1"/>
    </w:pPr>
    <w:rPr>
      <w:rFonts w:ascii="Cambria" w:hAnsi="Cambria"/>
      <w:b/>
      <w:bCs/>
      <w:i/>
      <w:iCs/>
      <w:lang w:val="x-none" w:eastAsia="x-none"/>
    </w:rPr>
  </w:style>
  <w:style w:type="paragraph" w:styleId="Heading3">
    <w:name w:val="Heading 3"/>
    <w:basedOn w:val="Normal"/>
    <w:next w:val="Normal"/>
    <w:link w:val="3"/>
    <w:uiPriority w:val="9"/>
    <w:qFormat/>
    <w:rsid w:val="005f3f9e"/>
    <w:pPr>
      <w:keepNext w:val="true"/>
      <w:spacing w:lineRule="auto" w:line="240" w:before="120" w:after="120"/>
      <w:ind w:hanging="0"/>
      <w:jc w:val="left"/>
      <w:outlineLvl w:val="2"/>
    </w:pPr>
    <w:rPr>
      <w:b/>
      <w:szCs w:val="20"/>
      <w:lang w:val="x-none" w:eastAsia="x-none"/>
    </w:rPr>
  </w:style>
  <w:style w:type="character" w:styleId="DefaultParagraphFont" w:default="1">
    <w:name w:val="Default Paragraph Font"/>
    <w:uiPriority w:val="1"/>
    <w:semiHidden/>
    <w:unhideWhenUsed/>
    <w:qFormat/>
    <w:rPr/>
  </w:style>
  <w:style w:type="character" w:styleId="Style6" w:customStyle="1">
    <w:name w:val="Символ сноски"/>
    <w:qFormat/>
    <w:rsid w:val="00d45657"/>
    <w:rPr>
      <w:vertAlign w:val="superscript"/>
    </w:rPr>
  </w:style>
  <w:style w:type="character" w:styleId="FootnoteReference">
    <w:name w:val="Footnote Reference"/>
    <w:rPr>
      <w:vertAlign w:val="superscript"/>
    </w:rPr>
  </w:style>
  <w:style w:type="character" w:styleId="3" w:customStyle="1">
    <w:name w:val="Заголовок 3 Знак"/>
    <w:qFormat/>
    <w:rsid w:val="005f3f9e"/>
    <w:rPr>
      <w:b/>
      <w:sz w:val="28"/>
    </w:rPr>
  </w:style>
  <w:style w:type="character" w:styleId="31" w:customStyle="1">
    <w:name w:val="3. Подпункт Знак"/>
    <w:link w:val="33"/>
    <w:qFormat/>
    <w:rsid w:val="005f4a86"/>
    <w:rPr>
      <w:b/>
      <w:bCs/>
      <w:sz w:val="24"/>
      <w:szCs w:val="24"/>
      <w:lang w:val="x-none" w:eastAsia="x-none"/>
    </w:rPr>
  </w:style>
  <w:style w:type="character" w:styleId="Style7" w:customStyle="1">
    <w:name w:val="Текст выноски Знак"/>
    <w:link w:val="BalloonText"/>
    <w:qFormat/>
    <w:rsid w:val="00dc2b59"/>
    <w:rPr>
      <w:rFonts w:ascii="Tahoma" w:hAnsi="Tahoma" w:cs="Tahoma"/>
      <w:sz w:val="16"/>
      <w:szCs w:val="16"/>
    </w:rPr>
  </w:style>
  <w:style w:type="character" w:styleId="1" w:customStyle="1">
    <w:name w:val="1. Статья Знак"/>
    <w:link w:val="12"/>
    <w:qFormat/>
    <w:rsid w:val="00f50d64"/>
    <w:rPr>
      <w:sz w:val="24"/>
      <w:szCs w:val="24"/>
      <w:lang w:val="x-none" w:eastAsia="x-none"/>
    </w:rPr>
  </w:style>
  <w:style w:type="character" w:styleId="4" w:customStyle="1">
    <w:name w:val="4. Отчерк Знак"/>
    <w:link w:val="41"/>
    <w:qFormat/>
    <w:rsid w:val="00f50d64"/>
    <w:rPr>
      <w:sz w:val="24"/>
      <w:szCs w:val="24"/>
      <w:lang w:val="x-none" w:eastAsia="x-none"/>
    </w:rPr>
  </w:style>
  <w:style w:type="character" w:styleId="Annotationreference">
    <w:name w:val="annotation reference"/>
    <w:qFormat/>
    <w:rsid w:val="00f50d64"/>
    <w:rPr>
      <w:sz w:val="16"/>
      <w:szCs w:val="16"/>
    </w:rPr>
  </w:style>
  <w:style w:type="character" w:styleId="Style8" w:customStyle="1">
    <w:name w:val="Текст примечания Знак"/>
    <w:link w:val="Annotationtext"/>
    <w:qFormat/>
    <w:rsid w:val="00f50d64"/>
    <w:rPr/>
  </w:style>
  <w:style w:type="character" w:styleId="Style9" w:customStyle="1">
    <w:name w:val="Тема примечания Знак"/>
    <w:link w:val="Annotationsubject"/>
    <w:qFormat/>
    <w:rsid w:val="00f50d64"/>
    <w:rPr>
      <w:b/>
      <w:bCs/>
    </w:rPr>
  </w:style>
  <w:style w:type="character" w:styleId="Style10" w:customStyle="1">
    <w:name w:val="Нижний колонтитул Знак"/>
    <w:uiPriority w:val="99"/>
    <w:qFormat/>
    <w:rsid w:val="0043217c"/>
    <w:rPr>
      <w:sz w:val="28"/>
      <w:szCs w:val="28"/>
    </w:rPr>
  </w:style>
  <w:style w:type="character" w:styleId="32" w:customStyle="1">
    <w:name w:val="Основной текст 3 Знак"/>
    <w:link w:val="BodyText3"/>
    <w:qFormat/>
    <w:rsid w:val="001d2676"/>
    <w:rPr>
      <w:color w:val="0000FF"/>
      <w:sz w:val="24"/>
      <w:szCs w:val="24"/>
      <w:lang w:eastAsia="en-US"/>
    </w:rPr>
  </w:style>
  <w:style w:type="character" w:styleId="Style11" w:customStyle="1">
    <w:name w:val="Заголовок Знак"/>
    <w:link w:val="13"/>
    <w:qFormat/>
    <w:rsid w:val="00ae674d"/>
    <w:rPr>
      <w:b/>
      <w:sz w:val="22"/>
      <w:szCs w:val="22"/>
      <w:shd w:fill="FFFFFF" w:val="clear"/>
    </w:rPr>
  </w:style>
  <w:style w:type="character" w:styleId="11" w:customStyle="1">
    <w:name w:val="Заголовок 1 Знак"/>
    <w:qFormat/>
    <w:rsid w:val="00ae674d"/>
    <w:rPr>
      <w:rFonts w:ascii="Cambria" w:hAnsi="Cambria" w:eastAsia="Times New Roman" w:cs="Times New Roman"/>
      <w:b/>
      <w:bCs/>
      <w:kern w:val="2"/>
      <w:sz w:val="32"/>
      <w:szCs w:val="32"/>
    </w:rPr>
  </w:style>
  <w:style w:type="character" w:styleId="2" w:customStyle="1">
    <w:name w:val="Заголовок 2 Знак"/>
    <w:semiHidden/>
    <w:qFormat/>
    <w:rsid w:val="00ae674d"/>
    <w:rPr>
      <w:rFonts w:ascii="Cambria" w:hAnsi="Cambria" w:eastAsia="Times New Roman" w:cs="Times New Roman"/>
      <w:b/>
      <w:bCs/>
      <w:i/>
      <w:iCs/>
      <w:sz w:val="28"/>
      <w:szCs w:val="28"/>
    </w:rPr>
  </w:style>
  <w:style w:type="character" w:styleId="Style12" w:customStyle="1">
    <w:name w:val="Основной текст с отступом Знак"/>
    <w:qFormat/>
    <w:rsid w:val="00ae674d"/>
    <w:rPr>
      <w:sz w:val="28"/>
      <w:szCs w:val="28"/>
    </w:rPr>
  </w:style>
  <w:style w:type="character" w:styleId="FontStyle16" w:customStyle="1">
    <w:name w:val="Font Style16"/>
    <w:qFormat/>
    <w:rsid w:val="00204c48"/>
    <w:rPr>
      <w:rFonts w:ascii="Times New Roman" w:hAnsi="Times New Roman" w:cs="Times New Roman"/>
      <w:sz w:val="24"/>
      <w:szCs w:val="24"/>
    </w:rPr>
  </w:style>
  <w:style w:type="character" w:styleId="Style13" w:customStyle="1">
    <w:name w:val="Текст сноски Знак"/>
    <w:uiPriority w:val="99"/>
    <w:qFormat/>
    <w:rsid w:val="00f43f0d"/>
    <w:rPr/>
  </w:style>
  <w:style w:type="character" w:styleId="Hyperlink">
    <w:name w:val="Hyperlink"/>
    <w:unhideWhenUsed/>
    <w:rsid w:val="00ee68c6"/>
    <w:rPr>
      <w:color w:val="0000FF"/>
      <w:u w:val="single"/>
    </w:rPr>
  </w:style>
  <w:style w:type="character" w:styleId="Style14" w:customStyle="1">
    <w:name w:val="Текст концевой сноски Знак"/>
    <w:uiPriority w:val="99"/>
    <w:semiHidden/>
    <w:qFormat/>
    <w:rsid w:val="008c02d8"/>
    <w:rPr/>
  </w:style>
  <w:style w:type="character" w:styleId="Style15" w:customStyle="1">
    <w:name w:val="Символ концевой сноски"/>
    <w:uiPriority w:val="99"/>
    <w:semiHidden/>
    <w:unhideWhenUsed/>
    <w:qFormat/>
    <w:rsid w:val="008c02d8"/>
    <w:rPr>
      <w:vertAlign w:val="superscript"/>
    </w:rPr>
  </w:style>
  <w:style w:type="character" w:styleId="EndnoteReference">
    <w:name w:val="Endnote Reference"/>
    <w:rPr>
      <w:vertAlign w:val="superscript"/>
    </w:rPr>
  </w:style>
  <w:style w:type="character" w:styleId="Style16" w:customStyle="1">
    <w:name w:val="Абзац списка Знак"/>
    <w:link w:val="ListParagraph"/>
    <w:uiPriority w:val="34"/>
    <w:qFormat/>
    <w:locked/>
    <w:rsid w:val="00b26b9c"/>
    <w:rPr>
      <w:sz w:val="24"/>
      <w:szCs w:val="24"/>
    </w:rPr>
  </w:style>
  <w:style w:type="character" w:styleId="Linenumber1" w:customStyle="1">
    <w:name w:val="line number1"/>
    <w:qFormat/>
    <w:rPr/>
  </w:style>
  <w:style w:type="character" w:styleId="FollowedHyperlink">
    <w:name w:val="FollowedHyperlink"/>
    <w:rPr>
      <w:color w:val="800000"/>
      <w:u w:val="single"/>
    </w:rPr>
  </w:style>
  <w:style w:type="character" w:styleId="Linenumber2" w:customStyle="1">
    <w:name w:val="line number2"/>
    <w:qFormat/>
    <w:rPr/>
  </w:style>
  <w:style w:type="character" w:styleId="Linenumber">
    <w:name w:val="line number"/>
    <w:qFormat/>
    <w:rPr/>
  </w:style>
  <w:style w:type="paragraph" w:styleId="Style17">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rsid w:val="004b090f"/>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8">
    <w:name w:val="Указатель"/>
    <w:basedOn w:val="Normal"/>
    <w:qFormat/>
    <w:pPr>
      <w:suppressLineNumbers/>
    </w:pPr>
    <w:rPr/>
  </w:style>
  <w:style w:type="paragraph" w:styleId="Title">
    <w:name w:val="Title"/>
    <w:basedOn w:val="Normal"/>
    <w:next w:val="BodyText"/>
    <w:qFormat/>
    <w:pPr>
      <w:keepNext w:val="true"/>
      <w:spacing w:before="240" w:after="120"/>
    </w:pPr>
    <w:rPr>
      <w:rFonts w:ascii="Liberation Sans" w:hAnsi="Liberation Sans" w:eastAsia="Arial Unicode M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style>
  <w:style w:type="paragraph" w:styleId="Caption11" w:customStyle="1">
    <w:name w:val="caption11"/>
    <w:basedOn w:val="Normal"/>
    <w:qFormat/>
    <w:pPr>
      <w:suppressLineNumbers/>
      <w:spacing w:before="120" w:after="120"/>
    </w:pPr>
    <w:rPr>
      <w:i/>
      <w:iCs/>
      <w:sz w:val="24"/>
      <w:szCs w:val="24"/>
    </w:rPr>
  </w:style>
  <w:style w:type="paragraph" w:styleId="Caption111" w:customStyle="1">
    <w:name w:val="caption111"/>
    <w:basedOn w:val="Normal"/>
    <w:qFormat/>
    <w:pPr>
      <w:suppressLineNumbers/>
      <w:spacing w:before="120" w:after="120"/>
    </w:pPr>
    <w:rPr>
      <w:i/>
      <w:iCs/>
      <w:sz w:val="24"/>
      <w:szCs w:val="24"/>
    </w:rPr>
  </w:style>
  <w:style w:type="paragraph" w:styleId="BodyText3">
    <w:name w:val="Body Text 3"/>
    <w:basedOn w:val="Normal"/>
    <w:link w:val="32"/>
    <w:qFormat/>
    <w:rsid w:val="004b090f"/>
    <w:pPr>
      <w:spacing w:lineRule="auto" w:line="240"/>
      <w:ind w:hanging="0"/>
    </w:pPr>
    <w:rPr>
      <w:color w:val="0000FF"/>
      <w:sz w:val="24"/>
      <w:szCs w:val="24"/>
      <w:lang w:val="x-none" w:eastAsia="en-US"/>
    </w:rPr>
  </w:style>
  <w:style w:type="paragraph" w:styleId="Style19" w:customStyle="1">
    <w:name w:val="Колонтитул"/>
    <w:basedOn w:val="Normal"/>
    <w:qFormat/>
    <w:pPr/>
    <w:rPr/>
  </w:style>
  <w:style w:type="paragraph" w:styleId="Header">
    <w:name w:val="Header"/>
    <w:basedOn w:val="Normal"/>
    <w:rsid w:val="004b090f"/>
    <w:pPr>
      <w:tabs>
        <w:tab w:val="clear" w:pos="709"/>
        <w:tab w:val="center" w:pos="4677" w:leader="none"/>
        <w:tab w:val="right" w:pos="9355" w:leader="none"/>
      </w:tabs>
    </w:pPr>
    <w:rPr/>
  </w:style>
  <w:style w:type="paragraph" w:styleId="Style110" w:customStyle="1">
    <w:name w:val="Style1"/>
    <w:basedOn w:val="Normal"/>
    <w:autoRedefine/>
    <w:qFormat/>
    <w:rsid w:val="004b090f"/>
    <w:pPr>
      <w:spacing w:lineRule="auto" w:line="240" w:before="240" w:after="0"/>
      <w:ind w:hanging="0"/>
      <w:jc w:val="left"/>
    </w:pPr>
    <w:rPr>
      <w:b/>
      <w:sz w:val="22"/>
      <w:szCs w:val="20"/>
    </w:rPr>
  </w:style>
  <w:style w:type="paragraph" w:styleId="BodyText2">
    <w:name w:val="Body Text 2"/>
    <w:basedOn w:val="Normal"/>
    <w:qFormat/>
    <w:rsid w:val="004b090f"/>
    <w:pPr>
      <w:widowControl w:val="false"/>
      <w:spacing w:lineRule="auto" w:line="480" w:before="0" w:after="120"/>
      <w:ind w:hanging="0"/>
      <w:jc w:val="left"/>
    </w:pPr>
    <w:rPr>
      <w:sz w:val="20"/>
      <w:szCs w:val="20"/>
    </w:rPr>
  </w:style>
  <w:style w:type="paragraph" w:styleId="Style20" w:customStyle="1">
    <w:name w:val="Знак"/>
    <w:basedOn w:val="Normal"/>
    <w:qFormat/>
    <w:rsid w:val="000873ec"/>
    <w:pPr>
      <w:spacing w:lineRule="exact" w:line="240" w:before="0" w:after="160"/>
      <w:ind w:hanging="0"/>
      <w:jc w:val="left"/>
    </w:pPr>
    <w:rPr>
      <w:rFonts w:ascii="Verdana" w:hAnsi="Verdana" w:cs="Verdana"/>
      <w:sz w:val="20"/>
      <w:szCs w:val="20"/>
      <w:lang w:val="en-US" w:eastAsia="en-US"/>
    </w:rPr>
  </w:style>
  <w:style w:type="paragraph" w:styleId="FootnoteText">
    <w:name w:val="Footnote Text"/>
    <w:basedOn w:val="Normal"/>
    <w:link w:val="Style13"/>
    <w:uiPriority w:val="99"/>
    <w:rsid w:val="00d45657"/>
    <w:pPr>
      <w:spacing w:lineRule="auto" w:line="240"/>
      <w:ind w:hanging="0"/>
      <w:jc w:val="left"/>
    </w:pPr>
    <w:rPr>
      <w:sz w:val="20"/>
      <w:szCs w:val="20"/>
    </w:rPr>
  </w:style>
  <w:style w:type="paragraph" w:styleId="Style21" w:customStyle="1">
    <w:name w:val="Знак Знак Знак Знак Знак Знак Знак"/>
    <w:basedOn w:val="Normal"/>
    <w:qFormat/>
    <w:rsid w:val="00773634"/>
    <w:pPr>
      <w:spacing w:lineRule="exact" w:line="240" w:before="0" w:after="160"/>
      <w:ind w:hanging="0"/>
      <w:jc w:val="left"/>
    </w:pPr>
    <w:rPr>
      <w:rFonts w:ascii="Verdana" w:hAnsi="Verdana" w:cs="Verdana"/>
      <w:sz w:val="20"/>
      <w:szCs w:val="20"/>
      <w:lang w:val="en-US" w:eastAsia="en-US"/>
    </w:rPr>
  </w:style>
  <w:style w:type="paragraph" w:styleId="21" w:customStyle="1">
    <w:name w:val="Знак2"/>
    <w:basedOn w:val="Normal"/>
    <w:qFormat/>
    <w:rsid w:val="00f65662"/>
    <w:pPr>
      <w:spacing w:lineRule="exact" w:line="240" w:before="0" w:after="160"/>
      <w:ind w:hanging="0"/>
      <w:jc w:val="left"/>
    </w:pPr>
    <w:rPr>
      <w:rFonts w:ascii="Verdana" w:hAnsi="Verdana" w:cs="Verdana"/>
      <w:sz w:val="20"/>
      <w:szCs w:val="20"/>
      <w:lang w:val="en-US" w:eastAsia="en-US"/>
    </w:rPr>
  </w:style>
  <w:style w:type="paragraph" w:styleId="Style22" w:customStyle="1">
    <w:name w:val="Знак Знак Знак Знак Знак Знак Знак Знак Знак"/>
    <w:basedOn w:val="Normal"/>
    <w:qFormat/>
    <w:rsid w:val="007c5ecd"/>
    <w:pPr>
      <w:spacing w:lineRule="exact" w:line="240" w:before="0" w:after="160"/>
      <w:ind w:hanging="0"/>
    </w:pPr>
    <w:rPr>
      <w:rFonts w:ascii="Verdana" w:hAnsi="Verdana"/>
      <w:sz w:val="22"/>
      <w:szCs w:val="20"/>
      <w:lang w:val="en-US" w:eastAsia="en-US"/>
    </w:rPr>
  </w:style>
  <w:style w:type="paragraph" w:styleId="Style23" w:customStyle="1">
    <w:name w:val="Пункт договора"/>
    <w:basedOn w:val="Normal"/>
    <w:qFormat/>
    <w:rsid w:val="004d4328"/>
    <w:pPr>
      <w:widowControl w:val="false"/>
      <w:spacing w:lineRule="auto" w:line="240"/>
      <w:ind w:hanging="0"/>
    </w:pPr>
    <w:rPr>
      <w:rFonts w:ascii="Arial" w:hAnsi="Arial"/>
      <w:sz w:val="20"/>
      <w:szCs w:val="20"/>
    </w:rPr>
  </w:style>
  <w:style w:type="paragraph" w:styleId="Style24" w:customStyle="1">
    <w:name w:val="Подпункт договора"/>
    <w:basedOn w:val="Normal"/>
    <w:qFormat/>
    <w:rsid w:val="00617a62"/>
    <w:pPr>
      <w:tabs>
        <w:tab w:val="clear" w:pos="709"/>
        <w:tab w:val="left" w:pos="360" w:leader="none"/>
      </w:tabs>
      <w:spacing w:lineRule="auto" w:line="240"/>
      <w:ind w:hanging="0"/>
    </w:pPr>
    <w:rPr>
      <w:rFonts w:ascii="Arial" w:hAnsi="Arial"/>
      <w:sz w:val="20"/>
      <w:szCs w:val="20"/>
    </w:rPr>
  </w:style>
  <w:style w:type="paragraph" w:styleId="BodyTextIndent3">
    <w:name w:val="Body Text Indent 3"/>
    <w:basedOn w:val="Normal"/>
    <w:qFormat/>
    <w:rsid w:val="006329b9"/>
    <w:pPr>
      <w:spacing w:before="0" w:after="120"/>
      <w:ind w:left="283" w:firstLine="567"/>
    </w:pPr>
    <w:rPr>
      <w:sz w:val="16"/>
      <w:szCs w:val="16"/>
    </w:rPr>
  </w:style>
  <w:style w:type="paragraph" w:styleId="ListParagraph">
    <w:name w:val="List Paragraph"/>
    <w:basedOn w:val="Normal"/>
    <w:link w:val="Style16"/>
    <w:uiPriority w:val="34"/>
    <w:qFormat/>
    <w:rsid w:val="005f3f9e"/>
    <w:pPr>
      <w:spacing w:lineRule="auto" w:line="240" w:before="0" w:after="0"/>
      <w:ind w:left="720" w:hanging="0"/>
      <w:contextualSpacing/>
      <w:jc w:val="left"/>
    </w:pPr>
    <w:rPr>
      <w:sz w:val="24"/>
      <w:szCs w:val="24"/>
    </w:rPr>
  </w:style>
  <w:style w:type="paragraph" w:styleId="12" w:customStyle="1">
    <w:name w:val="1. Статья"/>
    <w:basedOn w:val="Heading3"/>
    <w:link w:val="1"/>
    <w:qFormat/>
    <w:rsid w:val="005f4a86"/>
    <w:pPr>
      <w:keepNext w:val="false"/>
      <w:widowControl w:val="false"/>
      <w:numPr>
        <w:ilvl w:val="0"/>
        <w:numId w:val="2"/>
      </w:numPr>
      <w:tabs>
        <w:tab w:val="clear" w:pos="709"/>
        <w:tab w:val="left" w:pos="2340" w:leader="none"/>
      </w:tabs>
      <w:suppressAutoHyphens w:val="false"/>
      <w:spacing w:before="0" w:after="0"/>
      <w:ind w:right="1462" w:hanging="0"/>
      <w:jc w:val="center"/>
      <w:textAlignment w:val="baseline"/>
    </w:pPr>
    <w:rPr>
      <w:b w:val="false"/>
      <w:sz w:val="24"/>
      <w:szCs w:val="24"/>
    </w:rPr>
  </w:style>
  <w:style w:type="paragraph" w:styleId="22" w:customStyle="1">
    <w:name w:val="2. Пункт"/>
    <w:basedOn w:val="Heading3"/>
    <w:qFormat/>
    <w:rsid w:val="005f4a86"/>
    <w:pPr>
      <w:keepNext w:val="false"/>
      <w:widowControl w:val="false"/>
      <w:numPr>
        <w:ilvl w:val="1"/>
        <w:numId w:val="2"/>
      </w:numPr>
      <w:suppressAutoHyphens w:val="false"/>
      <w:spacing w:before="0" w:after="0"/>
      <w:jc w:val="both"/>
      <w:textAlignment w:val="baseline"/>
    </w:pPr>
    <w:rPr>
      <w:b w:val="false"/>
      <w:sz w:val="24"/>
      <w:szCs w:val="24"/>
    </w:rPr>
  </w:style>
  <w:style w:type="paragraph" w:styleId="33" w:customStyle="1">
    <w:name w:val="3. Подпункт"/>
    <w:basedOn w:val="Heading3"/>
    <w:link w:val="31"/>
    <w:qFormat/>
    <w:rsid w:val="005f4a86"/>
    <w:pPr>
      <w:keepNext w:val="false"/>
      <w:widowControl w:val="false"/>
      <w:numPr>
        <w:ilvl w:val="2"/>
        <w:numId w:val="2"/>
      </w:numPr>
      <w:tabs>
        <w:tab w:val="clear" w:pos="709"/>
        <w:tab w:val="left" w:pos="1620" w:leader="none"/>
      </w:tabs>
      <w:suppressAutoHyphens w:val="false"/>
      <w:spacing w:before="0" w:after="0"/>
      <w:jc w:val="both"/>
      <w:textAlignment w:val="baseline"/>
    </w:pPr>
    <w:rPr>
      <w:bCs/>
      <w:sz w:val="24"/>
      <w:szCs w:val="24"/>
    </w:rPr>
  </w:style>
  <w:style w:type="paragraph" w:styleId="ConsNormal" w:customStyle="1">
    <w:name w:val="ConsNormal"/>
    <w:qFormat/>
    <w:rsid w:val="008a113a"/>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BalloonText">
    <w:name w:val="Balloon Text"/>
    <w:basedOn w:val="Normal"/>
    <w:link w:val="Style7"/>
    <w:qFormat/>
    <w:rsid w:val="00dc2b59"/>
    <w:pPr>
      <w:spacing w:lineRule="auto" w:line="240"/>
    </w:pPr>
    <w:rPr>
      <w:rFonts w:ascii="Tahoma" w:hAnsi="Tahoma"/>
      <w:sz w:val="16"/>
      <w:szCs w:val="16"/>
      <w:lang w:val="x-none" w:eastAsia="x-none"/>
    </w:rPr>
  </w:style>
  <w:style w:type="paragraph" w:styleId="41" w:customStyle="1">
    <w:name w:val="4. Отчерк"/>
    <w:basedOn w:val="Normal"/>
    <w:link w:val="4"/>
    <w:qFormat/>
    <w:rsid w:val="00f50d64"/>
    <w:pPr>
      <w:widowControl w:val="false"/>
      <w:numPr>
        <w:ilvl w:val="0"/>
        <w:numId w:val="3"/>
      </w:numPr>
      <w:spacing w:lineRule="auto" w:line="240"/>
    </w:pPr>
    <w:rPr>
      <w:sz w:val="24"/>
      <w:szCs w:val="24"/>
      <w:lang w:val="x-none" w:eastAsia="x-none"/>
    </w:rPr>
  </w:style>
  <w:style w:type="paragraph" w:styleId="Annotationtext">
    <w:name w:val="annotation text"/>
    <w:basedOn w:val="Normal"/>
    <w:link w:val="Style8"/>
    <w:qFormat/>
    <w:rsid w:val="00f50d64"/>
    <w:pPr>
      <w:spacing w:lineRule="auto" w:line="240"/>
    </w:pPr>
    <w:rPr>
      <w:sz w:val="20"/>
      <w:szCs w:val="20"/>
      <w:lang w:val="x-none" w:eastAsia="x-none"/>
    </w:rPr>
  </w:style>
  <w:style w:type="paragraph" w:styleId="Annotationsubject">
    <w:name w:val="annotation subject"/>
    <w:basedOn w:val="Annotationtext"/>
    <w:next w:val="Annotationtext"/>
    <w:link w:val="Style9"/>
    <w:qFormat/>
    <w:rsid w:val="00f50d64"/>
    <w:pPr/>
    <w:rPr>
      <w:b/>
      <w:bCs/>
    </w:rPr>
  </w:style>
  <w:style w:type="paragraph" w:styleId="Footer">
    <w:name w:val="Footer"/>
    <w:basedOn w:val="Normal"/>
    <w:link w:val="Style10"/>
    <w:uiPriority w:val="99"/>
    <w:rsid w:val="0043217c"/>
    <w:pPr>
      <w:tabs>
        <w:tab w:val="clear" w:pos="709"/>
        <w:tab w:val="center" w:pos="4677" w:leader="none"/>
        <w:tab w:val="right" w:pos="9355" w:leader="none"/>
      </w:tabs>
      <w:spacing w:lineRule="auto" w:line="240"/>
    </w:pPr>
    <w:rPr>
      <w:lang w:val="x-none" w:eastAsia="x-none"/>
    </w:rPr>
  </w:style>
  <w:style w:type="paragraph" w:styleId="Revision">
    <w:name w:val="Revision"/>
    <w:uiPriority w:val="99"/>
    <w:semiHidden/>
    <w:qFormat/>
    <w:rsid w:val="003003ef"/>
    <w:pPr>
      <w:widowControl/>
      <w:suppressAutoHyphens w:val="true"/>
      <w:bidi w:val="0"/>
      <w:spacing w:before="0" w:after="0"/>
      <w:jc w:val="left"/>
    </w:pPr>
    <w:rPr>
      <w:rFonts w:ascii="Times New Roman" w:hAnsi="Times New Roman" w:eastAsia="Times New Roman" w:cs="Times New Roman"/>
      <w:color w:val="auto"/>
      <w:kern w:val="0"/>
      <w:sz w:val="28"/>
      <w:szCs w:val="28"/>
      <w:lang w:val="ru-RU" w:eastAsia="ru-RU" w:bidi="ar-SA"/>
    </w:rPr>
  </w:style>
  <w:style w:type="paragraph" w:styleId="13" w:customStyle="1">
    <w:name w:val="Заголовок1"/>
    <w:basedOn w:val="Normal"/>
    <w:link w:val="Style11"/>
    <w:qFormat/>
    <w:rsid w:val="00ae674d"/>
    <w:pPr>
      <w:widowControl w:val="false"/>
      <w:spacing w:lineRule="auto" w:line="240" w:before="0" w:after="120"/>
      <w:ind w:hanging="0"/>
      <w:jc w:val="center"/>
      <w:textAlignment w:val="baseline"/>
    </w:pPr>
    <w:rPr>
      <w:b/>
      <w:bCs/>
      <w:sz w:val="32"/>
      <w:szCs w:val="20"/>
    </w:rPr>
  </w:style>
  <w:style w:type="paragraph" w:styleId="BodyTextIndent">
    <w:name w:val="Body Text Indent"/>
    <w:basedOn w:val="Normal"/>
    <w:link w:val="Style12"/>
    <w:rsid w:val="00ae674d"/>
    <w:pPr>
      <w:spacing w:before="0" w:after="120"/>
      <w:ind w:left="283" w:firstLine="567"/>
    </w:pPr>
    <w:rPr>
      <w:lang w:val="x-none" w:eastAsia="x-none"/>
    </w:rPr>
  </w:style>
  <w:style w:type="paragraph" w:styleId="333" w:customStyle="1">
    <w:name w:val="Пункт 3.3.3"/>
    <w:basedOn w:val="Normal"/>
    <w:qFormat/>
    <w:rsid w:val="00ae674d"/>
    <w:pPr>
      <w:keepNext w:val="true"/>
      <w:keepLines/>
      <w:widowControl w:val="false"/>
      <w:tabs>
        <w:tab w:val="clear" w:pos="709"/>
        <w:tab w:val="left" w:pos="920" w:leader="none"/>
      </w:tabs>
      <w:spacing w:lineRule="auto" w:line="240" w:before="240" w:after="240"/>
      <w:ind w:left="704" w:hanging="504"/>
      <w:jc w:val="left"/>
      <w:textAlignment w:val="baseline"/>
      <w:outlineLvl w:val="1"/>
    </w:pPr>
    <w:rPr>
      <w:sz w:val="24"/>
      <w:szCs w:val="20"/>
    </w:rPr>
  </w:style>
  <w:style w:type="paragraph" w:styleId="Caption1111" w:customStyle="1">
    <w:name w:val="caption1111"/>
    <w:basedOn w:val="Normal"/>
    <w:next w:val="Normal"/>
    <w:qFormat/>
    <w:rsid w:val="00ae674d"/>
    <w:pPr>
      <w:widowControl w:val="false"/>
      <w:spacing w:lineRule="auto" w:line="240" w:before="120" w:after="120"/>
      <w:ind w:hanging="0"/>
      <w:textAlignment w:val="baseline"/>
    </w:pPr>
    <w:rPr>
      <w:b/>
      <w:bCs/>
      <w:sz w:val="24"/>
      <w:szCs w:val="24"/>
    </w:rPr>
  </w:style>
  <w:style w:type="paragraph" w:styleId="14" w:customStyle="1">
    <w:name w:val="Знак1"/>
    <w:basedOn w:val="Normal"/>
    <w:qFormat/>
    <w:rsid w:val="00f43f0d"/>
    <w:pPr>
      <w:spacing w:lineRule="exact" w:line="240" w:before="0" w:after="160"/>
      <w:ind w:hanging="0"/>
      <w:jc w:val="left"/>
    </w:pPr>
    <w:rPr>
      <w:rFonts w:ascii="Verdana" w:hAnsi="Verdana" w:cs="Verdana"/>
      <w:sz w:val="20"/>
      <w:szCs w:val="20"/>
      <w:lang w:val="en-US" w:eastAsia="en-US"/>
    </w:rPr>
  </w:style>
  <w:style w:type="paragraph" w:styleId="-" w:customStyle="1">
    <w:name w:val="Контракт-раздел"/>
    <w:basedOn w:val="Normal"/>
    <w:qFormat/>
    <w:rsid w:val="00f43f0d"/>
    <w:pPr>
      <w:keepNext w:val="true"/>
      <w:keepLines/>
      <w:numPr>
        <w:ilvl w:val="0"/>
        <w:numId w:val="5"/>
      </w:numPr>
      <w:tabs>
        <w:tab w:val="clear" w:pos="709"/>
        <w:tab w:val="left" w:pos="0" w:leader="none"/>
        <w:tab w:val="left" w:pos="567" w:leader="none"/>
      </w:tabs>
      <w:spacing w:lineRule="auto" w:line="240" w:before="360" w:after="120"/>
      <w:jc w:val="center"/>
      <w:textAlignment w:val="baseline"/>
      <w:outlineLvl w:val="1"/>
    </w:pPr>
    <w:rPr>
      <w:b/>
      <w:bCs/>
      <w:caps/>
    </w:rPr>
  </w:style>
  <w:style w:type="paragraph" w:styleId="-1" w:customStyle="1">
    <w:name w:val="Контракт-пункт"/>
    <w:basedOn w:val="Normal"/>
    <w:qFormat/>
    <w:rsid w:val="00f43f0d"/>
    <w:pPr>
      <w:numPr>
        <w:ilvl w:val="1"/>
        <w:numId w:val="5"/>
      </w:numPr>
    </w:pPr>
    <w:rPr/>
  </w:style>
  <w:style w:type="paragraph" w:styleId="-2" w:customStyle="1">
    <w:name w:val="Контракт-подпункт"/>
    <w:basedOn w:val="Normal"/>
    <w:qFormat/>
    <w:rsid w:val="00f43f0d"/>
    <w:pPr>
      <w:numPr>
        <w:ilvl w:val="2"/>
        <w:numId w:val="5"/>
      </w:numPr>
    </w:pPr>
    <w:rPr/>
  </w:style>
  <w:style w:type="paragraph" w:styleId="-3" w:customStyle="1">
    <w:name w:val="Контракт-подподпункт"/>
    <w:basedOn w:val="Normal"/>
    <w:qFormat/>
    <w:rsid w:val="00f43f0d"/>
    <w:pPr>
      <w:numPr>
        <w:ilvl w:val="3"/>
        <w:numId w:val="5"/>
      </w:numPr>
    </w:pPr>
    <w:rPr/>
  </w:style>
  <w:style w:type="paragraph" w:styleId="EndnoteText">
    <w:name w:val="Endnote Text"/>
    <w:basedOn w:val="Normal"/>
    <w:link w:val="Style14"/>
    <w:uiPriority w:val="99"/>
    <w:semiHidden/>
    <w:unhideWhenUsed/>
    <w:rsid w:val="008c02d8"/>
    <w:pPr/>
    <w:rPr>
      <w:sz w:val="20"/>
      <w:szCs w:val="20"/>
      <w:lang w:val="x-none" w:eastAsia="x-none"/>
    </w:rPr>
  </w:style>
  <w:style w:type="paragraph" w:styleId="Style25">
    <w:name w:val="Содержимое таблицы"/>
    <w:basedOn w:val="Normal"/>
    <w:qFormat/>
    <w:pPr>
      <w:widowControl w:val="false"/>
      <w:suppressLineNumbers/>
    </w:pPr>
    <w:rPr/>
  </w:style>
  <w:style w:type="paragraph" w:styleId="Style26">
    <w:name w:val="Заголовок таблицы"/>
    <w:basedOn w:val="Style25"/>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9">
    <w:name w:val="Table Grid"/>
    <w:basedOn w:val="a1"/>
    <w:rsid w:val="00336503"/>
    <w:pPr>
      <w:spacing w:line="36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eader" Target="header4.xml"/><Relationship Id="rId12" Type="http://schemas.openxmlformats.org/officeDocument/2006/relationships/header" Target="header5.xml"/><Relationship Id="rId13" Type="http://schemas.openxmlformats.org/officeDocument/2006/relationships/footer" Target="footer4.xml"/><Relationship Id="rId14" Type="http://schemas.openxmlformats.org/officeDocument/2006/relationships/footer" Target="footer5.xml"/><Relationship Id="rId15" Type="http://schemas.openxmlformats.org/officeDocument/2006/relationships/header" Target="header6.xml"/><Relationship Id="rId16" Type="http://schemas.openxmlformats.org/officeDocument/2006/relationships/header" Target="header7.xml"/><Relationship Id="rId17" Type="http://schemas.openxmlformats.org/officeDocument/2006/relationships/footer" Target="footer6.xml"/><Relationship Id="rId18" Type="http://schemas.openxmlformats.org/officeDocument/2006/relationships/footer" Target="footer7.xml"/><Relationship Id="rId19" Type="http://schemas.openxmlformats.org/officeDocument/2006/relationships/header" Target="header8.xml"/><Relationship Id="rId20" Type="http://schemas.openxmlformats.org/officeDocument/2006/relationships/header" Target="header9.xml"/><Relationship Id="rId21" Type="http://schemas.openxmlformats.org/officeDocument/2006/relationships/footer" Target="footer8.xml"/><Relationship Id="rId22" Type="http://schemas.openxmlformats.org/officeDocument/2006/relationships/footer" Target="footer9.xml"/><Relationship Id="rId23" Type="http://schemas.openxmlformats.org/officeDocument/2006/relationships/hyperlink" Target="http://www.cbr.ru/" TargetMode="External"/><Relationship Id="rId24" Type="http://schemas.openxmlformats.org/officeDocument/2006/relationships/hyperlink" Target="http://www.cbr.ru/" TargetMode="External"/><Relationship Id="rId25" Type="http://schemas.openxmlformats.org/officeDocument/2006/relationships/header" Target="header10.xml"/><Relationship Id="rId26" Type="http://schemas.openxmlformats.org/officeDocument/2006/relationships/header" Target="header11.xml"/><Relationship Id="rId27" Type="http://schemas.openxmlformats.org/officeDocument/2006/relationships/footer" Target="footer10.xml"/><Relationship Id="rId28" Type="http://schemas.openxmlformats.org/officeDocument/2006/relationships/footer" Target="footer11.xml"/><Relationship Id="rId29" Type="http://schemas.openxmlformats.org/officeDocument/2006/relationships/footnotes" Target="footnotes.xm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Relationship Id="rId35" Type="http://schemas.openxmlformats.org/officeDocument/2006/relationships/customXml" Target="../customXml/item2.xml"/><Relationship Id="rId36" Type="http://schemas.openxmlformats.org/officeDocument/2006/relationships/customXml" Target="../customXml/item3.xml"/><Relationship Id="rId37" Type="http://schemas.openxmlformats.org/officeDocument/2006/relationships/customXml" Target="../customXml/item4.xml"/><Relationship Id="rId38" Type="http://schemas.openxmlformats.org/officeDocument/2006/relationships/customXml" Target="../customXml/item5.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5905A-A849-4DFE-9DCC-7F92ED66E4B2}">
  <ds:schemaRefs>
    <ds:schemaRef ds:uri="http://schemas.microsoft.com/sharepoint/v3/contenttype/forms"/>
  </ds:schemaRefs>
</ds:datastoreItem>
</file>

<file path=customXml/itemProps2.xml><?xml version="1.0" encoding="utf-8"?>
<ds:datastoreItem xmlns:ds="http://schemas.openxmlformats.org/officeDocument/2006/customXml" ds:itemID="{C1258912-A860-4625-B7F6-93D124AA8A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9EA690-B79B-4E85-8E80-B2F3A394B8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6B26FD3-A095-4D28-B9F1-B345E1721BF4}">
  <ds:schemaRefs>
    <ds:schemaRef ds:uri="http://schemas.openxmlformats.org/officeDocument/2006/bibliography"/>
  </ds:schemaRefs>
</ds:datastoreItem>
</file>

<file path=customXml/itemProps5.xml><?xml version="1.0" encoding="utf-8"?>
<ds:datastoreItem xmlns:ds="http://schemas.openxmlformats.org/officeDocument/2006/customXml" ds:itemID="{DA2769D4-5E53-4DCC-8D8B-E21677BE5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Application>AlterOffice/3.4.0.9$Linux_X86_64 LibreOffice_project/b8daf9e823b1a5463a2f48435ddc2e8696e7d4fc</Application>
  <AppVersion>15.0000</AppVersion>
  <Pages>31</Pages>
  <Words>13226</Words>
  <Characters>95326</Characters>
  <CharactersWithSpaces>108158</CharactersWithSpaces>
  <Paragraphs>764</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2020-02-07T12:13:00Z</dcterms:created>
  <dc:creator>UK VoHEC</dc:creator>
  <dc:description/>
  <dc:language>ru-RU</dc:language>
  <cp:lastModifiedBy>resmetovaas@corp.gidroogk.com</cp:lastModifiedBy>
  <cp:lastPrinted>2018-03-15T11:33:00Z</cp:lastPrinted>
  <dcterms:modified xsi:type="dcterms:W3CDTF">2026-08-12T11:51:08Z</dcterms:modified>
  <cp:revision>141</cp:revision>
  <dc:subject/>
  <dc:title>ДОГОВОР № ____</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y fmtid="{D5CDD505-2E9C-101B-9397-08002B2CF9AE}" pid="3" name="_MarkAsFinal">
    <vt:bool>1</vt:bool>
  </property>
</Properties>
</file>