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styles.xml" ContentType="application/vnd.openxmlformats-officedocument.wordprocessingml.styles+xml"/>
  <Override PartName="/word/header9.xml" ContentType="application/vnd.openxmlformats-officedocument.wordprocessingml.header+xml"/>
  <Override PartName="/word/media/image4.wmf" ContentType="image/x-wmf"/>
  <Override PartName="/word/media/image1.png" ContentType="image/png"/>
  <Override PartName="/word/media/image6.wmf" ContentType="image/x-wmf"/>
  <Override PartName="/word/media/image5.wmf" ContentType="image/x-wmf"/>
  <Override PartName="/word/media/image2.wmf" ContentType="image/x-wmf"/>
  <Override PartName="/word/media/image3.wmf" ContentType="image/x-wmf"/>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0.xml" ContentType="application/vnd.openxmlformats-officedocument.wordprocessingml.header+xml"/>
  <Override PartName="/word/settings.xml" ContentType="application/vnd.openxmlformats-officedocument.wordprocessingml.settings+xml"/>
  <Override PartName="/word/header13.xml" ContentType="application/vnd.openxmlformats-officedocument.wordprocessingml.header+xml"/>
  <Override PartName="/word/footer12.xml" ContentType="application/vnd.openxmlformats-officedocument.wordprocessingml.footer+xml"/>
  <Override PartName="/word/footer3.xml" ContentType="application/vnd.openxmlformats-officedocument.wordprocessingml.footer+xml"/>
  <Override PartName="/word/embeddings/oleObject3.docx" ContentType="application/vnd.openxmlformats-officedocument.wordprocessingml.document"/>
  <Override PartName="/word/embeddings/oleObject5.docx" ContentType="application/vnd.openxmlformats-officedocument.wordprocessingml.document"/>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header8.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oter1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header2.xml" ContentType="application/vnd.openxmlformats-officedocument.wordprocessingml.header+xml"/>
  <Override PartName="/word/document.xml" ContentType="application/vnd.openxmlformats-officedocument.wordprocessingml.document.main+xml"/>
  <Override PartName="/word/footer4.xml" ContentType="application/vnd.openxmlformats-officedocument.wordprocessingml.footer+xml"/>
  <Override PartName="/word/footer1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0"/>
        <w:ind w:left="0" w:right="0" w:hanging="0"/>
        <w:jc w:val="center"/>
        <w:rPr>
          <w:b/>
          <w:szCs w:val="28"/>
        </w:rPr>
      </w:pPr>
      <w:r>
        <w:rPr/>
        <w:drawing>
          <wp:inline distT="0" distB="0" distL="0" distR="0">
            <wp:extent cx="1536700" cy="5588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1536700" cy="558800"/>
                    </a:xfrm>
                    <a:prstGeom prst="rect">
                      <a:avLst/>
                    </a:prstGeom>
                  </pic:spPr>
                </pic:pic>
              </a:graphicData>
            </a:graphic>
          </wp:inline>
        </w:drawing>
      </w:r>
    </w:p>
    <w:p>
      <w:pPr>
        <w:pStyle w:val="Normal"/>
        <w:spacing w:before="0" w:after="0"/>
        <w:jc w:val="center"/>
        <w:rPr>
          <w:b/>
          <w:sz w:val="28"/>
          <w:szCs w:val="28"/>
        </w:rPr>
      </w:pPr>
      <w:r>
        <w:rPr>
          <w:b/>
          <w:bCs/>
          <w:sz w:val="28"/>
          <w:szCs w:val="28"/>
        </w:rPr>
        <w:t>Акционерное Общество</w:t>
      </w:r>
    </w:p>
    <w:p>
      <w:pPr>
        <w:pStyle w:val="Normal"/>
        <w:spacing w:before="0" w:after="0"/>
        <w:jc w:val="center"/>
        <w:rPr>
          <w:b/>
          <w:sz w:val="28"/>
          <w:szCs w:val="28"/>
        </w:rPr>
      </w:pPr>
      <w:r>
        <w:rPr>
          <w:b/>
          <w:sz w:val="28"/>
          <w:szCs w:val="28"/>
        </w:rPr>
        <w:t xml:space="preserve">«Дальневосточная распределительная сетевая </w:t>
      </w:r>
      <w:r>
        <w:rPr>
          <w:sz w:val="28"/>
          <w:szCs w:val="28"/>
        </w:rPr>
        <w:t xml:space="preserve"> </w:t>
      </w:r>
      <w:r>
        <w:rPr>
          <w:b/>
          <w:sz w:val="28"/>
          <w:szCs w:val="28"/>
        </w:rPr>
        <w:t>компания</w:t>
      </w:r>
    </w:p>
    <w:p>
      <w:pPr>
        <w:pStyle w:val="Normal"/>
        <w:ind w:left="4395" w:firstLine="1134"/>
        <w:rPr>
          <w:szCs w:val="28"/>
        </w:rPr>
      </w:pPr>
      <w:r>
        <w:rPr>
          <w:szCs w:val="28"/>
        </w:rPr>
      </w:r>
    </w:p>
    <w:p>
      <w:pPr>
        <w:pStyle w:val="Normal"/>
        <w:ind w:left="5529" w:hanging="0"/>
        <w:rPr/>
      </w:pPr>
      <w:r>
        <w:rPr/>
        <w:t>«УТВЕРЖДАЮ»</w:t>
      </w:r>
    </w:p>
    <w:p>
      <w:pPr>
        <w:pStyle w:val="Normal"/>
        <w:ind w:left="5529" w:hanging="0"/>
        <w:rPr/>
      </w:pPr>
      <w:r>
        <w:rPr/>
        <w:t>Председатель закупочной комиссии</w:t>
      </w:r>
    </w:p>
    <w:p>
      <w:pPr>
        <w:pStyle w:val="Normal"/>
        <w:ind w:left="5529" w:hanging="0"/>
        <w:rPr/>
      </w:pPr>
      <w:r>
        <w:rPr/>
      </w:r>
    </w:p>
    <w:p>
      <w:pPr>
        <w:pStyle w:val="Normal"/>
        <w:ind w:left="5529" w:hanging="0"/>
        <w:rPr/>
      </w:pPr>
      <w:r>
        <w:rPr/>
        <w:t>_______________</w:t>
      </w:r>
    </w:p>
    <w:p>
      <w:pPr>
        <w:pStyle w:val="Normal"/>
        <w:ind w:left="5529" w:hanging="0"/>
        <w:rPr/>
      </w:pPr>
      <w:r>
        <w:rPr>
          <w:b/>
          <w:bCs/>
          <w:caps/>
        </w:rPr>
        <w:t>13</w:t>
      </w:r>
      <w:r>
        <w:rPr>
          <w:b/>
          <w:bCs/>
          <w:caps/>
        </w:rPr>
        <w:t>.08.2026</w:t>
      </w:r>
    </w:p>
    <w:p>
      <w:pPr>
        <w:pStyle w:val="Style28"/>
        <w:keepNext w:val="true"/>
        <w:ind w:left="4536" w:hanging="0"/>
        <w:rPr/>
      </w:pPr>
      <w:r>
        <w:rPr/>
      </w:r>
    </w:p>
    <w:p>
      <w:pPr>
        <w:pStyle w:val="Style28"/>
        <w:rPr/>
      </w:pPr>
      <w:r>
        <w:rPr/>
      </w:r>
    </w:p>
    <w:p>
      <w:pPr>
        <w:pStyle w:val="Style28"/>
        <w:rPr/>
      </w:pPr>
      <w:r>
        <w:rPr/>
      </w:r>
    </w:p>
    <w:p>
      <w:pPr>
        <w:pStyle w:val="Style28"/>
        <w:rPr/>
      </w:pPr>
      <w:r>
        <w:rPr/>
      </w:r>
    </w:p>
    <w:p>
      <w:pPr>
        <w:pStyle w:val="Style28"/>
        <w:rPr/>
      </w:pPr>
      <w:r>
        <w:rPr/>
      </w:r>
    </w:p>
    <w:p>
      <w:pPr>
        <w:pStyle w:val="Style28"/>
        <w:keepNext w:val="true"/>
        <w:numPr>
          <w:ilvl w:val="0"/>
          <w:numId w:val="0"/>
        </w:numPr>
        <w:ind w:left="0" w:hanging="0"/>
        <w:jc w:val="center"/>
        <w:outlineLvl w:val="2"/>
        <w:rPr>
          <w:b/>
          <w:bCs/>
          <w:caps/>
        </w:rPr>
      </w:pPr>
      <w:r>
        <w:rPr>
          <w:b/>
          <w:bCs/>
          <w:caps/>
        </w:rPr>
        <w:t>Документация о закупке</w:t>
      </w:r>
    </w:p>
    <w:p>
      <w:pPr>
        <w:pStyle w:val="Style28"/>
        <w:keepNext w:val="true"/>
        <w:spacing w:before="240" w:after="0"/>
        <w:jc w:val="center"/>
        <w:rPr>
          <w:rStyle w:val="Style8"/>
        </w:rPr>
      </w:pPr>
      <w:r>
        <w:rPr/>
        <w:t>Запрос предложений в электронной форме,</w:t>
        <w:br/>
        <w:t>участниками которого могут быть только субъекты МСП,</w:t>
        <w:br/>
        <w:t>на право заключения договора на </w:t>
      </w:r>
      <w:r>
        <w:rPr>
          <w:rStyle w:val="Style8"/>
          <w:b/>
          <w:bCs/>
          <w:caps w:val="false"/>
          <w:smallCaps w:val="false"/>
          <w:strike w:val="false"/>
          <w:dstrike w:val="false"/>
          <w:color w:val="222222"/>
          <w:spacing w:val="0"/>
          <w:sz w:val="26"/>
          <w:szCs w:val="26"/>
          <w:u w:val="none"/>
          <w:effect w:val="none"/>
          <w:shd w:fill="auto" w:val="clear"/>
        </w:rPr>
        <w:tab/>
        <w:t>ОКПД2 42.22.22.110. Выполнение проектно-изыскательских и строительно-монтажных работ по строительству КЛ-10кВ протяженностью 0,129 км, ВЛ-10 кВ протяженностью 1,006 км, установка РЛНД — 1шт, установка прибора учета -1 шт. п.Беркакит (в том числе разработать проектно-сметную документацию) для технологического присоединения заявителя ООО «ПКК-ЯКУТИЯ»</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8"/>
        <w:spacing w:before="240" w:after="0"/>
        <w:jc w:val="center"/>
        <w:rPr>
          <w:rStyle w:val="Style8"/>
        </w:rPr>
      </w:pPr>
      <w:r>
        <w:rPr>
          <w:rStyle w:val="Style8"/>
          <w:b/>
          <w:bCs/>
          <w:caps w:val="false"/>
          <w:smallCaps w:val="false"/>
          <w:strike w:val="false"/>
          <w:dstrike w:val="false"/>
          <w:color w:val="222222"/>
          <w:spacing w:val="0"/>
          <w:sz w:val="26"/>
          <w:szCs w:val="26"/>
          <w:u w:val="none"/>
          <w:effect w:val="none"/>
          <w:shd w:fill="auto" w:val="clear"/>
        </w:rPr>
        <w:t>311901-КС ПИР СМР-2026-ДРСК-ЮЯЭС</w:t>
      </w:r>
    </w:p>
    <w:p>
      <w:pPr>
        <w:pStyle w:val="Style27"/>
        <w:numPr>
          <w:ilvl w:val="0"/>
          <w:numId w:val="0"/>
        </w:numPr>
        <w:ind w:left="0" w:hanging="0"/>
        <w:outlineLvl w:val="2"/>
        <w:rPr/>
      </w:pPr>
      <w:r>
        <w:rPr/>
        <w:t>Содержание</w:t>
      </w:r>
    </w:p>
    <w:sdt>
      <w:sdtPr>
        <w:docPartObj>
          <w:docPartGallery w:val="Table of Contents"/>
          <w:docPartUnique w:val="true"/>
        </w:docPartObj>
      </w:sdtPr>
      <w:sdtContent>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r>
            <w:fldChar w:fldCharType="begin"/>
          </w:r>
          <w:r>
            <w:rPr>
              <w:webHidden/>
              <w:rStyle w:val="Style17"/>
              <w:vanish w:val="false"/>
            </w:rPr>
            <w:instrText xml:space="preserve"> TOC \z \u \t "УРОВЕНЬ_-,5,[РГ] Подпункт,4,[РГ] Пункт,3,[РГ] Подраздел,2,[РГ] Раздел,1,[РГ] Раздел,1,[РГ] Раздел,1,[РГ] Подраздел,2,[РГ] Подраздел,2,[РГ] Пункт,3,[РГ] Подпункт,4,УРОВЕНЬ_-,5" \h</w:instrText>
          </w:r>
          <w:r>
            <w:rPr>
              <w:webHidden/>
              <w:rStyle w:val="Style17"/>
              <w:vanish w:val="false"/>
            </w:rPr>
            <w:fldChar w:fldCharType="separate"/>
          </w:r>
          <w:hyperlink w:anchor="_Toc228877668">
            <w:r>
              <w:rPr>
                <w:webHidden/>
              </w:rPr>
              <w:fldChar w:fldCharType="begin"/>
            </w:r>
            <w:r>
              <w:rPr>
                <w:webHidden/>
              </w:rPr>
              <w:instrText xml:space="preserve">PAGEREF _Toc228877668 \h</w:instrText>
            </w:r>
            <w:r>
              <w:rPr>
                <w:webHidden/>
              </w:rPr>
              <w:fldChar w:fldCharType="separate"/>
            </w:r>
            <w:r>
              <w:rPr>
                <w:webHidden/>
                <w:rStyle w:val="Style17"/>
                <w:vanish w:val="false"/>
              </w:rPr>
              <w:t>Сокращения</w:t>
              <w:tab/>
              <w:t>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69">
            <w:r>
              <w:rPr>
                <w:webHidden/>
              </w:rPr>
              <w:fldChar w:fldCharType="begin"/>
            </w:r>
            <w:r>
              <w:rPr>
                <w:webHidden/>
              </w:rPr>
              <w:instrText xml:space="preserve">PAGEREF _Toc228877669 \h</w:instrText>
            </w:r>
            <w:r>
              <w:rPr>
                <w:webHidden/>
              </w:rPr>
              <w:fldChar w:fldCharType="separate"/>
            </w:r>
            <w:r>
              <w:rPr>
                <w:webHidden/>
                <w:rStyle w:val="Style17"/>
                <w:vanish w:val="false"/>
              </w:rPr>
              <w:t>Термины и определения</w:t>
              <w:tab/>
              <w:t>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70">
            <w:r>
              <w:rPr>
                <w:webHidden/>
                <w:rStyle w:val="Style17"/>
                <w:vanish w:val="false"/>
              </w:rPr>
              <w:t>1.</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Основные сведения о закупке</w:t>
            </w:r>
            <w:r>
              <w:rPr>
                <w:webHidden/>
              </w:rPr>
              <w:fldChar w:fldCharType="begin"/>
            </w:r>
            <w:r>
              <w:rPr>
                <w:webHidden/>
              </w:rPr>
              <w:instrText xml:space="preserve">PAGEREF _Toc228877670 \h</w:instrText>
            </w:r>
            <w:r>
              <w:rPr>
                <w:webHidden/>
              </w:rPr>
              <w:fldChar w:fldCharType="separate"/>
            </w:r>
            <w:r>
              <w:rPr>
                <w:rStyle w:val="Style17"/>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1">
            <w:r>
              <w:rPr>
                <w:webHidden/>
                <w:rStyle w:val="Style17"/>
                <w:vanish w:val="false"/>
              </w:rPr>
              <w:t>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Статус настоящего раздела</w:t>
            </w:r>
            <w:r>
              <w:rPr>
                <w:webHidden/>
              </w:rPr>
              <w:fldChar w:fldCharType="begin"/>
            </w:r>
            <w:r>
              <w:rPr>
                <w:webHidden/>
              </w:rPr>
              <w:instrText xml:space="preserve">PAGEREF _Toc228877671 \h</w:instrText>
            </w:r>
            <w:r>
              <w:rPr>
                <w:webHidden/>
              </w:rPr>
              <w:fldChar w:fldCharType="separate"/>
            </w:r>
            <w:r>
              <w:rPr>
                <w:rStyle w:val="Style17"/>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2">
            <w:r>
              <w:rPr>
                <w:webHidden/>
                <w:rStyle w:val="Style17"/>
                <w:vanish w:val="false"/>
              </w:rPr>
              <w:t>1.2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Информация о проводимой закупке</w:t>
            </w:r>
            <w:r>
              <w:rPr>
                <w:webHidden/>
              </w:rPr>
              <w:fldChar w:fldCharType="begin"/>
            </w:r>
            <w:r>
              <w:rPr>
                <w:webHidden/>
              </w:rPr>
              <w:instrText xml:space="preserve">PAGEREF _Toc228877672 \h</w:instrText>
            </w:r>
            <w:r>
              <w:rPr>
                <w:webHidden/>
              </w:rPr>
              <w:fldChar w:fldCharType="separate"/>
            </w:r>
            <w:r>
              <w:rPr>
                <w:rStyle w:val="Style17"/>
                <w:vanish w:val="false"/>
              </w:rPr>
              <w:tab/>
              <w:t>12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73">
            <w:r>
              <w:rPr>
                <w:webHidden/>
                <w:rStyle w:val="Style17"/>
                <w:vanish w:val="false"/>
              </w:rPr>
              <w:t>2.</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Общие положения</w:t>
            </w:r>
            <w:r>
              <w:rPr>
                <w:webHidden/>
              </w:rPr>
              <w:fldChar w:fldCharType="begin"/>
            </w:r>
            <w:r>
              <w:rPr>
                <w:webHidden/>
              </w:rPr>
              <w:instrText xml:space="preserve">PAGEREF _Toc228877673 \h</w:instrText>
            </w:r>
            <w:r>
              <w:rPr>
                <w:webHidden/>
              </w:rPr>
              <w:fldChar w:fldCharType="separate"/>
            </w:r>
            <w:r>
              <w:rPr>
                <w:rStyle w:val="Style17"/>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4">
            <w:r>
              <w:rPr>
                <w:webHidden/>
                <w:rStyle w:val="Style17"/>
                <w:vanish w:val="false"/>
              </w:rPr>
              <w:t>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сведения о закупке</w:t>
            </w:r>
            <w:r>
              <w:rPr>
                <w:webHidden/>
              </w:rPr>
              <w:fldChar w:fldCharType="begin"/>
            </w:r>
            <w:r>
              <w:rPr>
                <w:webHidden/>
              </w:rPr>
              <w:instrText xml:space="preserve">PAGEREF _Toc228877674 \h</w:instrText>
            </w:r>
            <w:r>
              <w:rPr>
                <w:webHidden/>
              </w:rPr>
              <w:fldChar w:fldCharType="separate"/>
            </w:r>
            <w:r>
              <w:rPr>
                <w:rStyle w:val="Style17"/>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5">
            <w:r>
              <w:rPr>
                <w:webHidden/>
                <w:rStyle w:val="Style17"/>
                <w:vanish w:val="false"/>
              </w:rPr>
              <w:t>2.2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Правовой статус документов</w:t>
            </w:r>
            <w:r>
              <w:rPr>
                <w:webHidden/>
              </w:rPr>
              <w:fldChar w:fldCharType="begin"/>
            </w:r>
            <w:r>
              <w:rPr>
                <w:webHidden/>
              </w:rPr>
              <w:instrText xml:space="preserve">PAGEREF _Toc228877675 \h</w:instrText>
            </w:r>
            <w:r>
              <w:rPr>
                <w:webHidden/>
              </w:rPr>
              <w:fldChar w:fldCharType="separate"/>
            </w:r>
            <w:r>
              <w:rPr>
                <w:rStyle w:val="Style17"/>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6">
            <w:r>
              <w:rPr>
                <w:webHidden/>
                <w:rStyle w:val="Style17"/>
                <w:vanish w:val="false"/>
              </w:rPr>
              <w:t>2.3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Обжалование</w:t>
            </w:r>
            <w:r>
              <w:rPr>
                <w:webHidden/>
              </w:rPr>
              <w:fldChar w:fldCharType="begin"/>
            </w:r>
            <w:r>
              <w:rPr>
                <w:webHidden/>
              </w:rPr>
              <w:instrText xml:space="preserve">PAGEREF _Toc228877676 \h</w:instrText>
            </w:r>
            <w:r>
              <w:rPr>
                <w:webHidden/>
              </w:rPr>
              <w:fldChar w:fldCharType="separate"/>
            </w:r>
            <w:r>
              <w:rPr>
                <w:rStyle w:val="Style17"/>
                <w:vanish w:val="false"/>
              </w:rPr>
              <w:tab/>
              <w:t>25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7">
            <w:r>
              <w:rPr>
                <w:webHidden/>
                <w:rStyle w:val="Style17"/>
                <w:vanish w:val="false"/>
              </w:rPr>
              <w:t>2.4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Особые положения при проведении закупки с использованием ЭП</w:t>
            </w:r>
            <w:r>
              <w:rPr>
                <w:webHidden/>
              </w:rPr>
              <w:fldChar w:fldCharType="begin"/>
            </w:r>
            <w:r>
              <w:rPr>
                <w:webHidden/>
              </w:rPr>
              <w:instrText xml:space="preserve">PAGEREF _Toc228877677 \h</w:instrText>
            </w:r>
            <w:r>
              <w:rPr>
                <w:webHidden/>
              </w:rPr>
              <w:fldChar w:fldCharType="separate"/>
            </w:r>
            <w:r>
              <w:rPr>
                <w:rStyle w:val="Style17"/>
                <w:vanish w:val="false"/>
              </w:rPr>
              <w:tab/>
              <w:t>26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78">
            <w:r>
              <w:rPr>
                <w:webHidden/>
                <w:rStyle w:val="Style17"/>
                <w:vanish w:val="false"/>
              </w:rPr>
              <w:t>2.5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Прочие положения</w:t>
            </w:r>
            <w:r>
              <w:rPr>
                <w:webHidden/>
              </w:rPr>
              <w:fldChar w:fldCharType="begin"/>
            </w:r>
            <w:r>
              <w:rPr>
                <w:webHidden/>
              </w:rPr>
              <w:instrText xml:space="preserve">PAGEREF _Toc228877678 \h</w:instrText>
            </w:r>
            <w:r>
              <w:rPr>
                <w:webHidden/>
              </w:rPr>
              <w:fldChar w:fldCharType="separate"/>
            </w:r>
            <w:r>
              <w:rPr>
                <w:rStyle w:val="Style17"/>
                <w:vanish w:val="false"/>
              </w:rPr>
              <w:tab/>
              <w:t>26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79">
            <w:r>
              <w:rPr>
                <w:webHidden/>
                <w:rStyle w:val="Style17"/>
                <w:vanish w:val="false"/>
              </w:rPr>
              <w:t>3.</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Требования к Участникам</w:t>
            </w:r>
            <w:r>
              <w:rPr>
                <w:webHidden/>
              </w:rPr>
              <w:fldChar w:fldCharType="begin"/>
            </w:r>
            <w:r>
              <w:rPr>
                <w:webHidden/>
              </w:rPr>
              <w:instrText xml:space="preserve">PAGEREF _Toc228877679 \h</w:instrText>
            </w:r>
            <w:r>
              <w:rPr>
                <w:webHidden/>
              </w:rPr>
              <w:fldChar w:fldCharType="separate"/>
            </w:r>
            <w:r>
              <w:rPr>
                <w:rStyle w:val="Style17"/>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0">
            <w:r>
              <w:rPr>
                <w:webHidden/>
                <w:rStyle w:val="Style17"/>
                <w:vanish w:val="false"/>
              </w:rPr>
              <w:t>3.1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требования к Участникам</w:t>
            </w:r>
            <w:r>
              <w:rPr>
                <w:webHidden/>
              </w:rPr>
              <w:fldChar w:fldCharType="begin"/>
            </w:r>
            <w:r>
              <w:rPr>
                <w:webHidden/>
              </w:rPr>
              <w:instrText xml:space="preserve">PAGEREF _Toc228877680 \h</w:instrText>
            </w:r>
            <w:r>
              <w:rPr>
                <w:webHidden/>
              </w:rPr>
              <w:fldChar w:fldCharType="separate"/>
            </w:r>
            <w:r>
              <w:rPr>
                <w:rStyle w:val="Style17"/>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1">
            <w:r>
              <w:rPr>
                <w:webHidden/>
                <w:rStyle w:val="Style17"/>
                <w:vanish w:val="false"/>
              </w:rPr>
              <w:t>3.2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Генеральные подрядчики</w:t>
            </w:r>
            <w:r>
              <w:rPr>
                <w:webHidden/>
              </w:rPr>
              <w:fldChar w:fldCharType="begin"/>
            </w:r>
            <w:r>
              <w:rPr>
                <w:webHidden/>
              </w:rPr>
              <w:instrText xml:space="preserve">PAGEREF _Toc228877681 \h</w:instrText>
            </w:r>
            <w:r>
              <w:rPr>
                <w:webHidden/>
              </w:rPr>
              <w:fldChar w:fldCharType="separate"/>
            </w:r>
            <w:r>
              <w:rPr>
                <w:rStyle w:val="Style17"/>
                <w:vanish w:val="false"/>
              </w:rPr>
              <w:tab/>
              <w:t>28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682">
            <w:r>
              <w:rPr>
                <w:webHidden/>
                <w:rStyle w:val="Style17"/>
                <w:vanish w:val="false"/>
              </w:rPr>
              <w:t>4.</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Порядок проведения закупки</w:t>
            </w:r>
            <w:r>
              <w:rPr>
                <w:webHidden/>
              </w:rPr>
              <w:fldChar w:fldCharType="begin"/>
            </w:r>
            <w:r>
              <w:rPr>
                <w:webHidden/>
              </w:rPr>
              <w:instrText xml:space="preserve">PAGEREF _Toc228877682 \h</w:instrText>
            </w:r>
            <w:r>
              <w:rPr>
                <w:webHidden/>
              </w:rPr>
              <w:fldChar w:fldCharType="separate"/>
            </w:r>
            <w:r>
              <w:rPr>
                <w:rStyle w:val="Style17"/>
                <w:vanish w:val="false"/>
              </w:rPr>
              <w:tab/>
              <w:t>30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3">
            <w:r>
              <w:rPr>
                <w:webHidden/>
                <w:rStyle w:val="Style17"/>
                <w:vanish w:val="false"/>
              </w:rPr>
              <w:t>4.1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Общий порядок проведения закупки</w:t>
            </w:r>
            <w:r>
              <w:rPr>
                <w:webHidden/>
              </w:rPr>
              <w:fldChar w:fldCharType="begin"/>
            </w:r>
            <w:r>
              <w:rPr>
                <w:webHidden/>
              </w:rPr>
              <w:instrText xml:space="preserve">PAGEREF _Toc228877683 \h</w:instrText>
            </w:r>
            <w:r>
              <w:rPr>
                <w:webHidden/>
              </w:rPr>
              <w:fldChar w:fldCharType="separate"/>
            </w:r>
            <w:r>
              <w:rPr>
                <w:rStyle w:val="Style17"/>
                <w:vanish w:val="false"/>
              </w:rPr>
              <w:tab/>
              <w:t>30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4">
            <w:r>
              <w:rPr>
                <w:webHidden/>
                <w:rStyle w:val="Style17"/>
                <w:vanish w:val="false"/>
              </w:rPr>
              <w:t>4.2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Официальное размещение Извещения и Документации о закупке</w:t>
            </w:r>
            <w:r>
              <w:rPr>
                <w:webHidden/>
              </w:rPr>
              <w:fldChar w:fldCharType="begin"/>
            </w:r>
            <w:r>
              <w:rPr>
                <w:webHidden/>
              </w:rPr>
              <w:instrText xml:space="preserve">PAGEREF _Toc228877684 \h</w:instrText>
            </w:r>
            <w:r>
              <w:rPr>
                <w:webHidden/>
              </w:rPr>
              <w:fldChar w:fldCharType="separate"/>
            </w:r>
            <w:r>
              <w:rPr>
                <w:rStyle w:val="Style17"/>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5">
            <w:r>
              <w:rPr>
                <w:webHidden/>
                <w:rStyle w:val="Style17"/>
                <w:vanish w:val="false"/>
              </w:rPr>
              <w:t>4.3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Подготовка заявки</w:t>
            </w:r>
            <w:r>
              <w:rPr>
                <w:webHidden/>
              </w:rPr>
              <w:fldChar w:fldCharType="begin"/>
            </w:r>
            <w:r>
              <w:rPr>
                <w:webHidden/>
              </w:rPr>
              <w:instrText xml:space="preserve">PAGEREF _Toc228877685 \h</w:instrText>
            </w:r>
            <w:r>
              <w:rPr>
                <w:webHidden/>
              </w:rPr>
              <w:fldChar w:fldCharType="separate"/>
            </w:r>
            <w:r>
              <w:rPr>
                <w:rStyle w:val="Style17"/>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6">
            <w:r>
              <w:rPr>
                <w:webHidden/>
                <w:rStyle w:val="Style17"/>
                <w:vanish w:val="false"/>
              </w:rPr>
              <w:t>4.4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Разъяснение Документации о закупке</w:t>
            </w:r>
            <w:r>
              <w:rPr>
                <w:webHidden/>
              </w:rPr>
              <w:fldChar w:fldCharType="begin"/>
            </w:r>
            <w:r>
              <w:rPr>
                <w:webHidden/>
              </w:rPr>
              <w:instrText xml:space="preserve">PAGEREF _Toc228877686 \h</w:instrText>
            </w:r>
            <w:r>
              <w:rPr>
                <w:webHidden/>
              </w:rPr>
              <w:fldChar w:fldCharType="separate"/>
            </w:r>
            <w:r>
              <w:rPr>
                <w:rStyle w:val="Style17"/>
                <w:vanish w:val="false"/>
              </w:rPr>
              <w:tab/>
              <w:t>36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7">
            <w:r>
              <w:rPr>
                <w:webHidden/>
                <w:rStyle w:val="Style17"/>
                <w:vanish w:val="false"/>
              </w:rPr>
              <w:t>4.5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Изменения Извещения и (или) Документации о закупке</w:t>
            </w:r>
            <w:r>
              <w:rPr>
                <w:webHidden/>
              </w:rPr>
              <w:fldChar w:fldCharType="begin"/>
            </w:r>
            <w:r>
              <w:rPr>
                <w:webHidden/>
              </w:rPr>
              <w:instrText xml:space="preserve">PAGEREF _Toc228877687 \h</w:instrText>
            </w:r>
            <w:r>
              <w:rPr>
                <w:webHidden/>
              </w:rPr>
              <w:fldChar w:fldCharType="separate"/>
            </w:r>
            <w:r>
              <w:rPr>
                <w:rStyle w:val="Style17"/>
                <w:vanish w:val="false"/>
              </w:rPr>
              <w:tab/>
              <w:t>36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8">
            <w:r>
              <w:rPr>
                <w:webHidden/>
                <w:rStyle w:val="Style17"/>
                <w:vanish w:val="false"/>
              </w:rPr>
              <w:t>4.6</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Подача заявок и их прием</w:t>
            </w:r>
            <w:r>
              <w:rPr>
                <w:webHidden/>
              </w:rPr>
              <w:fldChar w:fldCharType="begin"/>
            </w:r>
            <w:r>
              <w:rPr>
                <w:webHidden/>
              </w:rPr>
              <w:instrText xml:space="preserve">PAGEREF _Toc228877688 \h</w:instrText>
            </w:r>
            <w:r>
              <w:rPr>
                <w:webHidden/>
              </w:rPr>
              <w:fldChar w:fldCharType="separate"/>
            </w:r>
            <w:r>
              <w:rPr>
                <w:rStyle w:val="Style17"/>
                <w:vanish w:val="false"/>
              </w:rPr>
              <w:tab/>
              <w:t>37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89">
            <w:r>
              <w:rPr>
                <w:webHidden/>
                <w:rStyle w:val="Style17"/>
                <w:vanish w:val="false"/>
              </w:rPr>
              <w:t>4.7</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Изменение и отзыв заявок</w:t>
            </w:r>
            <w:r>
              <w:rPr>
                <w:webHidden/>
              </w:rPr>
              <w:fldChar w:fldCharType="begin"/>
            </w:r>
            <w:r>
              <w:rPr>
                <w:webHidden/>
              </w:rPr>
              <w:instrText xml:space="preserve">PAGEREF _Toc228877689 \h</w:instrText>
            </w:r>
            <w:r>
              <w:rPr>
                <w:webHidden/>
              </w:rPr>
              <w:fldChar w:fldCharType="separate"/>
            </w:r>
            <w:r>
              <w:rPr>
                <w:rStyle w:val="Style17"/>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0">
            <w:r>
              <w:rPr>
                <w:webHidden/>
                <w:rStyle w:val="Style17"/>
                <w:vanish w:val="false"/>
              </w:rPr>
              <w:t>4.8</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Открытие доступа к первым частям заявок</w:t>
            </w:r>
            <w:r>
              <w:rPr>
                <w:webHidden/>
              </w:rPr>
              <w:fldChar w:fldCharType="begin"/>
            </w:r>
            <w:r>
              <w:rPr>
                <w:webHidden/>
              </w:rPr>
              <w:instrText xml:space="preserve">PAGEREF _Toc228877690 \h</w:instrText>
            </w:r>
            <w:r>
              <w:rPr>
                <w:webHidden/>
              </w:rPr>
              <w:fldChar w:fldCharType="separate"/>
            </w:r>
            <w:r>
              <w:rPr>
                <w:rStyle w:val="Style17"/>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1">
            <w:r>
              <w:rPr>
                <w:webHidden/>
                <w:rStyle w:val="Style17"/>
                <w:vanish w:val="false"/>
              </w:rPr>
              <w:t>4.9</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Рассмотрение первых частей заявок (отборочная стадия)</w:t>
            </w:r>
            <w:r>
              <w:rPr>
                <w:webHidden/>
              </w:rPr>
              <w:fldChar w:fldCharType="begin"/>
            </w:r>
            <w:r>
              <w:rPr>
                <w:webHidden/>
              </w:rPr>
              <w:instrText xml:space="preserve">PAGEREF _Toc228877691 \h</w:instrText>
            </w:r>
            <w:r>
              <w:rPr>
                <w:webHidden/>
              </w:rPr>
              <w:fldChar w:fldCharType="separate"/>
            </w:r>
            <w:r>
              <w:rPr>
                <w:rStyle w:val="Style17"/>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2">
            <w:r>
              <w:rPr>
                <w:webHidden/>
                <w:rStyle w:val="Style17"/>
                <w:vanish w:val="false"/>
              </w:rPr>
              <w:t>4.10</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Открытие доступа ко вторым частям заявок и ценовым предложениям</w:t>
            </w:r>
            <w:r>
              <w:rPr>
                <w:webHidden/>
              </w:rPr>
              <w:fldChar w:fldCharType="begin"/>
            </w:r>
            <w:r>
              <w:rPr>
                <w:webHidden/>
              </w:rPr>
              <w:instrText xml:space="preserve">PAGEREF _Toc228877692 \h</w:instrText>
            </w:r>
            <w:r>
              <w:rPr>
                <w:webHidden/>
              </w:rPr>
              <w:fldChar w:fldCharType="separate"/>
            </w:r>
            <w:r>
              <w:rPr>
                <w:rStyle w:val="Style17"/>
                <w:vanish w:val="false"/>
              </w:rPr>
              <w:tab/>
              <w:t>39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3">
            <w:r>
              <w:rPr>
                <w:webHidden/>
                <w:rStyle w:val="Style17"/>
                <w:vanish w:val="false"/>
              </w:rPr>
              <w:t>4.11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Рассмотрение вторых частей заявок (отборочная стадия), в том числе (при необходимости) проведение аккредитации, и ценовых предложений</w:t>
            </w:r>
            <w:r>
              <w:rPr>
                <w:webHidden/>
              </w:rPr>
              <w:fldChar w:fldCharType="begin"/>
            </w:r>
            <w:r>
              <w:rPr>
                <w:webHidden/>
              </w:rPr>
              <w:instrText xml:space="preserve">PAGEREF _Toc228877693 \h</w:instrText>
            </w:r>
            <w:r>
              <w:rPr>
                <w:webHidden/>
              </w:rPr>
              <w:fldChar w:fldCharType="separate"/>
            </w:r>
            <w:r>
              <w:rPr>
                <w:rStyle w:val="Style17"/>
                <w:vanish w:val="false"/>
              </w:rPr>
              <w:tab/>
              <w:t>40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4">
            <w:r>
              <w:rPr>
                <w:webHidden/>
                <w:rStyle w:val="Style17"/>
                <w:vanish w:val="false"/>
              </w:rPr>
              <w:t>4.12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запросы разъяснений заявок</w:t>
            </w:r>
            <w:r>
              <w:rPr>
                <w:webHidden/>
              </w:rPr>
              <w:fldChar w:fldCharType="begin"/>
            </w:r>
            <w:r>
              <w:rPr>
                <w:webHidden/>
              </w:rPr>
              <w:instrText xml:space="preserve">PAGEREF _Toc228877694 \h</w:instrText>
            </w:r>
            <w:r>
              <w:rPr>
                <w:webHidden/>
              </w:rPr>
              <w:fldChar w:fldCharType="separate"/>
            </w:r>
            <w:r>
              <w:rPr>
                <w:rStyle w:val="Style17"/>
                <w:vanish w:val="false"/>
              </w:rPr>
              <w:tab/>
              <w:t>41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5">
            <w:r>
              <w:rPr>
                <w:webHidden/>
                <w:rStyle w:val="Style17"/>
                <w:vanish w:val="false"/>
              </w:rPr>
              <w:t>4.13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Оценка и сопоставление заявок</w:t>
            </w:r>
            <w:r>
              <w:rPr>
                <w:webHidden/>
              </w:rPr>
              <w:fldChar w:fldCharType="begin"/>
            </w:r>
            <w:r>
              <w:rPr>
                <w:webHidden/>
              </w:rPr>
              <w:instrText xml:space="preserve">PAGEREF _Toc228877695 \h</w:instrText>
            </w:r>
            <w:r>
              <w:rPr>
                <w:webHidden/>
              </w:rPr>
              <w:fldChar w:fldCharType="separate"/>
            </w:r>
            <w:r>
              <w:rPr>
                <w:rStyle w:val="Style17"/>
                <w:vanish w:val="false"/>
              </w:rPr>
              <w:tab/>
              <w:t>43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6">
            <w:r>
              <w:rPr>
                <w:webHidden/>
                <w:rStyle w:val="Style17"/>
                <w:vanish w:val="false"/>
              </w:rPr>
              <w:t>4.14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Применение законодательства о национальном режиме</w:t>
            </w:r>
            <w:r>
              <w:rPr>
                <w:webHidden/>
              </w:rPr>
              <w:fldChar w:fldCharType="begin"/>
            </w:r>
            <w:r>
              <w:rPr>
                <w:webHidden/>
              </w:rPr>
              <w:instrText xml:space="preserve">PAGEREF _Toc228877696 \h</w:instrText>
            </w:r>
            <w:r>
              <w:rPr>
                <w:webHidden/>
              </w:rPr>
              <w:fldChar w:fldCharType="separate"/>
            </w:r>
            <w:r>
              <w:rPr>
                <w:rStyle w:val="Style17"/>
                <w:vanish w:val="false"/>
              </w:rPr>
              <w:tab/>
              <w:t>44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7">
            <w:r>
              <w:rPr>
                <w:webHidden/>
                <w:rStyle w:val="Style17"/>
                <w:vanish w:val="false"/>
              </w:rPr>
              <w:t>4.15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Преференции в части использования российского алюминия</w:t>
            </w:r>
            <w:r>
              <w:rPr>
                <w:webHidden/>
              </w:rPr>
              <w:fldChar w:fldCharType="begin"/>
            </w:r>
            <w:r>
              <w:rPr>
                <w:webHidden/>
              </w:rPr>
              <w:instrText xml:space="preserve">PAGEREF _Toc228877697 \h</w:instrText>
            </w:r>
            <w:r>
              <w:rPr>
                <w:webHidden/>
              </w:rPr>
              <w:fldChar w:fldCharType="separate"/>
            </w:r>
            <w:r>
              <w:rPr>
                <w:rStyle w:val="Style17"/>
                <w:vanish w:val="false"/>
              </w:rPr>
              <w:tab/>
              <w:t>46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8">
            <w:r>
              <w:rPr>
                <w:webHidden/>
                <w:rStyle w:val="Style17"/>
                <w:vanish w:val="false"/>
              </w:rPr>
              <w:t>4.16</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Подведение итогов закупки (определение Победителя)</w:t>
            </w:r>
            <w:r>
              <w:rPr>
                <w:webHidden/>
              </w:rPr>
              <w:fldChar w:fldCharType="begin"/>
            </w:r>
            <w:r>
              <w:rPr>
                <w:webHidden/>
              </w:rPr>
              <w:instrText xml:space="preserve">PAGEREF _Toc228877698 \h</w:instrText>
            </w:r>
            <w:r>
              <w:rPr>
                <w:webHidden/>
              </w:rPr>
              <w:fldChar w:fldCharType="separate"/>
            </w:r>
            <w:r>
              <w:rPr>
                <w:rStyle w:val="Style17"/>
                <w:vanish w:val="false"/>
              </w:rPr>
              <w:tab/>
              <w:t>46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699">
            <w:r>
              <w:rPr>
                <w:webHidden/>
                <w:rStyle w:val="Style17"/>
                <w:vanish w:val="false"/>
              </w:rPr>
              <w:t>4.17</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Признание закупки несостоявшейся</w:t>
            </w:r>
            <w:r>
              <w:rPr>
                <w:webHidden/>
              </w:rPr>
              <w:fldChar w:fldCharType="begin"/>
            </w:r>
            <w:r>
              <w:rPr>
                <w:webHidden/>
              </w:rPr>
              <w:instrText xml:space="preserve">PAGEREF _Toc228877699 \h</w:instrText>
            </w:r>
            <w:r>
              <w:rPr>
                <w:webHidden/>
              </w:rPr>
              <w:fldChar w:fldCharType="separate"/>
            </w:r>
            <w:r>
              <w:rPr>
                <w:rStyle w:val="Style17"/>
                <w:vanish w:val="false"/>
              </w:rPr>
              <w:tab/>
              <w:t>48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0">
            <w:r>
              <w:rPr>
                <w:webHidden/>
                <w:rStyle w:val="Style17"/>
                <w:vanish w:val="false"/>
              </w:rPr>
              <w:t>4.18</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Отказ от проведения закупки (отмена закупки)</w:t>
            </w:r>
            <w:r>
              <w:rPr>
                <w:webHidden/>
              </w:rPr>
              <w:fldChar w:fldCharType="begin"/>
            </w:r>
            <w:r>
              <w:rPr>
                <w:webHidden/>
              </w:rPr>
              <w:instrText xml:space="preserve">PAGEREF _Toc228877700 \h</w:instrText>
            </w:r>
            <w:r>
              <w:rPr>
                <w:webHidden/>
              </w:rPr>
              <w:fldChar w:fldCharType="separate"/>
            </w:r>
            <w:r>
              <w:rPr>
                <w:rStyle w:val="Style17"/>
                <w:vanish w:val="false"/>
              </w:rPr>
              <w:tab/>
              <w:t>49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1">
            <w:r>
              <w:rPr>
                <w:webHidden/>
                <w:rStyle w:val="Style17"/>
                <w:vanish w:val="false"/>
              </w:rPr>
              <w:t>4.19</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закупки с необходимостью обеспечения заявки</w:t>
            </w:r>
            <w:r>
              <w:rPr>
                <w:webHidden/>
              </w:rPr>
              <w:fldChar w:fldCharType="begin"/>
            </w:r>
            <w:r>
              <w:rPr>
                <w:webHidden/>
              </w:rPr>
              <w:instrText xml:space="preserve">PAGEREF _Toc228877701 \h</w:instrText>
            </w:r>
            <w:r>
              <w:rPr>
                <w:webHidden/>
              </w:rPr>
              <w:fldChar w:fldCharType="separate"/>
            </w:r>
            <w:r>
              <w:rPr>
                <w:rStyle w:val="Style17"/>
                <w:vanish w:val="false"/>
              </w:rPr>
              <w:tab/>
              <w:t>50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2">
            <w:r>
              <w:rPr>
                <w:webHidden/>
                <w:rStyle w:val="Style17"/>
                <w:vanish w:val="false"/>
              </w:rPr>
              <w:t>4.20</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многолотовой закупки</w:t>
            </w:r>
            <w:r>
              <w:rPr>
                <w:webHidden/>
              </w:rPr>
              <w:fldChar w:fldCharType="begin"/>
            </w:r>
            <w:r>
              <w:rPr>
                <w:webHidden/>
              </w:rPr>
              <w:instrText xml:space="preserve">PAGEREF _Toc228877702 \h</w:instrText>
            </w:r>
            <w:r>
              <w:rPr>
                <w:webHidden/>
              </w:rPr>
              <w:fldChar w:fldCharType="separate"/>
            </w:r>
            <w:r>
              <w:rPr>
                <w:rStyle w:val="Style17"/>
                <w:vanish w:val="false"/>
              </w:rPr>
              <w:tab/>
              <w:t>53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3">
            <w:r>
              <w:rPr>
                <w:webHidden/>
                <w:rStyle w:val="Style17"/>
                <w:vanish w:val="false"/>
              </w:rPr>
              <w:t>4.21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закупки с выбором нескольких победителей</w:t>
            </w:r>
            <w:r>
              <w:rPr>
                <w:webHidden/>
              </w:rPr>
              <w:fldChar w:fldCharType="begin"/>
            </w:r>
            <w:r>
              <w:rPr>
                <w:webHidden/>
              </w:rPr>
              <w:instrText xml:space="preserve">PAGEREF _Toc228877703 \h</w:instrText>
            </w:r>
            <w:r>
              <w:rPr>
                <w:webHidden/>
              </w:rPr>
              <w:fldChar w:fldCharType="separate"/>
            </w:r>
            <w:r>
              <w:rPr>
                <w:rStyle w:val="Style17"/>
                <w:vanish w:val="false"/>
              </w:rPr>
              <w:tab/>
              <w:t>54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04">
            <w:r>
              <w:rPr>
                <w:webHidden/>
                <w:rStyle w:val="Style17"/>
                <w:vanish w:val="false"/>
              </w:rPr>
              <w:t>5.</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Порядок заключения Договора</w:t>
            </w:r>
            <w:r>
              <w:rPr>
                <w:webHidden/>
              </w:rPr>
              <w:fldChar w:fldCharType="begin"/>
            </w:r>
            <w:r>
              <w:rPr>
                <w:webHidden/>
              </w:rPr>
              <w:instrText xml:space="preserve">PAGEREF _Toc228877704 \h</w:instrText>
            </w:r>
            <w:r>
              <w:rPr>
                <w:webHidden/>
              </w:rPr>
              <w:fldChar w:fldCharType="separate"/>
            </w:r>
            <w:r>
              <w:rPr>
                <w:rStyle w:val="Style17"/>
                <w:vanish w:val="false"/>
              </w:rPr>
              <w:tab/>
              <w:t>56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5">
            <w:r>
              <w:rPr>
                <w:webHidden/>
                <w:rStyle w:val="Style17"/>
                <w:vanish w:val="false"/>
              </w:rPr>
              <w:t>5.1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положения</w:t>
            </w:r>
            <w:r>
              <w:rPr>
                <w:webHidden/>
              </w:rPr>
              <w:fldChar w:fldCharType="begin"/>
            </w:r>
            <w:r>
              <w:rPr>
                <w:webHidden/>
              </w:rPr>
              <w:instrText xml:space="preserve">PAGEREF _Toc228877705 \h</w:instrText>
            </w:r>
            <w:r>
              <w:rPr>
                <w:webHidden/>
              </w:rPr>
              <w:fldChar w:fldCharType="separate"/>
            </w:r>
            <w:r>
              <w:rPr>
                <w:rStyle w:val="Style17"/>
                <w:vanish w:val="false"/>
              </w:rPr>
              <w:tab/>
              <w:t>56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6">
            <w:r>
              <w:rPr>
                <w:webHidden/>
                <w:rStyle w:val="Style17"/>
                <w:vanish w:val="false"/>
              </w:rPr>
              <w:t>5.2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Заключение Договора</w:t>
            </w:r>
            <w:r>
              <w:rPr>
                <w:webHidden/>
              </w:rPr>
              <w:fldChar w:fldCharType="begin"/>
            </w:r>
            <w:r>
              <w:rPr>
                <w:webHidden/>
              </w:rPr>
              <w:instrText xml:space="preserve">PAGEREF _Toc228877706 \h</w:instrText>
            </w:r>
            <w:r>
              <w:rPr>
                <w:webHidden/>
              </w:rPr>
              <w:fldChar w:fldCharType="separate"/>
            </w:r>
            <w:r>
              <w:rPr>
                <w:rStyle w:val="Style17"/>
                <w:vanish w:val="false"/>
              </w:rPr>
              <w:tab/>
              <w:t>56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7">
            <w:r>
              <w:rPr>
                <w:webHidden/>
                <w:rStyle w:val="Style17"/>
                <w:vanish w:val="false"/>
              </w:rPr>
              <w:t>5.3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Уклонение Победителя от заключения Договора</w:t>
            </w:r>
            <w:r>
              <w:rPr>
                <w:webHidden/>
              </w:rPr>
              <w:fldChar w:fldCharType="begin"/>
            </w:r>
            <w:r>
              <w:rPr>
                <w:webHidden/>
              </w:rPr>
              <w:instrText xml:space="preserve">PAGEREF _Toc228877707 \h</w:instrText>
            </w:r>
            <w:r>
              <w:rPr>
                <w:webHidden/>
              </w:rPr>
              <w:fldChar w:fldCharType="separate"/>
            </w:r>
            <w:r>
              <w:rPr>
                <w:rStyle w:val="Style17"/>
                <w:vanish w:val="false"/>
              </w:rPr>
              <w:tab/>
              <w:t>58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08">
            <w:r>
              <w:rPr>
                <w:webHidden/>
                <w:rStyle w:val="Style17"/>
                <w:vanish w:val="false"/>
              </w:rPr>
              <w:t>6.</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 – Технические требования</w:t>
            </w:r>
            <w:r>
              <w:rPr>
                <w:webHidden/>
              </w:rPr>
              <w:fldChar w:fldCharType="begin"/>
            </w:r>
            <w:r>
              <w:rPr>
                <w:webHidden/>
              </w:rPr>
              <w:instrText xml:space="preserve">PAGEREF _Toc228877708 \h</w:instrText>
            </w:r>
            <w:r>
              <w:rPr>
                <w:webHidden/>
              </w:rPr>
              <w:fldChar w:fldCharType="separate"/>
            </w:r>
            <w:r>
              <w:rPr>
                <w:rStyle w:val="Style17"/>
                <w:vanish w:val="false"/>
              </w:rPr>
              <w:tab/>
              <w:t>60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09">
            <w:r>
              <w:rPr>
                <w:webHidden/>
                <w:rStyle w:val="Style17"/>
                <w:vanish w:val="false"/>
              </w:rPr>
              <w:t>6.1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Техническим требованиям</w:t>
            </w:r>
            <w:r>
              <w:rPr>
                <w:webHidden/>
              </w:rPr>
              <w:fldChar w:fldCharType="begin"/>
            </w:r>
            <w:r>
              <w:rPr>
                <w:webHidden/>
              </w:rPr>
              <w:instrText xml:space="preserve">PAGEREF _Toc228877709 \h</w:instrText>
            </w:r>
            <w:r>
              <w:rPr>
                <w:webHidden/>
              </w:rPr>
              <w:fldChar w:fldCharType="separate"/>
            </w:r>
            <w:r>
              <w:rPr>
                <w:rStyle w:val="Style17"/>
                <w:vanish w:val="false"/>
              </w:rPr>
              <w:tab/>
              <w:t>60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10">
            <w:r>
              <w:rPr>
                <w:webHidden/>
                <w:rStyle w:val="Style17"/>
                <w:vanish w:val="false"/>
              </w:rPr>
              <w:t>7.</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2 – Проект договора</w:t>
            </w:r>
            <w:r>
              <w:rPr>
                <w:webHidden/>
              </w:rPr>
              <w:fldChar w:fldCharType="begin"/>
            </w:r>
            <w:r>
              <w:rPr>
                <w:webHidden/>
              </w:rPr>
              <w:instrText xml:space="preserve">PAGEREF _Toc228877710 \h</w:instrText>
            </w:r>
            <w:r>
              <w:rPr>
                <w:webHidden/>
              </w:rPr>
              <w:fldChar w:fldCharType="separate"/>
            </w:r>
            <w:r>
              <w:rPr>
                <w:rStyle w:val="Style17"/>
                <w:vanish w:val="false"/>
              </w:rPr>
              <w:tab/>
              <w:t>61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1">
            <w:r>
              <w:rPr>
                <w:webHidden/>
                <w:rStyle w:val="Style17"/>
                <w:vanish w:val="false"/>
              </w:rPr>
              <w:t>7.1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Проекту договора</w:t>
            </w:r>
            <w:r>
              <w:rPr>
                <w:webHidden/>
              </w:rPr>
              <w:fldChar w:fldCharType="begin"/>
            </w:r>
            <w:r>
              <w:rPr>
                <w:webHidden/>
              </w:rPr>
              <w:instrText xml:space="preserve">PAGEREF _Toc228877711 \h</w:instrText>
            </w:r>
            <w:r>
              <w:rPr>
                <w:webHidden/>
              </w:rPr>
              <w:fldChar w:fldCharType="separate"/>
            </w:r>
            <w:r>
              <w:rPr>
                <w:rStyle w:val="Style17"/>
                <w:vanish w:val="false"/>
              </w:rPr>
              <w:tab/>
              <w:t>61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12">
            <w:r>
              <w:rPr>
                <w:webHidden/>
                <w:rStyle w:val="Style17"/>
                <w:vanish w:val="false"/>
              </w:rPr>
              <w:t>8.</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3 – Требования к Участникам</w:t>
            </w:r>
            <w:r>
              <w:rPr>
                <w:webHidden/>
              </w:rPr>
              <w:fldChar w:fldCharType="begin"/>
            </w:r>
            <w:r>
              <w:rPr>
                <w:webHidden/>
              </w:rPr>
              <w:instrText xml:space="preserve">PAGEREF _Toc228877712 \h</w:instrText>
            </w:r>
            <w:r>
              <w:rPr>
                <w:webHidden/>
              </w:rPr>
              <w:fldChar w:fldCharType="separate"/>
            </w:r>
            <w:r>
              <w:rPr>
                <w:rStyle w:val="Style17"/>
                <w:vanish w:val="false"/>
              </w:rPr>
              <w:tab/>
              <w:t>62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3">
            <w:r>
              <w:rPr>
                <w:webHidden/>
                <w:rStyle w:val="Style17"/>
                <w:vanish w:val="false"/>
              </w:rPr>
              <w:t>8.1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требованиям к Участникам</w:t>
            </w:r>
            <w:r>
              <w:rPr>
                <w:webHidden/>
              </w:rPr>
              <w:fldChar w:fldCharType="begin"/>
            </w:r>
            <w:r>
              <w:rPr>
                <w:webHidden/>
              </w:rPr>
              <w:instrText xml:space="preserve">PAGEREF _Toc228877713 \h</w:instrText>
            </w:r>
            <w:r>
              <w:rPr>
                <w:webHidden/>
              </w:rPr>
              <w:fldChar w:fldCharType="separate"/>
            </w:r>
            <w:r>
              <w:rPr>
                <w:rStyle w:val="Style17"/>
                <w:vanish w:val="false"/>
              </w:rPr>
              <w:tab/>
              <w:t>62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4">
            <w:r>
              <w:rPr>
                <w:webHidden/>
                <w:rStyle w:val="Style17"/>
                <w:vanish w:val="false"/>
              </w:rPr>
              <w:t>8.2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Обязательные требования</w:t>
            </w:r>
            <w:r>
              <w:rPr>
                <w:webHidden/>
              </w:rPr>
              <w:fldChar w:fldCharType="begin"/>
            </w:r>
            <w:r>
              <w:rPr>
                <w:webHidden/>
              </w:rPr>
              <w:instrText xml:space="preserve">PAGEREF _Toc228877714 \h</w:instrText>
            </w:r>
            <w:r>
              <w:rPr>
                <w:webHidden/>
              </w:rPr>
              <w:fldChar w:fldCharType="separate"/>
            </w:r>
            <w:r>
              <w:rPr>
                <w:rStyle w:val="Style17"/>
                <w:vanish w:val="false"/>
              </w:rPr>
              <w:tab/>
              <w:t>62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5">
            <w:r>
              <w:rPr>
                <w:webHidden/>
                <w:rStyle w:val="Style17"/>
                <w:vanish w:val="false"/>
              </w:rPr>
              <w:t>8.3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Специальные требования</w:t>
            </w:r>
            <w:r>
              <w:rPr>
                <w:webHidden/>
              </w:rPr>
              <w:fldChar w:fldCharType="begin"/>
            </w:r>
            <w:r>
              <w:rPr>
                <w:webHidden/>
              </w:rPr>
              <w:instrText xml:space="preserve">PAGEREF _Toc228877715 \h</w:instrText>
            </w:r>
            <w:r>
              <w:rPr>
                <w:webHidden/>
              </w:rPr>
              <w:fldChar w:fldCharType="separate"/>
            </w:r>
            <w:r>
              <w:rPr>
                <w:rStyle w:val="Style17"/>
                <w:vanish w:val="false"/>
              </w:rPr>
              <w:tab/>
              <w:t>66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6">
            <w:r>
              <w:rPr>
                <w:webHidden/>
                <w:rStyle w:val="Style17"/>
                <w:vanish w:val="false"/>
              </w:rPr>
              <w:t>8.4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требования к Генеральным подрядчикам</w:t>
            </w:r>
            <w:r>
              <w:rPr>
                <w:webHidden/>
              </w:rPr>
              <w:fldChar w:fldCharType="begin"/>
            </w:r>
            <w:r>
              <w:rPr>
                <w:webHidden/>
              </w:rPr>
              <w:instrText xml:space="preserve">PAGEREF _Toc228877716 \h</w:instrText>
            </w:r>
            <w:r>
              <w:rPr>
                <w:webHidden/>
              </w:rPr>
              <w:fldChar w:fldCharType="separate"/>
            </w:r>
            <w:r>
              <w:rPr>
                <w:rStyle w:val="Style17"/>
                <w:vanish w:val="false"/>
              </w:rPr>
              <w:tab/>
              <w:t>67</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17">
            <w:r>
              <w:rPr>
                <w:webHidden/>
                <w:rStyle w:val="Style17"/>
                <w:vanish w:val="false"/>
              </w:rPr>
              <w:t>9.</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4 – Образцы форм документов, включаемых в состав заявки</w:t>
            </w:r>
            <w:r>
              <w:rPr>
                <w:webHidden/>
              </w:rPr>
              <w:fldChar w:fldCharType="begin"/>
            </w:r>
            <w:r>
              <w:rPr>
                <w:webHidden/>
              </w:rPr>
              <w:instrText xml:space="preserve">PAGEREF _Toc228877717 \h</w:instrText>
            </w:r>
            <w:r>
              <w:rPr>
                <w:webHidden/>
              </w:rPr>
              <w:fldChar w:fldCharType="separate"/>
            </w:r>
            <w:r>
              <w:rPr>
                <w:rStyle w:val="Style17"/>
                <w:vanish w:val="false"/>
              </w:rPr>
              <w:tab/>
              <w:t>69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18">
            <w:r>
              <w:rPr>
                <w:webHidden/>
                <w:rStyle w:val="Style17"/>
                <w:vanish w:val="false"/>
              </w:rPr>
              <w:t>9.1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Образцам форм документов, включаемых в состав заявки</w:t>
            </w:r>
            <w:r>
              <w:rPr>
                <w:webHidden/>
              </w:rPr>
              <w:fldChar w:fldCharType="begin"/>
            </w:r>
            <w:r>
              <w:rPr>
                <w:webHidden/>
              </w:rPr>
              <w:instrText xml:space="preserve">PAGEREF _Toc228877718 \h</w:instrText>
            </w:r>
            <w:r>
              <w:rPr>
                <w:webHidden/>
              </w:rPr>
              <w:fldChar w:fldCharType="separate"/>
            </w:r>
            <w:r>
              <w:rPr>
                <w:rStyle w:val="Style17"/>
                <w:vanish w:val="false"/>
              </w:rPr>
              <w:tab/>
              <w:t>69</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19">
            <w:r>
              <w:rPr>
                <w:webHidden/>
                <w:rStyle w:val="Style17"/>
                <w:vanish w:val="false"/>
              </w:rPr>
              <w:t>10.</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5 – Образцы форм документов, предоставляемых Победителем</w:t>
            </w:r>
            <w:r>
              <w:rPr>
                <w:webHidden/>
              </w:rPr>
              <w:fldChar w:fldCharType="begin"/>
            </w:r>
            <w:r>
              <w:rPr>
                <w:webHidden/>
              </w:rPr>
              <w:instrText xml:space="preserve">PAGEREF _Toc228877719 \h</w:instrText>
            </w:r>
            <w:r>
              <w:rPr>
                <w:webHidden/>
              </w:rPr>
              <w:fldChar w:fldCharType="separate"/>
            </w:r>
            <w:r>
              <w:rPr>
                <w:rStyle w:val="Style17"/>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0">
            <w:r>
              <w:rPr>
                <w:webHidden/>
                <w:rStyle w:val="Style17"/>
                <w:vanish w:val="false"/>
              </w:rPr>
              <w:t>10.1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Образцам форм документов, предоставляемых Победителем</w:t>
            </w:r>
            <w:r>
              <w:rPr>
                <w:webHidden/>
              </w:rPr>
              <w:fldChar w:fldCharType="begin"/>
            </w:r>
            <w:r>
              <w:rPr>
                <w:webHidden/>
              </w:rPr>
              <w:instrText xml:space="preserve">PAGEREF _Toc228877720 \h</w:instrText>
            </w:r>
            <w:r>
              <w:rPr>
                <w:webHidden/>
              </w:rPr>
              <w:fldChar w:fldCharType="separate"/>
            </w:r>
            <w:r>
              <w:rPr>
                <w:rStyle w:val="Style17"/>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1">
            <w:r>
              <w:rPr>
                <w:webHidden/>
                <w:rStyle w:val="Style17"/>
                <w:vanish w:val="false"/>
              </w:rPr>
              <w:t>10.2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Форма справки «Сведения о цепочке собственников, включая бенефициаров (в том числе конечных)»</w:t>
            </w:r>
            <w:r>
              <w:rPr>
                <w:webHidden/>
              </w:rPr>
              <w:fldChar w:fldCharType="begin"/>
            </w:r>
            <w:r>
              <w:rPr>
                <w:webHidden/>
              </w:rPr>
              <w:instrText xml:space="preserve">PAGEREF _Toc228877721 \h</w:instrText>
            </w:r>
            <w:r>
              <w:rPr>
                <w:webHidden/>
              </w:rPr>
              <w:fldChar w:fldCharType="separate"/>
            </w:r>
            <w:r>
              <w:rPr>
                <w:rStyle w:val="Style17"/>
                <w:vanish w:val="false"/>
              </w:rPr>
              <w:tab/>
              <w:t>70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2">
            <w:r>
              <w:rPr>
                <w:webHidden/>
                <w:rStyle w:val="Style17"/>
                <w:vanish w:val="false"/>
              </w:rPr>
              <w:t>10.3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Форма «Заверение об обстоятельствах»</w:t>
            </w:r>
            <w:r>
              <w:rPr>
                <w:webHidden/>
              </w:rPr>
              <w:fldChar w:fldCharType="begin"/>
            </w:r>
            <w:r>
              <w:rPr>
                <w:webHidden/>
              </w:rPr>
              <w:instrText xml:space="preserve">PAGEREF _Toc228877722 \h</w:instrText>
            </w:r>
            <w:r>
              <w:rPr>
                <w:webHidden/>
              </w:rPr>
              <w:fldChar w:fldCharType="separate"/>
            </w:r>
            <w:r>
              <w:rPr>
                <w:rStyle w:val="Style17"/>
                <w:vanish w:val="false"/>
              </w:rPr>
              <w:tab/>
              <w:t>70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23">
            <w:r>
              <w:rPr>
                <w:webHidden/>
                <w:rStyle w:val="Style17"/>
                <w:vanish w:val="false"/>
              </w:rPr>
              <w:t>11.</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6 – Состав заявки</w:t>
            </w:r>
            <w:r>
              <w:rPr>
                <w:webHidden/>
              </w:rPr>
              <w:fldChar w:fldCharType="begin"/>
            </w:r>
            <w:r>
              <w:rPr>
                <w:webHidden/>
              </w:rPr>
              <w:instrText xml:space="preserve">PAGEREF _Toc228877723 \h</w:instrText>
            </w:r>
            <w:r>
              <w:rPr>
                <w:webHidden/>
              </w:rPr>
              <w:fldChar w:fldCharType="separate"/>
            </w:r>
            <w:r>
              <w:rPr>
                <w:rStyle w:val="Style17"/>
                <w:vanish w:val="false"/>
              </w:rPr>
              <w:tab/>
              <w:t>72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4">
            <w:r>
              <w:rPr>
                <w:webHidden/>
                <w:rStyle w:val="Style17"/>
                <w:vanish w:val="false"/>
              </w:rPr>
              <w:t>11.1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Состав заявки</w:t>
            </w:r>
            <w:r>
              <w:rPr>
                <w:webHidden/>
              </w:rPr>
              <w:fldChar w:fldCharType="begin"/>
            </w:r>
            <w:r>
              <w:rPr>
                <w:webHidden/>
              </w:rPr>
              <w:instrText xml:space="preserve">PAGEREF _Toc228877724 \h</w:instrText>
            </w:r>
            <w:r>
              <w:rPr>
                <w:webHidden/>
              </w:rPr>
              <w:fldChar w:fldCharType="separate"/>
            </w:r>
            <w:r>
              <w:rPr>
                <w:rStyle w:val="Style17"/>
                <w:vanish w:val="false"/>
              </w:rPr>
              <w:tab/>
              <w:t>72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25">
            <w:r>
              <w:rPr>
                <w:webHidden/>
                <w:rStyle w:val="Style17"/>
                <w:vanish w:val="false"/>
              </w:rPr>
              <w:t>12.</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7 – Отборочные критерии рассмотрения заявок</w:t>
            </w:r>
            <w:r>
              <w:rPr>
                <w:webHidden/>
              </w:rPr>
              <w:fldChar w:fldCharType="begin"/>
            </w:r>
            <w:r>
              <w:rPr>
                <w:webHidden/>
              </w:rPr>
              <w:instrText xml:space="preserve">PAGEREF _Toc228877725 \h</w:instrText>
            </w:r>
            <w:r>
              <w:rPr>
                <w:webHidden/>
              </w:rPr>
              <w:fldChar w:fldCharType="separate"/>
            </w:r>
            <w:r>
              <w:rPr>
                <w:rStyle w:val="Style17"/>
                <w:vanish w:val="false"/>
              </w:rPr>
              <w:tab/>
              <w:t>75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6">
            <w:r>
              <w:rPr>
                <w:webHidden/>
                <w:rStyle w:val="Style17"/>
                <w:vanish w:val="false"/>
              </w:rPr>
              <w:t>12.1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первых частей заявок</w:t>
            </w:r>
            <w:r>
              <w:rPr>
                <w:webHidden/>
              </w:rPr>
              <w:fldChar w:fldCharType="begin"/>
            </w:r>
            <w:r>
              <w:rPr>
                <w:webHidden/>
              </w:rPr>
              <w:instrText xml:space="preserve">PAGEREF _Toc228877726 \h</w:instrText>
            </w:r>
            <w:r>
              <w:rPr>
                <w:webHidden/>
              </w:rPr>
              <w:fldChar w:fldCharType="separate"/>
            </w:r>
            <w:r>
              <w:rPr>
                <w:rStyle w:val="Style17"/>
                <w:vanish w:val="false"/>
              </w:rPr>
              <w:tab/>
              <w:t>75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7">
            <w:r>
              <w:rPr>
                <w:webHidden/>
                <w:rStyle w:val="Style17"/>
                <w:vanish w:val="false"/>
              </w:rPr>
              <w:t>12.2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критерии проверки первых частей заявок на соответствия условиям Документации о закупке</w:t>
            </w:r>
            <w:r>
              <w:rPr>
                <w:webHidden/>
              </w:rPr>
              <w:fldChar w:fldCharType="begin"/>
            </w:r>
            <w:r>
              <w:rPr>
                <w:webHidden/>
              </w:rPr>
              <w:instrText xml:space="preserve">PAGEREF _Toc228877727 \h</w:instrText>
            </w:r>
            <w:r>
              <w:rPr>
                <w:webHidden/>
              </w:rPr>
              <w:fldChar w:fldCharType="separate"/>
            </w:r>
            <w:r>
              <w:rPr>
                <w:rStyle w:val="Style17"/>
                <w:vanish w:val="false"/>
              </w:rPr>
              <w:tab/>
              <w:t>76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8">
            <w:r>
              <w:rPr>
                <w:webHidden/>
                <w:rStyle w:val="Style17"/>
                <w:vanish w:val="false"/>
              </w:rPr>
              <w:t>12.3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вторых частей заявок</w:t>
            </w:r>
            <w:r>
              <w:rPr>
                <w:webHidden/>
              </w:rPr>
              <w:fldChar w:fldCharType="begin"/>
            </w:r>
            <w:r>
              <w:rPr>
                <w:webHidden/>
              </w:rPr>
              <w:instrText xml:space="preserve">PAGEREF _Toc228877728 \h</w:instrText>
            </w:r>
            <w:r>
              <w:rPr>
                <w:webHidden/>
              </w:rPr>
              <w:fldChar w:fldCharType="separate"/>
            </w:r>
            <w:r>
              <w:rPr>
                <w:rStyle w:val="Style17"/>
                <w:vanish w:val="false"/>
              </w:rPr>
              <w:tab/>
              <w:t>77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29">
            <w:r>
              <w:rPr>
                <w:webHidden/>
                <w:rStyle w:val="Style17"/>
                <w:vanish w:val="false"/>
              </w:rPr>
              <w:t>12.4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ценовых предложений</w:t>
            </w:r>
            <w:r>
              <w:rPr>
                <w:webHidden/>
              </w:rPr>
              <w:fldChar w:fldCharType="begin"/>
            </w:r>
            <w:r>
              <w:rPr>
                <w:webHidden/>
              </w:rPr>
              <w:instrText xml:space="preserve">PAGEREF _Toc228877729 \h</w:instrText>
            </w:r>
            <w:r>
              <w:rPr>
                <w:webHidden/>
              </w:rPr>
              <w:fldChar w:fldCharType="separate"/>
            </w:r>
            <w:r>
              <w:rPr>
                <w:rStyle w:val="Style17"/>
                <w:vanish w:val="false"/>
              </w:rPr>
              <w:tab/>
              <w:t>80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0">
            <w:r>
              <w:rPr>
                <w:webHidden/>
                <w:rStyle w:val="Style17"/>
                <w:vanish w:val="false"/>
              </w:rPr>
              <w:t>12.5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критерии проверки заявок на соответствие условиям Документации о закупке</w:t>
            </w:r>
            <w:r>
              <w:rPr>
                <w:webHidden/>
              </w:rPr>
              <w:fldChar w:fldCharType="begin"/>
            </w:r>
            <w:r>
              <w:rPr>
                <w:webHidden/>
              </w:rPr>
              <w:instrText xml:space="preserve">PAGEREF _Toc228877730 \h</w:instrText>
            </w:r>
            <w:r>
              <w:rPr>
                <w:webHidden/>
              </w:rPr>
              <w:fldChar w:fldCharType="separate"/>
            </w:r>
            <w:r>
              <w:rPr>
                <w:rStyle w:val="Style17"/>
                <w:vanish w:val="false"/>
              </w:rPr>
              <w:tab/>
              <w:t>81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31">
            <w:r>
              <w:rPr>
                <w:webHidden/>
                <w:rStyle w:val="Style17"/>
                <w:vanish w:val="false"/>
              </w:rPr>
              <w:t>13.</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8 – Порядок и критерии оценки и сопоставления заявок</w:t>
            </w:r>
            <w:r>
              <w:rPr>
                <w:webHidden/>
              </w:rPr>
              <w:fldChar w:fldCharType="begin"/>
            </w:r>
            <w:r>
              <w:rPr>
                <w:webHidden/>
              </w:rPr>
              <w:instrText xml:space="preserve">PAGEREF _Toc228877731 \h</w:instrText>
            </w:r>
            <w:r>
              <w:rPr>
                <w:webHidden/>
              </w:rPr>
              <w:fldChar w:fldCharType="separate"/>
            </w:r>
            <w:r>
              <w:rPr>
                <w:rStyle w:val="Style17"/>
                <w:vanish w:val="false"/>
              </w:rPr>
              <w:tab/>
              <w:t>83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2">
            <w:r>
              <w:rPr>
                <w:webHidden/>
                <w:rStyle w:val="Style17"/>
                <w:vanish w:val="false"/>
              </w:rPr>
              <w:t>13.1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Порядок и критерии оценки и сопоставления заявок</w:t>
            </w:r>
            <w:r>
              <w:rPr>
                <w:webHidden/>
              </w:rPr>
              <w:fldChar w:fldCharType="begin"/>
            </w:r>
            <w:r>
              <w:rPr>
                <w:webHidden/>
              </w:rPr>
              <w:instrText xml:space="preserve">PAGEREF _Toc228877732 \h</w:instrText>
            </w:r>
            <w:r>
              <w:rPr>
                <w:webHidden/>
              </w:rPr>
              <w:fldChar w:fldCharType="separate"/>
            </w:r>
            <w:r>
              <w:rPr>
                <w:rStyle w:val="Style17"/>
                <w:vanish w:val="false"/>
              </w:rPr>
              <w:tab/>
              <w:t>83</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33">
            <w:r>
              <w:rPr>
                <w:webHidden/>
                <w:rStyle w:val="Style17"/>
                <w:vanish w:val="false"/>
              </w:rPr>
              <w:t>14.</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9 – Обоснование НМЦ</w:t>
            </w:r>
            <w:r>
              <w:rPr>
                <w:webHidden/>
              </w:rPr>
              <w:fldChar w:fldCharType="begin"/>
            </w:r>
            <w:r>
              <w:rPr>
                <w:webHidden/>
              </w:rPr>
              <w:instrText xml:space="preserve">PAGEREF _Toc228877733 \h</w:instrText>
            </w:r>
            <w:r>
              <w:rPr>
                <w:webHidden/>
              </w:rPr>
              <w:fldChar w:fldCharType="separate"/>
            </w:r>
            <w:r>
              <w:rPr>
                <w:rStyle w:val="Style17"/>
                <w:vanish w:val="false"/>
              </w:rPr>
              <w:tab/>
              <w:t>89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4">
            <w:r>
              <w:rPr>
                <w:webHidden/>
                <w:rStyle w:val="Style17"/>
                <w:vanish w:val="false"/>
              </w:rPr>
              <w:t>14.1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Обоснованию НМЦ</w:t>
            </w:r>
            <w:r>
              <w:rPr>
                <w:webHidden/>
              </w:rPr>
              <w:fldChar w:fldCharType="begin"/>
            </w:r>
            <w:r>
              <w:rPr>
                <w:webHidden/>
              </w:rPr>
              <w:instrText xml:space="preserve">PAGEREF _Toc228877734 \h</w:instrText>
            </w:r>
            <w:r>
              <w:rPr>
                <w:webHidden/>
              </w:rPr>
              <w:fldChar w:fldCharType="separate"/>
            </w:r>
            <w:r>
              <w:rPr>
                <w:rStyle w:val="Style17"/>
                <w:vanish w:val="false"/>
              </w:rPr>
              <w:tab/>
              <w:t>89</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35">
            <w:r>
              <w:rPr>
                <w:webHidden/>
                <w:rStyle w:val="Style17"/>
                <w:vanish w:val="false"/>
              </w:rPr>
              <w:t>15.</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10 – Форма Заявки на аккредитацию</w:t>
            </w:r>
            <w:r>
              <w:rPr>
                <w:webHidden/>
              </w:rPr>
              <w:fldChar w:fldCharType="begin"/>
            </w:r>
            <w:r>
              <w:rPr>
                <w:webHidden/>
              </w:rPr>
              <w:instrText xml:space="preserve">PAGEREF _Toc228877735 \h</w:instrText>
            </w:r>
            <w:r>
              <w:rPr>
                <w:webHidden/>
              </w:rPr>
              <w:fldChar w:fldCharType="separate"/>
            </w:r>
            <w:r>
              <w:rPr>
                <w:rStyle w:val="Style17"/>
                <w:vanish w:val="false"/>
              </w:rPr>
              <w:tab/>
              <w:t>90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6">
            <w:r>
              <w:rPr>
                <w:webHidden/>
                <w:rStyle w:val="Style17"/>
                <w:vanish w:val="false"/>
              </w:rPr>
              <w:t>15.1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форме Заявки на аккредитацию</w:t>
            </w:r>
            <w:r>
              <w:rPr>
                <w:webHidden/>
              </w:rPr>
              <w:fldChar w:fldCharType="begin"/>
            </w:r>
            <w:r>
              <w:rPr>
                <w:webHidden/>
              </w:rPr>
              <w:instrText xml:space="preserve">PAGEREF _Toc228877736 \h</w:instrText>
            </w:r>
            <w:r>
              <w:rPr>
                <w:webHidden/>
              </w:rPr>
              <w:fldChar w:fldCharType="separate"/>
            </w:r>
            <w:r>
              <w:rPr>
                <w:rStyle w:val="Style17"/>
                <w:vanish w:val="false"/>
              </w:rPr>
              <w:tab/>
              <w:t>90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737">
            <w:r>
              <w:rPr>
                <w:webHidden/>
                <w:rStyle w:val="Style17"/>
                <w:vanish w:val="false"/>
              </w:rPr>
              <w:t>16.</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11 – форма Данных бухгалтерской (финансовой) отчетности</w:t>
            </w:r>
            <w:r>
              <w:rPr>
                <w:webHidden/>
              </w:rPr>
              <w:fldChar w:fldCharType="begin"/>
            </w:r>
            <w:r>
              <w:rPr>
                <w:webHidden/>
              </w:rPr>
              <w:instrText xml:space="preserve">PAGEREF _Toc228877737 \h</w:instrText>
            </w:r>
            <w:r>
              <w:rPr>
                <w:webHidden/>
              </w:rPr>
              <w:fldChar w:fldCharType="separate"/>
            </w:r>
            <w:r>
              <w:rPr>
                <w:rStyle w:val="Style17"/>
                <w:vanish w:val="false"/>
              </w:rPr>
              <w:tab/>
              <w:t>91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738">
            <w:r>
              <w:rPr>
                <w:webHidden/>
                <w:rStyle w:val="Style17"/>
                <w:vanish w:val="false"/>
              </w:rPr>
              <w:t>16.1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форме Данных бухгалтерской (финансовой) отчетности</w:t>
            </w:r>
            <w:r>
              <w:rPr>
                <w:webHidden/>
              </w:rPr>
              <w:fldChar w:fldCharType="begin"/>
            </w:r>
            <w:r>
              <w:rPr>
                <w:webHidden/>
              </w:rPr>
              <w:instrText xml:space="preserve">PAGEREF _Toc228877738 \h</w:instrText>
            </w:r>
            <w:r>
              <w:rPr>
                <w:webHidden/>
              </w:rPr>
              <w:fldChar w:fldCharType="separate"/>
            </w:r>
            <w:r>
              <w:rPr>
                <w:rStyle w:val="Style17"/>
                <w:vanish w:val="false"/>
              </w:rPr>
              <w:tab/>
              <w:t>91</w:t>
            </w:r>
            <w:r>
              <w:rPr>
                <w:webHidden/>
              </w:rPr>
              <w:fldChar w:fldCharType="end"/>
            </w:r>
          </w:hyperlink>
          <w:r>
            <w:rPr>
              <w:rStyle w:val="Style17"/>
              <w:vanish w:val="false"/>
            </w:rPr>
            <w:fldChar w:fldCharType="end"/>
          </w:r>
        </w:p>
      </w:sdtContent>
    </w:sdt>
    <w:p>
      <w:pPr>
        <w:pStyle w:val="Style28"/>
        <w:jc w:val="both"/>
        <w:rPr/>
      </w:pPr>
      <w:r>
        <w:rPr/>
      </w:r>
    </w:p>
    <w:p>
      <w:pPr>
        <w:pStyle w:val="Style28"/>
        <w:keepNext w:val="true"/>
        <w:spacing w:before="60" w:after="0"/>
        <w:rPr>
          <w:rStyle w:val="Style14"/>
        </w:rPr>
      </w:pPr>
      <w:r>
        <w:rPr>
          <w:rStyle w:val="Style14"/>
        </w:rPr>
        <w:t xml:space="preserve">[Примечание (дополнительные удобства работы с Документацией о закупке; Microsoft Word | </w:t>
      </w:r>
      <w:r>
        <w:rPr>
          <w:rStyle w:val="Style14"/>
          <w:color w:val="4472C4" w:themeColor="accent1"/>
        </w:rPr>
        <w:t>AlterOffice AText – отмечены отличая для данного текстового редактора</w:t>
      </w:r>
      <w:r>
        <w:rPr>
          <w:rStyle w:val="Style14"/>
        </w:rPr>
        <w:t>):</w:t>
      </w:r>
    </w:p>
    <w:p>
      <w:pPr>
        <w:pStyle w:val="Style28"/>
        <w:numPr>
          <w:ilvl w:val="0"/>
          <w:numId w:val="8"/>
        </w:numPr>
        <w:spacing w:before="60" w:after="0"/>
        <w:ind w:left="284" w:hanging="284"/>
        <w:rPr>
          <w:rStyle w:val="Style14"/>
        </w:rPr>
      </w:pPr>
      <w:r>
        <w:rPr>
          <w:rStyle w:val="Style14"/>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4"/>
          <w:color w:val="4472C4" w:themeColor="accent1"/>
        </w:rPr>
        <w:t>включается на вкладке «Вид» опцией «Навигатор»</w:t>
      </w:r>
      <w:r>
        <w:rPr>
          <w:rStyle w:val="Style14"/>
        </w:rPr>
        <w:t>;</w:t>
      </w:r>
    </w:p>
    <w:p>
      <w:pPr>
        <w:pStyle w:val="Style28"/>
        <w:numPr>
          <w:ilvl w:val="0"/>
          <w:numId w:val="8"/>
        </w:numPr>
        <w:spacing w:before="60" w:after="0"/>
        <w:ind w:left="284" w:hanging="284"/>
        <w:rPr>
          <w:rStyle w:val="Style14"/>
        </w:rPr>
      </w:pPr>
      <w:r>
        <w:rPr>
          <w:rStyle w:val="Style14"/>
        </w:rPr>
        <w:t>переход по перекрестным и другим ссылкам осуществляется левым кликом мыши с</w:t>
      </w:r>
      <w:r>
        <w:rPr>
          <w:rStyle w:val="Style14"/>
          <w:lang w:val="en-US"/>
        </w:rPr>
        <w:t> </w:t>
      </w:r>
      <w:r>
        <w:rPr>
          <w:rStyle w:val="Style14"/>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4"/>
          <w:color w:val="4472C4" w:themeColor="accent1"/>
        </w:rPr>
        <w:t>(обратный переход функционально не реализован в AlterOffice AText, пользуйтесь функциональностью «Навигатор»)</w:t>
      </w:r>
      <w:r>
        <w:rPr>
          <w:rStyle w:val="Style14"/>
        </w:rPr>
        <w:t>;</w:t>
      </w:r>
    </w:p>
    <w:p>
      <w:pPr>
        <w:pStyle w:val="Style28"/>
        <w:numPr>
          <w:ilvl w:val="0"/>
          <w:numId w:val="8"/>
        </w:numPr>
        <w:spacing w:before="60" w:after="0"/>
        <w:ind w:left="284" w:hanging="284"/>
        <w:rPr>
          <w:rStyle w:val="Style14"/>
        </w:rPr>
      </w:pPr>
      <w:r>
        <w:rPr>
          <w:rStyle w:val="Style14"/>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4"/>
          <w:lang w:val="en-US"/>
        </w:rPr>
        <w:t> </w:t>
      </w:r>
      <w:r>
        <w:rPr>
          <w:rStyle w:val="Style14"/>
        </w:rPr>
        <w:t>тексте;</w:t>
      </w:r>
    </w:p>
    <w:p>
      <w:pPr>
        <w:pStyle w:val="Style28"/>
        <w:numPr>
          <w:ilvl w:val="0"/>
          <w:numId w:val="8"/>
        </w:numPr>
        <w:spacing w:before="60" w:after="0"/>
        <w:ind w:left="284" w:hanging="284"/>
        <w:rPr>
          <w:rStyle w:val="Style14"/>
        </w:rPr>
      </w:pPr>
      <w:r>
        <w:rPr>
          <w:rStyle w:val="Style14"/>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4"/>
        </w:rPr>
        <w:t>.]</w:t>
      </w:r>
    </w:p>
    <w:p>
      <w:pPr>
        <w:pStyle w:val="Style27"/>
        <w:numPr>
          <w:ilvl w:val="0"/>
          <w:numId w:val="0"/>
        </w:numPr>
        <w:ind w:left="0" w:hanging="0"/>
        <w:outlineLvl w:val="0"/>
        <w:rPr/>
      </w:pPr>
      <w:bookmarkStart w:id="0" w:name="_Toc228877668"/>
      <w:r>
        <w:rPr/>
        <w:t>Сокращения</w:t>
      </w:r>
      <w:bookmarkEnd w:id="0"/>
    </w:p>
    <w:p>
      <w:pPr>
        <w:pStyle w:val="Style28"/>
        <w:ind w:firstLine="567"/>
        <w:rPr/>
      </w:pPr>
      <w:r>
        <w:rPr>
          <w:b/>
          <w:bCs/>
        </w:rPr>
        <w:t>ГК РФ</w:t>
      </w:r>
      <w:r>
        <w:rPr/>
        <w:t xml:space="preserve"> – Гражданской кодекс Российской Федерации.</w:t>
      </w:r>
    </w:p>
    <w:p>
      <w:pPr>
        <w:pStyle w:val="Style28"/>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8"/>
        <w:ind w:firstLine="567"/>
        <w:rPr/>
      </w:pPr>
      <w:r>
        <w:rPr>
          <w:b/>
          <w:bCs/>
        </w:rPr>
        <w:t>ЕАЭС</w:t>
      </w:r>
      <w:r>
        <w:rPr/>
        <w:t xml:space="preserve"> – Евразийский экономический союз.</w:t>
      </w:r>
    </w:p>
    <w:p>
      <w:pPr>
        <w:pStyle w:val="Style28"/>
        <w:ind w:firstLine="567"/>
        <w:rPr/>
      </w:pPr>
      <w:r>
        <w:rPr>
          <w:b/>
          <w:bCs/>
        </w:rPr>
        <w:t>ЕГРИП</w:t>
      </w:r>
      <w:r>
        <w:rPr/>
        <w:t xml:space="preserve"> – Единый государственный реестр индивидуальных предпринимателей.</w:t>
      </w:r>
    </w:p>
    <w:p>
      <w:pPr>
        <w:pStyle w:val="Style28"/>
        <w:ind w:firstLine="567"/>
        <w:rPr/>
      </w:pPr>
      <w:r>
        <w:rPr>
          <w:b/>
          <w:bCs/>
        </w:rPr>
        <w:t>ЕГРЮЛ</w:t>
      </w:r>
      <w:r>
        <w:rPr/>
        <w:t xml:space="preserve"> – Единый государственный реестр юридических лиц.</w:t>
      </w:r>
    </w:p>
    <w:p>
      <w:pPr>
        <w:pStyle w:val="Style28"/>
        <w:ind w:firstLine="567"/>
        <w:rPr/>
      </w:pPr>
      <w:r>
        <w:rPr>
          <w:b/>
          <w:bCs/>
        </w:rPr>
        <w:t>ЕИС</w:t>
      </w:r>
      <w:r>
        <w:rPr/>
        <w:t xml:space="preserve"> – Единая информационная система в сфере закупок.</w:t>
      </w:r>
    </w:p>
    <w:p>
      <w:pPr>
        <w:pStyle w:val="Style28"/>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28"/>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8"/>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8"/>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8"/>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8"/>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8"/>
        <w:ind w:firstLine="567"/>
        <w:rPr/>
      </w:pPr>
      <w:r>
        <w:rPr>
          <w:b/>
          <w:bCs/>
        </w:rPr>
        <w:t>Извещение</w:t>
      </w:r>
      <w:r>
        <w:rPr/>
        <w:t xml:space="preserve"> – извещение о проведении настоящей закупки.</w:t>
      </w:r>
    </w:p>
    <w:p>
      <w:pPr>
        <w:pStyle w:val="Style28"/>
        <w:ind w:firstLine="567"/>
        <w:rPr/>
      </w:pPr>
      <w:r>
        <w:rPr>
          <w:b/>
          <w:bCs/>
        </w:rPr>
        <w:t>ИНН</w:t>
      </w:r>
      <w:r>
        <w:rPr/>
        <w:t xml:space="preserve"> – идентификационный номер налогоплательщика.</w:t>
      </w:r>
    </w:p>
    <w:p>
      <w:pPr>
        <w:pStyle w:val="Style28"/>
        <w:ind w:firstLine="567"/>
        <w:rPr/>
      </w:pPr>
      <w:r>
        <w:rPr>
          <w:b/>
          <w:bCs/>
        </w:rPr>
        <w:t>ИФНС</w:t>
      </w:r>
      <w:r>
        <w:rPr/>
        <w:t xml:space="preserve"> – инспекция Федеральной налоговой службы Российской Федерации.</w:t>
      </w:r>
    </w:p>
    <w:p>
      <w:pPr>
        <w:pStyle w:val="Style28"/>
        <w:ind w:firstLine="567"/>
        <w:rPr/>
      </w:pPr>
      <w:r>
        <w:rPr>
          <w:b/>
          <w:bCs/>
        </w:rPr>
        <w:t>МТР</w:t>
      </w:r>
      <w:r>
        <w:rPr/>
        <w:t xml:space="preserve"> – материально-технические ресурсы.</w:t>
      </w:r>
    </w:p>
    <w:p>
      <w:pPr>
        <w:pStyle w:val="Style28"/>
        <w:ind w:firstLine="567"/>
        <w:rPr/>
      </w:pPr>
      <w:r>
        <w:rPr>
          <w:b/>
          <w:bCs/>
        </w:rPr>
        <w:t>НДС</w:t>
      </w:r>
      <w:r>
        <w:rPr/>
        <w:t xml:space="preserve"> – налог на добавленную стоимость.</w:t>
      </w:r>
    </w:p>
    <w:p>
      <w:pPr>
        <w:pStyle w:val="Style28"/>
        <w:ind w:firstLine="567"/>
        <w:rPr/>
      </w:pPr>
      <w:r>
        <w:rPr>
          <w:b/>
          <w:bCs/>
        </w:rPr>
        <w:t>НМЦ</w:t>
      </w:r>
      <w:r>
        <w:rPr/>
        <w:t xml:space="preserve"> – начальная (максимальная) цена договора.</w:t>
      </w:r>
    </w:p>
    <w:p>
      <w:pPr>
        <w:pStyle w:val="Style28"/>
        <w:ind w:firstLine="567"/>
        <w:rPr/>
      </w:pPr>
      <w:r>
        <w:rPr>
          <w:b/>
          <w:bCs/>
        </w:rPr>
        <w:t>Оператор ЭП</w:t>
      </w:r>
      <w:r>
        <w:rPr/>
        <w:t xml:space="preserve"> – оператор электронной площадки.</w:t>
      </w:r>
    </w:p>
    <w:p>
      <w:pPr>
        <w:pStyle w:val="Style28"/>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8"/>
        <w:ind w:firstLine="567"/>
        <w:rPr/>
      </w:pPr>
      <w:r>
        <w:rPr>
          <w:b/>
          <w:bCs/>
        </w:rPr>
        <w:t>Положение о закупке</w:t>
      </w:r>
      <w:r>
        <w:rPr/>
        <w:t xml:space="preserve"> – Единое Положение о закупке продукции для нужд Группы РусГидро.</w:t>
      </w:r>
    </w:p>
    <w:p>
      <w:pPr>
        <w:pStyle w:val="Style28"/>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8"/>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28"/>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28"/>
        <w:ind w:firstLine="567"/>
        <w:rPr/>
      </w:pPr>
      <w:r>
        <w:rPr/>
      </w:r>
    </w:p>
    <w:p>
      <w:pPr>
        <w:pStyle w:val="Style28"/>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8"/>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8"/>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8"/>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8"/>
        <w:ind w:firstLine="567"/>
        <w:rPr/>
      </w:pPr>
      <w:r>
        <w:rPr>
          <w:b/>
          <w:bCs/>
        </w:rPr>
        <w:t>Субъект МСП</w:t>
      </w:r>
      <w:r>
        <w:rPr/>
        <w:t xml:space="preserve"> – субъект малого и среднего предпринимательства.</w:t>
      </w:r>
    </w:p>
    <w:p>
      <w:pPr>
        <w:pStyle w:val="Style28"/>
        <w:ind w:firstLine="567"/>
        <w:rPr/>
      </w:pPr>
      <w:r>
        <w:rPr>
          <w:b/>
          <w:bCs/>
        </w:rPr>
        <w:t>ЭП</w:t>
      </w:r>
      <w:r>
        <w:rPr/>
        <w:t xml:space="preserve"> – электронная площадка.</w:t>
      </w:r>
    </w:p>
    <w:p>
      <w:pPr>
        <w:pStyle w:val="Style27"/>
        <w:numPr>
          <w:ilvl w:val="0"/>
          <w:numId w:val="0"/>
        </w:numPr>
        <w:ind w:left="0" w:hanging="0"/>
        <w:outlineLvl w:val="0"/>
        <w:rPr/>
      </w:pPr>
      <w:bookmarkStart w:id="1" w:name="_Toc228877669"/>
      <w:r>
        <w:rPr/>
        <w:t>Термины и определения</w:t>
      </w:r>
      <w:bookmarkEnd w:id="1"/>
    </w:p>
    <w:p>
      <w:pPr>
        <w:pStyle w:val="Style28"/>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8"/>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8"/>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8"/>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8"/>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8"/>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8"/>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8"/>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8"/>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8"/>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8"/>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8"/>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8"/>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8"/>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8"/>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8"/>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8"/>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8"/>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8"/>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8"/>
        <w:ind w:firstLine="567"/>
        <w:rPr/>
      </w:pPr>
      <w:r>
        <w:rPr>
          <w:b/>
          <w:bCs/>
        </w:rPr>
        <w:t>Официальное размещение</w:t>
      </w:r>
      <w:r>
        <w:rPr/>
        <w:t xml:space="preserve"> – размещение информации о закупке в ЕИС, на Официальном сайте </w:t>
      </w:r>
      <w:bookmarkStart w:id="2" w:name="_Hlk149048701"/>
      <w:r>
        <w:rPr/>
        <w:t>(с размещением копий на ЭП)</w:t>
      </w:r>
      <w:bookmarkEnd w:id="2"/>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8"/>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8"/>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8"/>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8"/>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8"/>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8"/>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8"/>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8"/>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8"/>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8"/>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8"/>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28"/>
        <w:ind w:firstLine="567"/>
        <w:rPr/>
      </w:pPr>
      <w:r>
        <w:rPr>
          <w:b/>
          <w:bCs/>
        </w:rPr>
        <w:t>Участник</w:t>
      </w:r>
      <w:r>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в том числе индивидуальный предприниматель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8"/>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22"/>
        <w:rPr/>
      </w:pPr>
      <w:bookmarkStart w:id="3" w:name="_Toc228877670"/>
      <w:bookmarkStart w:id="4" w:name="_Ref125359988"/>
      <w:r>
        <w:rPr/>
        <w:t>Основные сведения о закупке</w:t>
      </w:r>
      <w:bookmarkEnd w:id="3"/>
      <w:bookmarkEnd w:id="4"/>
    </w:p>
    <w:p>
      <w:pPr>
        <w:pStyle w:val="Style23"/>
        <w:rPr/>
      </w:pPr>
      <w:bookmarkStart w:id="5" w:name="_Toc228877671"/>
      <w:r>
        <w:rPr/>
        <w:t>Статус настоящего раздела</w:t>
      </w:r>
      <w:bookmarkEnd w:id="5"/>
    </w:p>
    <w:p>
      <w:pPr>
        <w:pStyle w:val="Style24"/>
        <w:rPr/>
      </w:pPr>
      <w:r>
        <w:rPr/>
        <w:t>В настоящем разделе содержатся основные сведения о предмете, способе и иных ключевых условиях проводимой закупки.</w:t>
      </w:r>
    </w:p>
    <w:p>
      <w:pPr>
        <w:pStyle w:val="Style24"/>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4"/>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2</w:t>
      </w:r>
      <w:r>
        <w:rPr/>
        <w:fldChar w:fldCharType="end"/>
      </w:r>
      <w:r>
        <w:rPr/>
        <w:t>, в объеме, определенном частью 9 статьи 4 Закона 223-ФЗ, составляет Извещение о закупке.</w:t>
      </w:r>
    </w:p>
    <w:p>
      <w:pPr>
        <w:pStyle w:val="Style23"/>
        <w:spacing w:before="360" w:after="120"/>
        <w:rPr/>
      </w:pPr>
      <w:bookmarkStart w:id="6" w:name="_Toc228877672"/>
      <w:bookmarkStart w:id="7" w:name="_Ref132876309"/>
      <w:bookmarkStart w:id="8" w:name="_Ref127270076"/>
      <w:bookmarkStart w:id="9" w:name="_Ref125359973"/>
      <w:r>
        <w:rPr/>
        <w:t>Информация о проводимой закупке</w:t>
      </w:r>
      <w:bookmarkEnd w:id="6"/>
      <w:bookmarkEnd w:id="7"/>
      <w:bookmarkEnd w:id="8"/>
      <w:bookmarkEnd w:id="9"/>
    </w:p>
    <w:tbl>
      <w:tblPr>
        <w:tblStyle w:val="af9"/>
        <w:tblW w:w="9912"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6"/>
        <w:gridCol w:w="2891"/>
        <w:gridCol w:w="5895"/>
      </w:tblGrid>
      <w:tr>
        <w:trPr>
          <w:cnfStyle w:val="100000000000" w:firstRow="1" w:lastRow="0" w:firstColumn="0" w:lastColumn="0" w:oddVBand="0" w:evenVBand="0" w:oddHBand="0" w:evenHBand="0" w:firstRowFirstColumn="0" w:firstRowLastColumn="0" w:lastRowFirstColumn="0" w:lastRowLastColumn="0"/>
        </w:trPr>
        <w:tc>
          <w:tcPr>
            <w:tcW w:w="112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891"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4"/>
                <w:szCs w:val="24"/>
                <w:lang w:val="ru-RU" w:eastAsia="en-US" w:bidi="ar-SA"/>
              </w:rPr>
            </w:pPr>
            <w:r>
              <w:rPr>
                <w:rFonts w:eastAsia="Calibri" w:cs=""/>
                <w:b/>
                <w:kern w:val="0"/>
                <w:sz w:val="24"/>
                <w:szCs w:val="24"/>
                <w:lang w:val="ru-RU" w:eastAsia="en-US" w:bidi="ar-SA"/>
              </w:rPr>
              <w:t>Наименование пункта</w:t>
            </w:r>
          </w:p>
        </w:tc>
        <w:tc>
          <w:tcPr>
            <w:tcW w:w="5895"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4"/>
                <w:szCs w:val="24"/>
                <w:lang w:val="ru-RU" w:eastAsia="en-US" w:bidi="ar-SA"/>
              </w:rPr>
            </w:pPr>
            <w:r>
              <w:rPr>
                <w:rFonts w:eastAsia="Calibri" w:cs=""/>
                <w:b/>
                <w:kern w:val="0"/>
                <w:sz w:val="24"/>
                <w:szCs w:val="24"/>
                <w:lang w:val="ru-RU" w:eastAsia="en-US" w:bidi="ar-SA"/>
              </w:rPr>
              <w:t>Содержание пункта</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0" w:name="_Ref125360980"/>
            <w:bookmarkStart w:id="11" w:name="_Ref125360980"/>
            <w:bookmarkEnd w:id="11"/>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Способ закупки:</w:t>
            </w:r>
          </w:p>
        </w:tc>
        <w:tc>
          <w:tcPr>
            <w:tcW w:w="5895"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Запрос предложений в электронной форме, участниками которого могут быть только субъекты МСП.</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2" w:name="_Ref125360996"/>
            <w:bookmarkStart w:id="13" w:name="_Ref125360996"/>
            <w:bookmarkEnd w:id="13"/>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Предмет Договора</w:t>
              <w:br/>
              <w:t>(в том числе номер лота):</w:t>
            </w:r>
          </w:p>
        </w:tc>
        <w:tc>
          <w:tcPr>
            <w:tcW w:w="5895" w:type="dxa"/>
            <w:tcBorders/>
          </w:tcPr>
          <w:p>
            <w:pPr>
              <w:pStyle w:val="Normal"/>
              <w:keepNext w:val="true"/>
              <w:widowControl w:val="false"/>
              <w:suppressAutoHyphens w:val="true"/>
              <w:spacing w:before="240" w:after="0"/>
              <w:jc w:val="left"/>
              <w:rPr/>
            </w:pPr>
            <w:r>
              <w:rPr>
                <w:rStyle w:val="Style8"/>
                <w:b/>
                <w:bCs/>
                <w:caps w:val="false"/>
                <w:smallCaps w:val="false"/>
                <w:strike w:val="false"/>
                <w:dstrike w:val="false"/>
                <w:color w:val="222222"/>
                <w:spacing w:val="0"/>
                <w:sz w:val="24"/>
                <w:szCs w:val="24"/>
                <w:u w:val="none"/>
                <w:effect w:val="none"/>
                <w:shd w:fill="auto" w:val="clear"/>
              </w:rPr>
              <w:t>ОКПД2 42.22.22.110. Выполнение проектно-изыскательских и строительно-монтажных работ по строительству КЛ-10кВ протяженностью 0,129 км, ВЛ-10 кВ протяженностью 1,006 км, установка РЛНД — 1шт, установка прибора учета -1 шт. п.Беркакит (в том числе разработать проектно-сметную документацию) для технологического присоединения заявителя ООО «ПКК-ЯКУТИЯ»</w:t>
            </w:r>
          </w:p>
          <w:p>
            <w:pPr>
              <w:pStyle w:val="Style28"/>
              <w:widowControl w:val="false"/>
              <w:suppressAutoHyphens w:val="true"/>
              <w:spacing w:before="240" w:after="0"/>
              <w:jc w:val="left"/>
              <w:rPr/>
            </w:pPr>
            <w:r>
              <w:rPr>
                <w:rStyle w:val="Style8"/>
                <w:rFonts w:eastAsia="Calibri" w:cs=""/>
                <w:b/>
                <w:bCs/>
                <w:caps w:val="false"/>
                <w:smallCaps w:val="false"/>
                <w:strike w:val="false"/>
                <w:dstrike w:val="false"/>
                <w:color w:val="222222"/>
                <w:spacing w:val="0"/>
                <w:kern w:val="0"/>
                <w:sz w:val="24"/>
                <w:szCs w:val="24"/>
                <w:u w:val="none"/>
                <w:effect w:val="none"/>
                <w:shd w:fill="auto" w:val="clear"/>
                <w:lang w:eastAsia="en-US" w:bidi="ar-SA"/>
              </w:rPr>
              <w:t>311901-КС ПИР СМР-2026-ДРСК-ЮЯЭС</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891"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Описание</w:t>
              <w:br/>
              <w:t>предмета закупки:</w:t>
            </w:r>
          </w:p>
        </w:tc>
        <w:tc>
          <w:tcPr>
            <w:tcW w:w="5895" w:type="dxa"/>
            <w:tcBorders/>
          </w:tcPr>
          <w:p>
            <w:pPr>
              <w:pStyle w:val="Style28"/>
              <w:widowControl w:val="false"/>
              <w:suppressAutoHyphens w:val="true"/>
              <w:spacing w:before="60" w:after="60"/>
              <w:rPr/>
            </w:pPr>
            <w:r>
              <w:rPr>
                <w:rFonts w:eastAsia="Calibri" w:cs=""/>
                <w:kern w:val="0"/>
                <w:sz w:val="24"/>
                <w:szCs w:val="24"/>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Fonts w:eastAsia="Calibri" w:cs=""/>
                  <w:kern w:val="0"/>
                  <w:sz w:val="24"/>
                  <w:szCs w:val="24"/>
                  <w:lang w:val="ru-RU" w:eastAsia="en-US" w:bidi="ar-SA"/>
                </w:rPr>
                <w:t>Технических требованиях (Приложении № 1)</w:t>
              </w:r>
            </w:hyperlink>
            <w:r>
              <w:rPr>
                <w:rFonts w:eastAsia="Calibri" w:cs=""/>
                <w:kern w:val="0"/>
                <w:sz w:val="24"/>
                <w:szCs w:val="24"/>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1"/>
                  <w:rFonts w:eastAsia="Calibri" w:cs=""/>
                  <w:kern w:val="0"/>
                  <w:sz w:val="24"/>
                  <w:szCs w:val="24"/>
                  <w:lang w:val="ru-RU" w:eastAsia="en-US" w:bidi="ar-SA"/>
                </w:rPr>
                <w:t>Приложение № 4</w:t>
              </w:r>
            </w:hyperlink>
            <w:r>
              <w:rPr>
                <w:rFonts w:eastAsia="Calibri" w:cs=""/>
                <w:kern w:val="0"/>
                <w:sz w:val="24"/>
                <w:szCs w:val="24"/>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7124"/>
            <w:bookmarkStart w:id="15" w:name="_Ref125367124"/>
            <w:bookmarkEnd w:id="15"/>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Многолотовая закупка:</w:t>
            </w:r>
          </w:p>
        </w:tc>
        <w:tc>
          <w:tcPr>
            <w:tcW w:w="5895" w:type="dxa"/>
            <w:tcBorders/>
          </w:tcPr>
          <w:p>
            <w:pPr>
              <w:pStyle w:val="Style28"/>
              <w:widowControl w:val="false"/>
              <w:suppressAutoHyphens w:val="true"/>
              <w:spacing w:before="60" w:after="60"/>
              <w:rPr>
                <w:sz w:val="24"/>
                <w:szCs w:val="24"/>
              </w:rPr>
            </w:pPr>
            <w:r>
              <w:rPr>
                <w:rFonts w:eastAsia="Calibri" w:cs=""/>
                <w:kern w:val="0"/>
                <w:sz w:val="24"/>
                <w:szCs w:val="24"/>
                <w:lang w:val="ru-RU" w:eastAsia="en-US" w:bidi="ar-SA"/>
              </w:rPr>
              <w:t>Нет.</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764"/>
            <w:bookmarkStart w:id="17" w:name="_Ref125360764"/>
            <w:bookmarkEnd w:id="17"/>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Наименование и адрес ЭП, на которой проводится закупка:</w:t>
            </w:r>
          </w:p>
        </w:tc>
        <w:tc>
          <w:tcPr>
            <w:tcW w:w="5895" w:type="dxa"/>
            <w:tcBorders/>
          </w:tcPr>
          <w:p>
            <w:pPr>
              <w:pStyle w:val="Style28"/>
              <w:widowControl w:val="false"/>
              <w:suppressAutoHyphens w:val="true"/>
              <w:spacing w:before="60" w:after="60"/>
              <w:rPr/>
            </w:pPr>
            <w:r>
              <w:rPr>
                <w:rFonts w:eastAsia="Calibri" w:cs=""/>
                <w:kern w:val="0"/>
                <w:sz w:val="24"/>
                <w:szCs w:val="24"/>
                <w:lang w:val="ru-RU" w:eastAsia="en-US" w:bidi="ar-SA"/>
              </w:rPr>
              <w:t xml:space="preserve">Электронная торговая площадка: Электронная (торговая) площадка: </w:t>
            </w:r>
            <w:hyperlink r:id="rId3">
              <w:r>
                <w:rPr>
                  <w:rStyle w:val="Hyperlink"/>
                  <w:rFonts w:eastAsia="Calibri" w:cs=""/>
                  <w:kern w:val="0"/>
                  <w:sz w:val="24"/>
                  <w:szCs w:val="24"/>
                  <w:lang w:val="ru-RU" w:eastAsia="en-US" w:bidi="ar-SA"/>
                </w:rPr>
                <w:t>https://tender.lot-online.ru</w:t>
              </w:r>
            </w:hyperlink>
          </w:p>
          <w:p>
            <w:pPr>
              <w:pStyle w:val="Normal"/>
              <w:widowControl w:val="false"/>
              <w:suppressAutoHyphens w:val="true"/>
              <w:spacing w:before="0" w:after="0"/>
              <w:jc w:val="left"/>
              <w:rPr>
                <w:bCs/>
                <w:sz w:val="24"/>
                <w:szCs w:val="24"/>
                <w:highlight w:val="none"/>
                <w:shd w:fill="auto" w:val="clear"/>
              </w:rPr>
            </w:pPr>
            <w:r>
              <w:rPr>
                <w:bCs/>
                <w:sz w:val="24"/>
                <w:szCs w:val="24"/>
                <w:shd w:fill="auto" w:val="clear"/>
              </w:rPr>
            </w:r>
          </w:p>
          <w:p>
            <w:pPr>
              <w:pStyle w:val="Style28"/>
              <w:widowControl w:val="false"/>
              <w:suppressAutoHyphens w:val="true"/>
              <w:spacing w:before="60" w:after="60"/>
              <w:rPr/>
            </w:pPr>
            <w:r>
              <w:rPr>
                <w:rStyle w:val="Style8"/>
                <w:rFonts w:eastAsia="Calibri" w:cs=""/>
                <w:i w:val="false"/>
                <w:iCs w:val="false"/>
                <w:kern w:val="0"/>
                <w:sz w:val="24"/>
                <w:szCs w:val="24"/>
                <w:shd w:fill="auto" w:val="clear"/>
                <w:lang w:val="ru-RU" w:eastAsia="en-US" w:bidi="ar-SA"/>
              </w:rPr>
              <w:t>Регламент РАД, в соответствии с которым проводится закупка, размещен по адресу:</w:t>
            </w:r>
          </w:p>
          <w:p>
            <w:pPr>
              <w:pStyle w:val="Style28"/>
              <w:widowControl w:val="false"/>
              <w:suppressAutoHyphens w:val="true"/>
              <w:spacing w:before="60" w:after="60"/>
              <w:rPr/>
            </w:pPr>
            <w:hyperlink r:id="rId4" w:tgtFrame="https://tender.lot-online.ru/app/EtpDocList/page">
              <w:r>
                <w:rPr>
                  <w:rStyle w:val="Hyperlink"/>
                  <w:rFonts w:eastAsia="Calibri" w:cs=""/>
                  <w:kern w:val="0"/>
                  <w:sz w:val="24"/>
                  <w:szCs w:val="24"/>
                  <w:lang w:val="ru-RU" w:eastAsia="en-US" w:bidi="ar-SA"/>
                </w:rPr>
                <w:t>https://tender.lot-online.ru/app/EtpDocList/page</w:t>
              </w:r>
            </w:hyperlink>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25360970"/>
            <w:bookmarkStart w:id="19" w:name="_Ref125360970"/>
            <w:bookmarkEnd w:id="19"/>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Участники:</w:t>
            </w:r>
          </w:p>
        </w:tc>
        <w:tc>
          <w:tcPr>
            <w:tcW w:w="5895"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28"/>
              <w:widowControl w:val="false"/>
              <w:suppressAutoHyphens w:val="true"/>
              <w:spacing w:before="60" w:after="60"/>
              <w:rPr/>
            </w:pPr>
            <w:r>
              <w:rPr>
                <w:rFonts w:eastAsia="Calibri" w:cs=""/>
                <w:kern w:val="0"/>
                <w:sz w:val="24"/>
                <w:szCs w:val="24"/>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Fonts w:eastAsia="Calibri" w:cs=""/>
                  <w:kern w:val="0"/>
                  <w:sz w:val="24"/>
                  <w:szCs w:val="24"/>
                  <w:lang w:val="ru-RU" w:eastAsia="en-US" w:bidi="ar-SA"/>
                </w:rPr>
                <w:t>Проекта Договора (Приложение № 2)</w:t>
              </w:r>
            </w:hyperlink>
            <w:r>
              <w:rPr>
                <w:rFonts w:eastAsia="Calibri" w:cs=""/>
                <w:kern w:val="0"/>
                <w:sz w:val="24"/>
                <w:szCs w:val="24"/>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0988"/>
            <w:bookmarkStart w:id="21" w:name="_Ref125360988"/>
            <w:bookmarkEnd w:id="21"/>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Заказчик:</w:t>
            </w:r>
          </w:p>
        </w:tc>
        <w:tc>
          <w:tcPr>
            <w:tcW w:w="5895" w:type="dxa"/>
            <w:tcBorders/>
          </w:tcPr>
          <w:p>
            <w:pPr>
              <w:pStyle w:val="Tableheader"/>
              <w:widowControl w:val="false"/>
              <w:suppressAutoHyphens w:val="true"/>
              <w:spacing w:before="0" w:after="0"/>
              <w:jc w:val="left"/>
              <w:rPr>
                <w:sz w:val="24"/>
                <w:szCs w:val="24"/>
              </w:rPr>
            </w:pPr>
            <w:r>
              <w:rPr>
                <w:b w:val="false"/>
                <w:sz w:val="24"/>
                <w:szCs w:val="24"/>
              </w:rPr>
              <w:t>Наименование (полное и сокращенное): АО «Дальневосточная распределительная сетевая компания» (АО «ДРСК»)</w:t>
            </w:r>
          </w:p>
          <w:p>
            <w:pPr>
              <w:pStyle w:val="Tableheader"/>
              <w:widowControl w:val="false"/>
              <w:suppressAutoHyphens w:val="true"/>
              <w:spacing w:before="0" w:after="0"/>
              <w:jc w:val="left"/>
              <w:rPr>
                <w:sz w:val="24"/>
                <w:szCs w:val="24"/>
              </w:rPr>
            </w:pPr>
            <w:r>
              <w:rPr>
                <w:b w:val="false"/>
                <w:sz w:val="24"/>
                <w:szCs w:val="24"/>
              </w:rPr>
              <w:t>Место нахождения: 675000, Амурская обл., г. Благовещенск, ул. Шевченко, 32</w:t>
            </w:r>
          </w:p>
          <w:p>
            <w:pPr>
              <w:pStyle w:val="Tableheader"/>
              <w:widowControl w:val="false"/>
              <w:suppressAutoHyphens w:val="true"/>
              <w:spacing w:before="0" w:after="0"/>
              <w:jc w:val="left"/>
              <w:rPr>
                <w:sz w:val="24"/>
                <w:szCs w:val="24"/>
              </w:rPr>
            </w:pPr>
            <w:r>
              <w:rPr>
                <w:b w:val="false"/>
                <w:sz w:val="24"/>
                <w:szCs w:val="24"/>
              </w:rPr>
              <w:t>Почтовый адрес: 675000, Амурская обл., г. Благовещенск, ул. Шевченко, 32</w:t>
            </w:r>
          </w:p>
          <w:p>
            <w:pPr>
              <w:pStyle w:val="Tableheader"/>
              <w:widowControl w:val="false"/>
              <w:suppressAutoHyphens w:val="true"/>
              <w:spacing w:before="0" w:after="0"/>
              <w:jc w:val="left"/>
              <w:rPr>
                <w:sz w:val="24"/>
                <w:szCs w:val="24"/>
              </w:rPr>
            </w:pPr>
            <w:r>
              <w:rPr>
                <w:b w:val="false"/>
                <w:sz w:val="24"/>
                <w:szCs w:val="24"/>
              </w:rPr>
              <w:t>Адрес электронной почты doc@drsk.ru</w:t>
            </w:r>
          </w:p>
          <w:p>
            <w:pPr>
              <w:pStyle w:val="Tableheader"/>
              <w:widowControl w:val="false"/>
              <w:suppressAutoHyphens w:val="true"/>
              <w:spacing w:before="120" w:after="120"/>
              <w:rPr/>
            </w:pPr>
            <w:r>
              <w:rPr>
                <w:rStyle w:val="Style18"/>
                <w:b/>
                <w:i w:val="false"/>
                <w:sz w:val="24"/>
                <w:szCs w:val="24"/>
                <w:shd w:fill="auto" w:val="clear"/>
              </w:rPr>
              <w:t>Контактный телефон: (4162) 397-</w:t>
            </w:r>
            <w:r>
              <w:rPr>
                <w:rStyle w:val="Style18"/>
                <w:b/>
                <w:sz w:val="24"/>
                <w:szCs w:val="24"/>
                <w:shd w:fill="auto" w:val="clear"/>
              </w:rPr>
              <w:t>307</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954"/>
            <w:bookmarkStart w:id="23" w:name="_Ref125360954"/>
            <w:bookmarkEnd w:id="23"/>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Организатор:</w:t>
            </w:r>
          </w:p>
        </w:tc>
        <w:tc>
          <w:tcPr>
            <w:tcW w:w="5895" w:type="dxa"/>
            <w:tcBorders/>
          </w:tcPr>
          <w:p>
            <w:pPr>
              <w:pStyle w:val="Tableheader"/>
              <w:widowControl w:val="false"/>
              <w:suppressAutoHyphens w:val="true"/>
              <w:spacing w:before="0" w:after="0"/>
              <w:jc w:val="left"/>
              <w:rPr>
                <w:sz w:val="24"/>
                <w:szCs w:val="24"/>
              </w:rPr>
            </w:pPr>
            <w:r>
              <w:rPr>
                <w:b w:val="false"/>
                <w:sz w:val="24"/>
                <w:szCs w:val="24"/>
              </w:rPr>
              <w:t>Наименование (полное и сокращенное): АО «Дальневосточная распределительная сетевая компания» (АО «ДРСК»)</w:t>
            </w:r>
          </w:p>
          <w:p>
            <w:pPr>
              <w:pStyle w:val="Tableheader"/>
              <w:widowControl w:val="false"/>
              <w:suppressAutoHyphens w:val="true"/>
              <w:spacing w:before="0" w:after="0"/>
              <w:jc w:val="left"/>
              <w:rPr>
                <w:sz w:val="24"/>
                <w:szCs w:val="24"/>
              </w:rPr>
            </w:pPr>
            <w:r>
              <w:rPr>
                <w:b w:val="false"/>
                <w:sz w:val="24"/>
                <w:szCs w:val="24"/>
              </w:rPr>
              <w:t>Место нахождения: 675000, Амурская обл., г. Благовещенск, ул. Шевченко, 32</w:t>
            </w:r>
          </w:p>
          <w:p>
            <w:pPr>
              <w:pStyle w:val="Tableheader"/>
              <w:widowControl w:val="false"/>
              <w:suppressAutoHyphens w:val="true"/>
              <w:spacing w:before="0" w:after="0"/>
              <w:jc w:val="left"/>
              <w:rPr>
                <w:sz w:val="24"/>
                <w:szCs w:val="24"/>
              </w:rPr>
            </w:pPr>
            <w:r>
              <w:rPr>
                <w:b w:val="false"/>
                <w:sz w:val="24"/>
                <w:szCs w:val="24"/>
              </w:rPr>
              <w:t>Почтовый адрес: 675000, Амурская обл., г. Благовещенск, ул. Шевченко, 32</w:t>
            </w:r>
          </w:p>
          <w:p>
            <w:pPr>
              <w:pStyle w:val="Tableheader"/>
              <w:widowControl w:val="false"/>
              <w:suppressAutoHyphens w:val="true"/>
              <w:spacing w:before="0" w:after="0"/>
              <w:jc w:val="left"/>
              <w:rPr>
                <w:sz w:val="24"/>
                <w:szCs w:val="24"/>
              </w:rPr>
            </w:pPr>
            <w:r>
              <w:rPr>
                <w:b w:val="false"/>
                <w:sz w:val="24"/>
                <w:szCs w:val="24"/>
              </w:rPr>
              <w:t>Адрес электронной почты doc@drsk.ru</w:t>
            </w:r>
          </w:p>
          <w:p>
            <w:pPr>
              <w:pStyle w:val="Tableheader"/>
              <w:widowControl w:val="false"/>
              <w:suppressAutoHyphens w:val="true"/>
              <w:spacing w:before="120" w:after="120"/>
              <w:rPr/>
            </w:pPr>
            <w:r>
              <w:rPr>
                <w:rStyle w:val="Style18"/>
                <w:b/>
                <w:sz w:val="24"/>
                <w:szCs w:val="24"/>
                <w:shd w:fill="auto" w:val="clear"/>
              </w:rPr>
              <w:t>Контактный телефон: (4162) 397-307</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1238"/>
            <w:bookmarkStart w:id="25" w:name="_Ref125361238"/>
            <w:bookmarkEnd w:id="25"/>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Представитель Организатора:</w:t>
            </w:r>
          </w:p>
        </w:tc>
        <w:tc>
          <w:tcPr>
            <w:tcW w:w="5895" w:type="dxa"/>
            <w:tcBorders/>
          </w:tcPr>
          <w:p>
            <w:pPr>
              <w:pStyle w:val="Style28"/>
              <w:widowControl w:val="false"/>
              <w:suppressAutoHyphens w:val="true"/>
              <w:spacing w:before="60" w:after="60"/>
              <w:rPr/>
            </w:pPr>
            <w:r>
              <w:rPr>
                <w:rStyle w:val="Style8"/>
                <w:b w:val="false"/>
                <w:i w:val="false"/>
                <w:iCs w:val="false"/>
                <w:sz w:val="24"/>
                <w:szCs w:val="24"/>
                <w:shd w:fill="auto" w:val="clear"/>
                <w:lang w:val="ru-RU"/>
              </w:rPr>
              <w:t>Контактное лицо: Игнатова Татьяна Анатольевна Контактный телефон: 8 (4162) 397-307</w:t>
            </w:r>
          </w:p>
          <w:p>
            <w:pPr>
              <w:pStyle w:val="Style28"/>
              <w:widowControl w:val="false"/>
              <w:suppressAutoHyphens w:val="true"/>
              <w:spacing w:before="60" w:after="60"/>
              <w:rPr/>
            </w:pPr>
            <w:r>
              <w:rPr>
                <w:rStyle w:val="Style8"/>
                <w:i w:val="false"/>
                <w:iCs w:val="false"/>
                <w:sz w:val="24"/>
                <w:szCs w:val="24"/>
                <w:shd w:fill="auto" w:val="clear"/>
              </w:rPr>
              <w:t xml:space="preserve">Адрес электронной почты: </w:t>
            </w:r>
            <w:hyperlink r:id="rId5">
              <w:r>
                <w:rPr>
                  <w:rStyle w:val="Hyperlink"/>
                  <w:i w:val="false"/>
                  <w:iCs w:val="false"/>
                  <w:sz w:val="24"/>
                  <w:szCs w:val="24"/>
                  <w:shd w:fill="auto" w:val="clear"/>
                </w:rPr>
                <w:t>ignato</w:t>
              </w:r>
              <w:r>
                <w:rPr>
                  <w:rStyle w:val="Hyperlink"/>
                  <w:sz w:val="24"/>
                  <w:szCs w:val="24"/>
                </w:rPr>
                <w:t>va-ta@drsk.ru</w:t>
              </w:r>
            </w:hyperlink>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2694"/>
            <w:bookmarkStart w:id="27" w:name="_Ref125362694"/>
            <w:bookmarkEnd w:id="27"/>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95"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63"/>
            <w:bookmarkStart w:id="29" w:name="_Ref125360963"/>
            <w:bookmarkEnd w:id="29"/>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Дата размещения Извещения о проведении закупки:</w:t>
            </w:r>
          </w:p>
        </w:tc>
        <w:tc>
          <w:tcPr>
            <w:tcW w:w="5895" w:type="dxa"/>
            <w:tcBorders/>
          </w:tcPr>
          <w:p>
            <w:pPr>
              <w:pStyle w:val="Style28"/>
              <w:widowControl w:val="false"/>
              <w:suppressAutoHyphens w:val="true"/>
              <w:spacing w:before="60" w:after="60"/>
              <w:rPr/>
            </w:pPr>
            <w:r>
              <w:rPr>
                <w:rStyle w:val="Style8"/>
                <w:rFonts w:eastAsia="Calibri" w:cs=""/>
                <w:b w:val="false"/>
                <w:bCs w:val="false"/>
                <w:i w:val="false"/>
                <w:iCs w:val="false"/>
                <w:kern w:val="0"/>
                <w:sz w:val="24"/>
                <w:szCs w:val="24"/>
                <w:shd w:fill="auto" w:val="clear"/>
                <w:lang w:val="ru-RU" w:eastAsia="en-US" w:bidi="ar-SA"/>
              </w:rPr>
              <w:t>1</w:t>
            </w:r>
            <w:r>
              <w:rPr>
                <w:rStyle w:val="Style8"/>
                <w:rFonts w:eastAsia="Calibri" w:cs=""/>
                <w:b w:val="false"/>
                <w:bCs w:val="false"/>
                <w:i w:val="false"/>
                <w:iCs w:val="false"/>
                <w:kern w:val="0"/>
                <w:sz w:val="24"/>
                <w:szCs w:val="24"/>
                <w:shd w:fill="auto" w:val="clear"/>
                <w:lang w:val="ru-RU" w:eastAsia="en-US" w:bidi="ar-SA"/>
              </w:rPr>
              <w:t>3</w:t>
            </w:r>
            <w:r>
              <w:rPr>
                <w:rStyle w:val="Style8"/>
                <w:rFonts w:eastAsia="Calibri" w:cs=""/>
                <w:b w:val="false"/>
                <w:bCs w:val="false"/>
                <w:i w:val="false"/>
                <w:iCs w:val="false"/>
                <w:kern w:val="0"/>
                <w:sz w:val="24"/>
                <w:szCs w:val="24"/>
                <w:shd w:fill="auto" w:val="clear"/>
                <w:lang w:val="ru-RU" w:eastAsia="en-US" w:bidi="ar-SA"/>
              </w:rPr>
              <w:t>.0</w:t>
            </w:r>
            <w:r>
              <w:rPr>
                <w:rStyle w:val="Style8"/>
                <w:rFonts w:eastAsia="Calibri" w:cs=""/>
                <w:b w:val="false"/>
                <w:bCs w:val="false"/>
                <w:i w:val="false"/>
                <w:iCs w:val="false"/>
                <w:kern w:val="0"/>
                <w:sz w:val="24"/>
                <w:szCs w:val="24"/>
                <w:shd w:fill="auto" w:val="clear"/>
                <w:lang w:val="ru-RU" w:eastAsia="en-US" w:bidi="ar-SA"/>
              </w:rPr>
              <w:t>8</w:t>
            </w:r>
            <w:r>
              <w:rPr>
                <w:rStyle w:val="Style8"/>
                <w:rFonts w:eastAsia="Calibri" w:cs=""/>
                <w:b w:val="false"/>
                <w:bCs w:val="false"/>
                <w:i w:val="false"/>
                <w:iCs w:val="false"/>
                <w:kern w:val="0"/>
                <w:sz w:val="24"/>
                <w:szCs w:val="24"/>
                <w:shd w:fill="auto" w:val="clear"/>
                <w:lang w:val="ru-RU" w:eastAsia="en-US" w:bidi="ar-SA"/>
              </w:rPr>
              <w:t>.26</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2837"/>
            <w:bookmarkStart w:id="31" w:name="_Ref125362837"/>
            <w:bookmarkEnd w:id="31"/>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Начальная (максимальная) цена договора (цена лота):</w:t>
            </w:r>
          </w:p>
        </w:tc>
        <w:tc>
          <w:tcPr>
            <w:tcW w:w="5895"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НМЦ составляет 5 250 793,17 руб., без учета НДС.</w:t>
            </w:r>
          </w:p>
          <w:p>
            <w:pPr>
              <w:pStyle w:val="Style28"/>
              <w:widowControl w:val="false"/>
              <w:suppressAutoHyphens w:val="true"/>
              <w:spacing w:before="60" w:after="60"/>
              <w:rPr/>
            </w:pPr>
            <w:r>
              <w:rPr>
                <w:rFonts w:eastAsia="Calibri" w:cs=""/>
                <w:kern w:val="0"/>
                <w:sz w:val="24"/>
                <w:szCs w:val="24"/>
                <w:lang w:val="ru-RU" w:eastAsia="en-US" w:bidi="ar-SA"/>
              </w:rPr>
              <w:t xml:space="preserve">Обоснование НМЦ представлено в </w:t>
            </w:r>
            <w:hyperlink w:anchor="Прил09_ОбоснованиеНМЦ">
              <w:r>
                <w:rPr>
                  <w:rStyle w:val="Style11"/>
                  <w:rFonts w:eastAsia="Calibri" w:cs=""/>
                  <w:kern w:val="0"/>
                  <w:sz w:val="24"/>
                  <w:szCs w:val="24"/>
                  <w:lang w:val="ru-RU" w:eastAsia="en-US" w:bidi="ar-SA"/>
                </w:rPr>
                <w:t>Приложении № 9</w:t>
              </w:r>
            </w:hyperlink>
            <w:r>
              <w:rPr>
                <w:rFonts w:eastAsia="Calibri" w:cs=""/>
                <w:kern w:val="0"/>
                <w:sz w:val="24"/>
                <w:szCs w:val="24"/>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3076"/>
            <w:bookmarkStart w:id="33" w:name="_Ref125363076"/>
            <w:bookmarkEnd w:id="33"/>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Обеспечение заявки на участие в закупке:</w:t>
            </w:r>
          </w:p>
        </w:tc>
        <w:tc>
          <w:tcPr>
            <w:tcW w:w="5895"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Не требуется.</w:t>
            </w:r>
          </w:p>
          <w:p>
            <w:pPr>
              <w:pStyle w:val="Style31"/>
              <w:widowControl w:val="false"/>
              <w:suppressAutoHyphens w:val="true"/>
              <w:spacing w:before="60" w:after="60"/>
              <w:rPr>
                <w:rStyle w:val="Style8"/>
                <w:rFonts w:ascii="Times New Roman" w:hAnsi="Times New Roman" w:eastAsia="Calibri" w:cs=""/>
                <w:i w:val="false"/>
                <w:i w:val="false"/>
                <w:iCs w:val="false"/>
                <w:kern w:val="0"/>
                <w:sz w:val="24"/>
                <w:szCs w:val="24"/>
                <w:shd w:fill="auto" w:val="clear"/>
                <w:lang w:val="ru-RU" w:eastAsia="en-US" w:bidi="ar-SA"/>
              </w:rPr>
            </w:pPr>
            <w:r>
              <w:rPr>
                <w:rFonts w:eastAsia="Calibri" w:cs=""/>
                <w:i w:val="false"/>
                <w:iCs w:val="false"/>
                <w:kern w:val="0"/>
                <w:sz w:val="24"/>
                <w:szCs w:val="24"/>
                <w:shd w:fill="auto" w:val="clear"/>
                <w:lang w:val="ru-RU" w:eastAsia="en-US" w:bidi="ar-SA"/>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2995"/>
            <w:bookmarkStart w:id="35" w:name="_Ref125362995"/>
            <w:bookmarkEnd w:id="35"/>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Требования</w:t>
              <w:br/>
              <w:t>к описанию продукции:</w:t>
            </w:r>
          </w:p>
        </w:tc>
        <w:tc>
          <w:tcPr>
            <w:tcW w:w="5895" w:type="dxa"/>
            <w:tcBorders/>
          </w:tcPr>
          <w:p>
            <w:pPr>
              <w:pStyle w:val="Style28"/>
              <w:widowControl w:val="false"/>
              <w:suppressAutoHyphens w:val="true"/>
              <w:spacing w:before="60" w:after="60"/>
              <w:rPr/>
            </w:pPr>
            <w:r>
              <w:rPr>
                <w:rFonts w:eastAsia="Calibri" w:cs=""/>
                <w:kern w:val="0"/>
                <w:sz w:val="24"/>
                <w:szCs w:val="24"/>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Fonts w:eastAsia="Calibri" w:cs=""/>
                  <w:kern w:val="0"/>
                  <w:sz w:val="24"/>
                  <w:szCs w:val="24"/>
                  <w:lang w:val="ru-RU" w:eastAsia="en-US" w:bidi="ar-SA"/>
                </w:rPr>
                <w:t>Приложение № 4</w:t>
              </w:r>
            </w:hyperlink>
            <w:r>
              <w:rPr>
                <w:rFonts w:eastAsia="Calibri" w:cs=""/>
                <w:kern w:val="0"/>
                <w:sz w:val="24"/>
                <w:szCs w:val="24"/>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Применение законодательства о национальном режиме:</w:t>
            </w:r>
          </w:p>
        </w:tc>
        <w:tc>
          <w:tcPr>
            <w:tcW w:w="5895"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Национальный режим предоставляется.</w:t>
            </w:r>
          </w:p>
          <w:p>
            <w:pPr>
              <w:pStyle w:val="Style31"/>
              <w:keepNext w:val="true"/>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r>
          </w:p>
          <w:p>
            <w:pPr>
              <w:pStyle w:val="Style28"/>
              <w:widowControl w:val="false"/>
              <w:suppressAutoHyphens w:val="true"/>
              <w:spacing w:before="60" w:after="60"/>
              <w:rPr/>
            </w:pPr>
            <w:r>
              <w:rPr>
                <w:rFonts w:eastAsia="Calibri" w:cs=""/>
                <w:kern w:val="0"/>
                <w:sz w:val="24"/>
                <w:szCs w:val="24"/>
                <w:lang w:val="ru-RU" w:eastAsia="en-US" w:bidi="ar-SA"/>
              </w:rPr>
              <w:t>Национальный режим не предоставляется. Заказчик исполняет нормы в части минимальной обязательной доли закупок товаров российского происхождения. Подробные требования к стране происхождения товара изложены в Технических требованиях (</w:t>
            </w:r>
            <w:hyperlink w:anchor="Прил01_ТехТребования">
              <w:r>
                <w:rPr>
                  <w:rStyle w:val="Style11"/>
                  <w:rFonts w:eastAsia="Calibri" w:cs=""/>
                  <w:kern w:val="0"/>
                  <w:sz w:val="24"/>
                  <w:szCs w:val="24"/>
                  <w:lang w:val="ru-RU" w:eastAsia="en-US" w:bidi="ar-SA"/>
                </w:rPr>
                <w:t>Приложение № 1</w:t>
              </w:r>
            </w:hyperlink>
            <w:r>
              <w:rPr>
                <w:rFonts w:eastAsia="Calibri" w:cs=""/>
                <w:kern w:val="0"/>
                <w:sz w:val="24"/>
                <w:szCs w:val="24"/>
                <w:lang w:val="ru-RU" w:eastAsia="en-US" w:bidi="ar-SA"/>
              </w:rPr>
              <w:t>), а также в Структуре НМЦ (в составе Коммерческого предложения (форма 3) (</w:t>
            </w:r>
            <w:hyperlink w:anchor="Прил04_ФормыЗаявки">
              <w:r>
                <w:rPr>
                  <w:rStyle w:val="Style11"/>
                  <w:rFonts w:eastAsia="Calibri" w:cs=""/>
                  <w:kern w:val="0"/>
                  <w:sz w:val="24"/>
                  <w:szCs w:val="24"/>
                  <w:lang w:val="ru-RU" w:eastAsia="en-US" w:bidi="ar-SA"/>
                </w:rPr>
                <w:t>Приложение № 4</w:t>
              </w:r>
            </w:hyperlink>
            <w:r>
              <w:rPr>
                <w:rFonts w:eastAsia="Calibri" w:cs=""/>
                <w:kern w:val="0"/>
                <w:sz w:val="24"/>
                <w:szCs w:val="24"/>
                <w:lang w:val="ru-RU" w:eastAsia="en-US" w:bidi="ar-SA"/>
              </w:rPr>
              <w:t>)) в части указания сведений, которые подтверждают страну происхождения товара.</w:t>
            </w:r>
          </w:p>
          <w:p>
            <w:pPr>
              <w:pStyle w:val="Style31"/>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475086"/>
            <w:bookmarkStart w:id="37" w:name="_Ref125475086"/>
            <w:bookmarkEnd w:id="37"/>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Место и порядок</w:t>
              <w:br/>
              <w:t>подачи заявок:</w:t>
            </w:r>
          </w:p>
        </w:tc>
        <w:tc>
          <w:tcPr>
            <w:tcW w:w="5895"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Заявки подаются посредством функционала ЭП, по адресу ЭП, указанному в пункте </w:t>
            </w:r>
            <w:r>
              <w:rPr>
                <w:rFonts w:eastAsia="Calibri" w:cs=""/>
                <w:kern w:val="0"/>
                <w:sz w:val="24"/>
                <w:szCs w:val="24"/>
                <w:lang w:val="ru-RU" w:eastAsia="en-US" w:bidi="ar-SA"/>
              </w:rPr>
              <w:fldChar w:fldCharType="begin"/>
            </w:r>
            <w:r>
              <w:rPr>
                <w:sz w:val="24"/>
                <w:kern w:val="0"/>
                <w:szCs w:val="24"/>
                <w:rFonts w:eastAsia="Calibri" w:cs=""/>
                <w:lang w:val="ru-RU" w:eastAsia="en-US" w:bidi="ar-SA"/>
              </w:rPr>
              <w:instrText xml:space="preserve"> REF _Ref125360764 \r \h </w:instrText>
            </w:r>
            <w:r>
              <w:rPr>
                <w:sz w:val="24"/>
                <w:kern w:val="0"/>
                <w:szCs w:val="24"/>
                <w:rFonts w:eastAsia="Calibri" w:cs=""/>
                <w:lang w:val="ru-RU" w:eastAsia="en-US" w:bidi="ar-SA"/>
              </w:rPr>
              <w:fldChar w:fldCharType="separate"/>
            </w:r>
            <w:r>
              <w:rPr>
                <w:sz w:val="24"/>
                <w:kern w:val="0"/>
                <w:szCs w:val="24"/>
                <w:rFonts w:eastAsia="Calibri" w:cs=""/>
                <w:lang w:val="ru-RU" w:eastAsia="en-US" w:bidi="ar-SA"/>
              </w:rPr>
              <w:t>2.5</w:t>
            </w:r>
            <w:r>
              <w:rPr>
                <w:sz w:val="24"/>
                <w:kern w:val="0"/>
                <w:szCs w:val="24"/>
                <w:rFonts w:eastAsia="Calibri" w:cs=""/>
                <w:lang w:val="ru-RU" w:eastAsia="en-US" w:bidi="ar-SA"/>
              </w:rPr>
              <w:fldChar w:fldCharType="end"/>
            </w:r>
            <w:r>
              <w:rPr>
                <w:rFonts w:eastAsia="Calibri" w:cs=""/>
                <w:kern w:val="0"/>
                <w:sz w:val="24"/>
                <w:szCs w:val="24"/>
                <w:lang w:val="ru-RU" w:eastAsia="en-US" w:bidi="ar-SA"/>
              </w:rPr>
              <w:t>.</w:t>
            </w:r>
          </w:p>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Заявка должна состоять из двух частей и ценового предложения.</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360779"/>
            <w:bookmarkStart w:id="39" w:name="_Ref125360779"/>
            <w:bookmarkEnd w:id="39"/>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Дата начала; дата и время окончания срока подачи заявок:</w:t>
            </w:r>
          </w:p>
        </w:tc>
        <w:tc>
          <w:tcPr>
            <w:tcW w:w="5895" w:type="dxa"/>
            <w:tcBorders/>
          </w:tcPr>
          <w:p>
            <w:pPr>
              <w:pStyle w:val="Style28"/>
              <w:widowControl w:val="false"/>
              <w:suppressAutoHyphens w:val="true"/>
              <w:spacing w:before="60" w:after="60"/>
              <w:rPr>
                <w:sz w:val="24"/>
                <w:szCs w:val="24"/>
              </w:rPr>
            </w:pPr>
            <w:r>
              <w:rPr>
                <w:sz w:val="24"/>
                <w:szCs w:val="24"/>
              </w:rPr>
              <w:t>Дата начала подачи заявок:</w:t>
            </w:r>
          </w:p>
          <w:p>
            <w:pPr>
              <w:pStyle w:val="Style28"/>
              <w:widowControl w:val="false"/>
              <w:suppressAutoHyphens w:val="true"/>
              <w:spacing w:before="60" w:after="60"/>
              <w:rPr>
                <w:sz w:val="24"/>
                <w:szCs w:val="24"/>
              </w:rPr>
            </w:pPr>
            <w:r>
              <w:rPr>
                <w:rFonts w:eastAsia="Calibri" w:cs=""/>
                <w:kern w:val="0"/>
                <w:sz w:val="24"/>
                <w:szCs w:val="24"/>
                <w:lang w:val="ru-RU" w:eastAsia="en-US" w:bidi="ar-SA"/>
              </w:rPr>
              <w:t>1</w:t>
            </w:r>
            <w:r>
              <w:rPr>
                <w:rFonts w:eastAsia="Calibri" w:cs=""/>
                <w:kern w:val="0"/>
                <w:sz w:val="24"/>
                <w:szCs w:val="24"/>
                <w:lang w:val="ru-RU" w:eastAsia="en-US" w:bidi="ar-SA"/>
              </w:rPr>
              <w:t>3</w:t>
            </w:r>
            <w:r>
              <w:rPr>
                <w:rFonts w:eastAsia="Calibri" w:cs=""/>
                <w:kern w:val="0"/>
                <w:sz w:val="24"/>
                <w:szCs w:val="24"/>
                <w:lang w:val="ru-RU" w:eastAsia="en-US" w:bidi="ar-SA"/>
              </w:rPr>
              <w:t>.08.2026</w:t>
            </w:r>
          </w:p>
          <w:p>
            <w:pPr>
              <w:pStyle w:val="Style28"/>
              <w:widowControl w:val="false"/>
              <w:suppressAutoHyphens w:val="true"/>
              <w:spacing w:before="60" w:after="60"/>
              <w:rPr>
                <w:sz w:val="24"/>
                <w:szCs w:val="24"/>
              </w:rPr>
            </w:pPr>
            <w:r>
              <w:rPr>
                <w:sz w:val="24"/>
                <w:szCs w:val="24"/>
              </w:rPr>
            </w:r>
          </w:p>
          <w:p>
            <w:pPr>
              <w:pStyle w:val="Style28"/>
              <w:widowControl w:val="false"/>
              <w:suppressAutoHyphens w:val="true"/>
              <w:spacing w:before="60" w:after="60"/>
              <w:rPr>
                <w:sz w:val="24"/>
                <w:szCs w:val="24"/>
              </w:rPr>
            </w:pPr>
            <w:r>
              <w:rPr>
                <w:rFonts w:eastAsia="Calibri" w:cs=""/>
                <w:kern w:val="0"/>
                <w:sz w:val="24"/>
                <w:szCs w:val="24"/>
                <w:lang w:val="ru-RU" w:eastAsia="en-US" w:bidi="ar-SA"/>
              </w:rPr>
              <w:t>Дата и время окончания срока подачи заявок:</w:t>
            </w:r>
          </w:p>
          <w:p>
            <w:pPr>
              <w:pStyle w:val="Style28"/>
              <w:widowControl w:val="false"/>
              <w:suppressAutoHyphens w:val="true"/>
              <w:spacing w:before="60" w:after="60"/>
              <w:rPr>
                <w:sz w:val="24"/>
                <w:szCs w:val="24"/>
              </w:rPr>
            </w:pPr>
            <w:r>
              <w:rPr>
                <w:rFonts w:eastAsia="Calibri" w:cs=""/>
                <w:kern w:val="0"/>
                <w:sz w:val="24"/>
                <w:szCs w:val="24"/>
                <w:lang w:val="ru-RU" w:eastAsia="en-US" w:bidi="ar-SA"/>
              </w:rPr>
              <w:t>2</w:t>
            </w:r>
            <w:r>
              <w:rPr>
                <w:rFonts w:eastAsia="Calibri" w:cs=""/>
                <w:kern w:val="0"/>
                <w:sz w:val="24"/>
                <w:szCs w:val="24"/>
                <w:lang w:val="ru-RU" w:eastAsia="en-US" w:bidi="ar-SA"/>
              </w:rPr>
              <w:t>1</w:t>
            </w:r>
            <w:r>
              <w:rPr>
                <w:rFonts w:eastAsia="Calibri" w:cs=""/>
                <w:kern w:val="0"/>
                <w:sz w:val="24"/>
                <w:szCs w:val="24"/>
                <w:lang w:val="ru-RU" w:eastAsia="en-US" w:bidi="ar-SA"/>
              </w:rPr>
              <w:t>.08.2026 г. в 09 ч. 00 мин.</w:t>
            </w:r>
          </w:p>
          <w:p>
            <w:pPr>
              <w:pStyle w:val="Style28"/>
              <w:widowControl w:val="false"/>
              <w:suppressAutoHyphens w:val="true"/>
              <w:spacing w:before="60" w:after="60"/>
              <w:rPr>
                <w:sz w:val="24"/>
                <w:szCs w:val="24"/>
              </w:rPr>
            </w:pPr>
            <w:r>
              <w:rPr>
                <w:sz w:val="24"/>
                <w:szCs w:val="24"/>
              </w:rPr>
              <w:t>(по московскому времени).</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Срок предоставления Участникам разъяснений Документации о закупке:</w:t>
            </w:r>
          </w:p>
        </w:tc>
        <w:tc>
          <w:tcPr>
            <w:tcW w:w="5895"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Дата и время окончания срока предоставления разъяснений:</w:t>
            </w:r>
          </w:p>
          <w:p>
            <w:pPr>
              <w:pStyle w:val="Style28"/>
              <w:widowControl w:val="false"/>
              <w:suppressAutoHyphens w:val="true"/>
              <w:spacing w:before="60" w:after="60"/>
              <w:rPr>
                <w:sz w:val="24"/>
                <w:szCs w:val="24"/>
              </w:rPr>
            </w:pPr>
            <w:r>
              <w:rPr>
                <w:rFonts w:eastAsia="Calibri" w:cs=""/>
                <w:kern w:val="0"/>
                <w:sz w:val="24"/>
                <w:szCs w:val="24"/>
                <w:lang w:val="ru-RU" w:eastAsia="en-US" w:bidi="ar-SA"/>
              </w:rPr>
              <w:t>2</w:t>
            </w:r>
            <w:r>
              <w:rPr>
                <w:rFonts w:eastAsia="Calibri" w:cs=""/>
                <w:kern w:val="0"/>
                <w:sz w:val="24"/>
                <w:szCs w:val="24"/>
                <w:lang w:val="ru-RU" w:eastAsia="en-US" w:bidi="ar-SA"/>
              </w:rPr>
              <w:t>1</w:t>
            </w:r>
            <w:r>
              <w:rPr>
                <w:rFonts w:eastAsia="Calibri" w:cs=""/>
                <w:kern w:val="0"/>
                <w:sz w:val="24"/>
                <w:szCs w:val="24"/>
                <w:lang w:val="ru-RU" w:eastAsia="en-US" w:bidi="ar-SA"/>
              </w:rPr>
              <w:t>.08.2026 г. в 09 ч. 00 мин.</w:t>
            </w:r>
          </w:p>
          <w:p>
            <w:pPr>
              <w:pStyle w:val="Style28"/>
              <w:widowControl w:val="false"/>
              <w:suppressAutoHyphens w:val="true"/>
              <w:spacing w:before="60" w:after="60"/>
              <w:rPr>
                <w:sz w:val="24"/>
                <w:szCs w:val="24"/>
              </w:rPr>
            </w:pPr>
            <w:r>
              <w:rPr>
                <w:sz w:val="24"/>
                <w:szCs w:val="24"/>
              </w:rPr>
              <w:t>(по московскому времени).</w:t>
            </w:r>
          </w:p>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4"/>
                <w:szCs w:val="24"/>
                <w:lang w:val="ru-RU" w:eastAsia="en-US" w:bidi="ar-SA"/>
              </w:rPr>
              <w:fldChar w:fldCharType="begin"/>
            </w:r>
            <w:r>
              <w:rPr>
                <w:sz w:val="24"/>
                <w:kern w:val="0"/>
                <w:szCs w:val="24"/>
                <w:rFonts w:eastAsia="Calibri" w:cs=""/>
                <w:lang w:val="ru-RU" w:eastAsia="en-US" w:bidi="ar-SA"/>
              </w:rPr>
              <w:instrText xml:space="preserve"> REF _Ref125360779 \r \h </w:instrText>
            </w:r>
            <w:r>
              <w:rPr>
                <w:sz w:val="24"/>
                <w:kern w:val="0"/>
                <w:szCs w:val="24"/>
                <w:rFonts w:eastAsia="Calibri" w:cs=""/>
                <w:lang w:val="ru-RU" w:eastAsia="en-US" w:bidi="ar-SA"/>
              </w:rPr>
              <w:fldChar w:fldCharType="separate"/>
            </w:r>
            <w:r>
              <w:rPr>
                <w:sz w:val="24"/>
                <w:kern w:val="0"/>
                <w:szCs w:val="24"/>
                <w:rFonts w:eastAsia="Calibri" w:cs=""/>
                <w:lang w:val="ru-RU" w:eastAsia="en-US" w:bidi="ar-SA"/>
              </w:rPr>
              <w:t>2.17</w:t>
            </w:r>
            <w:r>
              <w:rPr>
                <w:sz w:val="24"/>
                <w:kern w:val="0"/>
                <w:szCs w:val="24"/>
                <w:rFonts w:eastAsia="Calibri" w:cs=""/>
                <w:lang w:val="ru-RU" w:eastAsia="en-US" w:bidi="ar-SA"/>
              </w:rPr>
              <w:fldChar w:fldCharType="end"/>
            </w:r>
            <w:r>
              <w:rPr>
                <w:rFonts w:eastAsia="Calibri" w:cs=""/>
                <w:kern w:val="0"/>
                <w:sz w:val="24"/>
                <w:szCs w:val="24"/>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476197"/>
            <w:bookmarkStart w:id="41" w:name="_Ref125476197"/>
            <w:bookmarkEnd w:id="41"/>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Место открытия</w:t>
              <w:br/>
              <w:t>доступа к заявкам:</w:t>
            </w:r>
          </w:p>
        </w:tc>
        <w:tc>
          <w:tcPr>
            <w:tcW w:w="5895"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4"/>
                <w:szCs w:val="24"/>
                <w:lang w:val="ru-RU" w:eastAsia="en-US" w:bidi="ar-SA"/>
              </w:rPr>
              <w:fldChar w:fldCharType="begin"/>
            </w:r>
            <w:r>
              <w:rPr>
                <w:sz w:val="24"/>
                <w:kern w:val="0"/>
                <w:szCs w:val="24"/>
                <w:rFonts w:eastAsia="Calibri" w:cs=""/>
                <w:lang w:val="ru-RU" w:eastAsia="en-US" w:bidi="ar-SA"/>
              </w:rPr>
              <w:instrText xml:space="preserve"> REF _Ref125360764 \r \h </w:instrText>
            </w:r>
            <w:r>
              <w:rPr>
                <w:sz w:val="24"/>
                <w:kern w:val="0"/>
                <w:szCs w:val="24"/>
                <w:rFonts w:eastAsia="Calibri" w:cs=""/>
                <w:lang w:val="ru-RU" w:eastAsia="en-US" w:bidi="ar-SA"/>
              </w:rPr>
              <w:fldChar w:fldCharType="separate"/>
            </w:r>
            <w:r>
              <w:rPr>
                <w:sz w:val="24"/>
                <w:kern w:val="0"/>
                <w:szCs w:val="24"/>
                <w:rFonts w:eastAsia="Calibri" w:cs=""/>
                <w:lang w:val="ru-RU" w:eastAsia="en-US" w:bidi="ar-SA"/>
              </w:rPr>
              <w:t>2.5</w:t>
            </w:r>
            <w:r>
              <w:rPr>
                <w:sz w:val="24"/>
                <w:kern w:val="0"/>
                <w:szCs w:val="24"/>
                <w:rFonts w:eastAsia="Calibri" w:cs=""/>
                <w:lang w:val="ru-RU" w:eastAsia="en-US" w:bidi="ar-SA"/>
              </w:rPr>
              <w:fldChar w:fldCharType="end"/>
            </w:r>
            <w:r>
              <w:rPr>
                <w:rFonts w:eastAsia="Calibri" w:cs=""/>
                <w:kern w:val="0"/>
                <w:sz w:val="24"/>
                <w:szCs w:val="24"/>
                <w:lang w:val="ru-RU" w:eastAsia="en-US" w:bidi="ar-SA"/>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362733"/>
            <w:bookmarkStart w:id="43" w:name="_Ref125362733"/>
            <w:bookmarkEnd w:id="43"/>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Дата окончания рассмотрения первых частей заявок:</w:t>
            </w:r>
          </w:p>
        </w:tc>
        <w:tc>
          <w:tcPr>
            <w:tcW w:w="5895" w:type="dxa"/>
            <w:tcBorders/>
          </w:tcPr>
          <w:p>
            <w:pPr>
              <w:pStyle w:val="Style28"/>
              <w:widowControl w:val="false"/>
              <w:suppressAutoHyphens w:val="true"/>
              <w:spacing w:before="60" w:after="60"/>
              <w:rPr>
                <w:sz w:val="24"/>
                <w:szCs w:val="24"/>
              </w:rPr>
            </w:pPr>
            <w:r>
              <w:rPr>
                <w:rStyle w:val="Style8"/>
                <w:rFonts w:eastAsia="Calibri" w:cs=""/>
                <w:i w:val="false"/>
                <w:iCs w:val="false"/>
                <w:kern w:val="0"/>
                <w:sz w:val="24"/>
                <w:szCs w:val="24"/>
                <w:shd w:fill="auto" w:val="clear"/>
                <w:lang w:val="ru-RU" w:eastAsia="en-US" w:bidi="ar-SA"/>
              </w:rPr>
              <w:t>28.08.2026</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Срок направления Оператором ЭП вторых частей заявок и ценовых предложений в адрес Организатора</w:t>
            </w:r>
          </w:p>
        </w:tc>
        <w:tc>
          <w:tcPr>
            <w:tcW w:w="5895"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32898515"/>
            <w:bookmarkStart w:id="45" w:name="_Ref132898515"/>
            <w:bookmarkEnd w:id="45"/>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Дата окончания рассмотрения вторых частей заявок и ценовых предложений:</w:t>
            </w:r>
          </w:p>
        </w:tc>
        <w:tc>
          <w:tcPr>
            <w:tcW w:w="5895" w:type="dxa"/>
            <w:tcBorders/>
          </w:tcPr>
          <w:p>
            <w:pPr>
              <w:pStyle w:val="Style28"/>
              <w:widowControl w:val="false"/>
              <w:suppressAutoHyphens w:val="true"/>
              <w:spacing w:before="60" w:after="60"/>
              <w:rPr/>
            </w:pPr>
            <w:r>
              <w:rPr>
                <w:rStyle w:val="Style8"/>
                <w:rFonts w:eastAsia="Calibri" w:cs=""/>
                <w:i w:val="false"/>
                <w:iCs w:val="false"/>
                <w:kern w:val="0"/>
                <w:sz w:val="24"/>
                <w:szCs w:val="24"/>
                <w:shd w:fill="auto" w:val="clear"/>
                <w:lang w:val="ru-RU" w:eastAsia="en-US" w:bidi="ar-SA"/>
              </w:rPr>
              <w:t>10.09.2026</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2757"/>
            <w:bookmarkStart w:id="47" w:name="_Ref125362757"/>
            <w:bookmarkEnd w:id="47"/>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Дата подведения</w:t>
              <w:br/>
              <w:t>итогов закупки:</w:t>
            </w:r>
          </w:p>
        </w:tc>
        <w:tc>
          <w:tcPr>
            <w:tcW w:w="5895" w:type="dxa"/>
            <w:tcBorders/>
          </w:tcPr>
          <w:p>
            <w:pPr>
              <w:pStyle w:val="Style28"/>
              <w:widowControl w:val="false"/>
              <w:suppressAutoHyphens w:val="true"/>
              <w:spacing w:before="60" w:after="60"/>
              <w:rPr/>
            </w:pPr>
            <w:r>
              <w:rPr>
                <w:rStyle w:val="Style8"/>
                <w:rFonts w:eastAsia="Calibri" w:cs=""/>
                <w:i w:val="false"/>
                <w:iCs w:val="false"/>
                <w:kern w:val="0"/>
                <w:sz w:val="24"/>
                <w:szCs w:val="24"/>
                <w:shd w:fill="auto" w:val="clear"/>
                <w:lang w:val="ru-RU" w:eastAsia="en-US" w:bidi="ar-SA"/>
              </w:rPr>
              <w:t>10.09.2026</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366047"/>
            <w:bookmarkStart w:id="49" w:name="_Ref125366047"/>
            <w:bookmarkEnd w:id="49"/>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95" w:type="dxa"/>
            <w:tcBorders/>
          </w:tcPr>
          <w:p>
            <w:pPr>
              <w:pStyle w:val="Style28"/>
              <w:widowControl w:val="false"/>
              <w:suppressAutoHyphens w:val="true"/>
              <w:spacing w:before="60" w:after="60"/>
              <w:rPr>
                <w:sz w:val="24"/>
                <w:szCs w:val="24"/>
              </w:rPr>
            </w:pPr>
            <w:r>
              <w:rPr>
                <w:rFonts w:eastAsia="Calibri" w:cs=""/>
                <w:kern w:val="0"/>
                <w:sz w:val="24"/>
                <w:szCs w:val="24"/>
                <w:lang w:val="ru-RU" w:eastAsia="en-US" w:bidi="ar-SA"/>
              </w:rPr>
              <w:t>Не предоставляется.</w:t>
            </w:r>
          </w:p>
          <w:p>
            <w:pPr>
              <w:pStyle w:val="Style31"/>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1769"/>
            <w:bookmarkStart w:id="51" w:name="_Ref125361769"/>
            <w:bookmarkEnd w:id="51"/>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Рассмотрение, оценка и сопоставление заявок Участников с учетом привлекаемых субподрядчиков:</w:t>
            </w:r>
          </w:p>
        </w:tc>
        <w:tc>
          <w:tcPr>
            <w:tcW w:w="5895" w:type="dxa"/>
            <w:tcBorders/>
          </w:tcPr>
          <w:p>
            <w:pPr>
              <w:pStyle w:val="Style28"/>
              <w:widowControl w:val="false"/>
              <w:suppressAutoHyphens w:val="true"/>
              <w:spacing w:before="60" w:after="60"/>
              <w:rPr>
                <w:sz w:val="24"/>
                <w:szCs w:val="24"/>
              </w:rPr>
            </w:pPr>
            <w:r>
              <w:rPr>
                <w:rFonts w:eastAsia="Calibri" w:cs=""/>
                <w:kern w:val="0"/>
                <w:sz w:val="24"/>
                <w:szCs w:val="24"/>
                <w:lang w:val="ru-RU" w:eastAsia="en-US" w:bidi="ar-SA"/>
              </w:rPr>
              <w:t>Не предоставляется.</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Порядок подведения итогов закупки:</w:t>
            </w:r>
          </w:p>
        </w:tc>
        <w:tc>
          <w:tcPr>
            <w:tcW w:w="5895"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6606"/>
            <w:bookmarkStart w:id="53" w:name="_Ref125366606"/>
            <w:bookmarkEnd w:id="53"/>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Количество победителей закупки (в рамках одного лота):</w:t>
            </w:r>
          </w:p>
        </w:tc>
        <w:tc>
          <w:tcPr>
            <w:tcW w:w="5895" w:type="dxa"/>
            <w:tcBorders/>
          </w:tcPr>
          <w:p>
            <w:pPr>
              <w:pStyle w:val="Style28"/>
              <w:widowControl w:val="false"/>
              <w:suppressAutoHyphens w:val="true"/>
              <w:spacing w:before="60" w:after="60"/>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Один победитель.</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6813"/>
            <w:bookmarkStart w:id="55" w:name="_Ref125366813"/>
            <w:bookmarkEnd w:id="55"/>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Место подачи документов в отношении цепочки собственников, включая конечных бенефициаров:</w:t>
            </w:r>
          </w:p>
        </w:tc>
        <w:tc>
          <w:tcPr>
            <w:tcW w:w="5895" w:type="dxa"/>
            <w:tcBorders/>
          </w:tcPr>
          <w:p>
            <w:pPr>
              <w:pStyle w:val="Tableheader"/>
              <w:widowControl w:val="false"/>
              <w:suppressAutoHyphens w:val="true"/>
              <w:spacing w:before="120" w:after="120"/>
              <w:rPr>
                <w:sz w:val="24"/>
                <w:szCs w:val="24"/>
              </w:rPr>
            </w:pPr>
            <w:r>
              <w:rPr>
                <w:b w:val="false"/>
                <w:sz w:val="24"/>
                <w:szCs w:val="24"/>
                <w:shd w:fill="auto" w:val="clear"/>
              </w:rPr>
              <w:t>Почтовый адрес: 675004, Благовещенск, ул. Шевченко, 32, каб. 214</w:t>
            </w:r>
          </w:p>
          <w:p>
            <w:pPr>
              <w:pStyle w:val="Style28"/>
              <w:widowControl w:val="false"/>
              <w:suppressAutoHyphens w:val="true"/>
              <w:spacing w:before="60" w:after="60"/>
              <w:rPr/>
            </w:pPr>
            <w:r>
              <w:rPr>
                <w:rStyle w:val="Style8"/>
                <w:rFonts w:eastAsia="Calibri" w:cs=""/>
                <w:b w:val="false"/>
                <w:kern w:val="0"/>
                <w:sz w:val="24"/>
                <w:szCs w:val="24"/>
                <w:shd w:fill="auto" w:val="clear"/>
                <w:lang w:val="ru-RU" w:eastAsia="en-US" w:bidi="ar-SA"/>
              </w:rPr>
              <w:t>Контактное лицо для приема документов (Ф.И.О.): Ярый В.С.</w:t>
            </w:r>
          </w:p>
          <w:p>
            <w:pPr>
              <w:pStyle w:val="Style28"/>
              <w:widowControl w:val="false"/>
              <w:suppressAutoHyphens w:val="true"/>
              <w:spacing w:before="60" w:after="60"/>
              <w:rPr>
                <w:sz w:val="24"/>
                <w:szCs w:val="24"/>
              </w:rPr>
            </w:pPr>
            <w:r>
              <w:rPr>
                <w:rFonts w:eastAsia="Calibri" w:cs=""/>
                <w:kern w:val="0"/>
                <w:sz w:val="24"/>
                <w:szCs w:val="24"/>
                <w:lang w:val="ru-RU" w:eastAsia="en-US" w:bidi="ar-SA"/>
              </w:rPr>
              <w:t>Для подачи документов в электронной форме:</w:t>
            </w:r>
          </w:p>
          <w:p>
            <w:pPr>
              <w:pStyle w:val="Style28"/>
              <w:widowControl w:val="false"/>
              <w:suppressAutoHyphens w:val="true"/>
              <w:spacing w:before="60" w:after="60"/>
              <w:rPr/>
            </w:pPr>
            <w:r>
              <w:rPr>
                <w:rStyle w:val="Style8"/>
                <w:sz w:val="24"/>
                <w:szCs w:val="24"/>
                <w:shd w:fill="auto" w:val="clear"/>
                <w:lang w:val="ru-RU"/>
              </w:rPr>
              <w:t>Корпоративный сайт ПАО</w:t>
            </w:r>
            <w:r>
              <w:rPr>
                <w:rStyle w:val="Style8"/>
                <w:sz w:val="24"/>
                <w:szCs w:val="24"/>
                <w:shd w:fill="auto" w:val="clear"/>
                <w:lang w:val="en-US"/>
              </w:rPr>
              <w:t> </w:t>
            </w:r>
            <w:r>
              <w:rPr>
                <w:rStyle w:val="Style8"/>
                <w:sz w:val="24"/>
                <w:szCs w:val="24"/>
                <w:shd w:fill="auto" w:val="clear"/>
                <w:lang w:val="ru-RU"/>
              </w:rPr>
              <w:t>«РусГидро», через специально созданную учетную запись (подробный порядок содержится в разделе</w:t>
            </w:r>
            <w:r>
              <w:rPr>
                <w:rStyle w:val="Style8"/>
                <w:sz w:val="24"/>
                <w:szCs w:val="24"/>
                <w:shd w:fill="auto" w:val="clear"/>
                <w:lang w:val="en-US"/>
              </w:rPr>
              <w:t> </w:t>
            </w:r>
            <w:r>
              <w:rPr>
                <w:rStyle w:val="Style8"/>
                <w:sz w:val="24"/>
                <w:szCs w:val="24"/>
                <w:shd w:fill="auto" w:val="clear"/>
                <w:lang w:val="en-US"/>
              </w:rPr>
              <w:fldChar w:fldCharType="begin"/>
            </w:r>
            <w:r>
              <w:rPr>
                <w:rStyle w:val="Style8"/>
                <w:sz w:val="24"/>
                <w:shd w:fill="auto" w:val="clear"/>
                <w:szCs w:val="24"/>
                <w:lang w:val="en-US"/>
              </w:rPr>
              <w:instrText xml:space="preserve"> REF _Ref126142429 \r \h </w:instrText>
            </w:r>
            <w:r>
              <w:rPr>
                <w:rStyle w:val="Style8"/>
                <w:sz w:val="24"/>
                <w:shd w:fill="auto" w:val="clear"/>
                <w:szCs w:val="24"/>
                <w:lang w:val="en-US"/>
              </w:rPr>
              <w:fldChar w:fldCharType="separate"/>
            </w:r>
            <w:r>
              <w:rPr>
                <w:rStyle w:val="Style8"/>
                <w:sz w:val="24"/>
                <w:shd w:fill="auto" w:val="clear"/>
                <w:szCs w:val="24"/>
                <w:lang w:val="en-US"/>
              </w:rPr>
            </w:r>
            <w:r>
              <w:rPr>
                <w:rStyle w:val="Style8"/>
                <w:sz w:val="24"/>
                <w:shd w:fill="auto" w:val="clear"/>
                <w:szCs w:val="24"/>
                <w:lang w:val="en-US"/>
              </w:rPr>
              <w:fldChar w:fldCharType="end"/>
            </w:r>
            <w:r>
              <w:rPr>
                <w:rStyle w:val="Style8"/>
                <w:sz w:val="24"/>
                <w:szCs w:val="24"/>
                <w:shd w:fill="auto" w:val="clear"/>
                <w:lang w:val="ru-RU"/>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8490"/>
            <w:bookmarkStart w:id="57" w:name="_Ref125368490"/>
            <w:bookmarkEnd w:id="57"/>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lang w:val="ru-RU" w:eastAsia="en-US" w:bidi="ar-SA"/>
              </w:rPr>
            </w:pPr>
            <w:r>
              <w:rPr>
                <w:rFonts w:eastAsia="Calibri" w:cs=""/>
                <w:kern w:val="0"/>
                <w:sz w:val="24"/>
                <w:szCs w:val="24"/>
                <w:lang w:val="ru-RU" w:eastAsia="en-US" w:bidi="ar-SA"/>
              </w:rPr>
              <w:t>Некритичные пункты Проекта договора:</w:t>
            </w:r>
          </w:p>
        </w:tc>
        <w:tc>
          <w:tcPr>
            <w:tcW w:w="5895" w:type="dxa"/>
            <w:tcBorders/>
          </w:tcPr>
          <w:p>
            <w:pPr>
              <w:pStyle w:val="Tableheader"/>
              <w:widowControl w:val="false"/>
              <w:suppressAutoHyphens w:val="true"/>
              <w:spacing w:before="120" w:after="120"/>
              <w:rPr>
                <w:sz w:val="24"/>
                <w:szCs w:val="24"/>
              </w:rPr>
            </w:pPr>
            <w:r>
              <w:rPr>
                <w:b w:val="false"/>
                <w:sz w:val="24"/>
                <w:szCs w:val="24"/>
                <w:shd w:fill="auto" w:val="clear"/>
              </w:rPr>
              <w:t>Почтовый адрес: 675004, Благовещенск, ул. Шевченко, 32, каб. 214</w:t>
            </w:r>
          </w:p>
          <w:p>
            <w:pPr>
              <w:pStyle w:val="Style28"/>
              <w:widowControl w:val="false"/>
              <w:suppressAutoHyphens w:val="true"/>
              <w:spacing w:before="60" w:after="60"/>
              <w:rPr/>
            </w:pPr>
            <w:r>
              <w:rPr>
                <w:rStyle w:val="Style8"/>
                <w:rFonts w:eastAsia="Calibri" w:cs=""/>
                <w:b w:val="false"/>
                <w:kern w:val="0"/>
                <w:sz w:val="24"/>
                <w:szCs w:val="24"/>
                <w:shd w:fill="auto" w:val="clear"/>
                <w:lang w:val="ru-RU" w:eastAsia="en-US" w:bidi="ar-SA"/>
              </w:rPr>
              <w:t>Контактное лицо для приема документов (Ф.И.О.): Ярый В.С.</w:t>
            </w:r>
          </w:p>
          <w:p>
            <w:pPr>
              <w:pStyle w:val="Style28"/>
              <w:widowControl w:val="false"/>
              <w:suppressAutoHyphens w:val="true"/>
              <w:spacing w:before="60" w:after="60"/>
              <w:rPr>
                <w:sz w:val="24"/>
                <w:szCs w:val="24"/>
              </w:rPr>
            </w:pPr>
            <w:r>
              <w:rPr>
                <w:rFonts w:eastAsia="Calibri" w:cs=""/>
                <w:kern w:val="0"/>
                <w:sz w:val="24"/>
                <w:szCs w:val="24"/>
                <w:lang w:val="ru-RU" w:eastAsia="en-US" w:bidi="ar-SA"/>
              </w:rPr>
              <w:t>Для подачи документов в электронной форме:</w:t>
            </w:r>
          </w:p>
          <w:p>
            <w:pPr>
              <w:pStyle w:val="Style28"/>
              <w:widowControl w:val="false"/>
              <w:suppressAutoHyphens w:val="true"/>
              <w:spacing w:before="60" w:after="60"/>
              <w:rPr>
                <w:sz w:val="24"/>
                <w:szCs w:val="24"/>
              </w:rPr>
            </w:pPr>
            <w:r>
              <w:rPr>
                <w:sz w:val="24"/>
                <w:szCs w:val="24"/>
              </w:rPr>
              <w:t>Корпоративный сайт ПАО</w:t>
            </w:r>
            <w:r>
              <w:rPr>
                <w:sz w:val="24"/>
                <w:szCs w:val="24"/>
                <w:lang w:val="en-US"/>
              </w:rPr>
              <w:t> </w:t>
            </w:r>
            <w:r>
              <w:rPr>
                <w:sz w:val="24"/>
                <w:szCs w:val="24"/>
              </w:rPr>
              <w:t>«РусГидро», через специально созданную учетную запись (подробный порядок содержится в разделе</w:t>
            </w:r>
            <w:r>
              <w:rPr>
                <w:sz w:val="24"/>
                <w:szCs w:val="24"/>
                <w:lang w:val="en-US"/>
              </w:rPr>
              <w:t> </w:t>
            </w:r>
            <w:r>
              <w:rPr>
                <w:sz w:val="24"/>
                <w:szCs w:val="24"/>
                <w:lang w:val="en-US"/>
              </w:rPr>
              <w:fldChar w:fldCharType="begin"/>
            </w:r>
            <w:r>
              <w:rPr>
                <w:sz w:val="24"/>
                <w:szCs w:val="24"/>
                <w:lang w:val="en-US"/>
              </w:rPr>
              <w:instrText xml:space="preserve"> REF _Ref126142429 \r \h </w:instrText>
            </w:r>
            <w:r>
              <w:rPr>
                <w:sz w:val="24"/>
                <w:szCs w:val="24"/>
                <w:lang w:val="en-US"/>
              </w:rPr>
              <w:fldChar w:fldCharType="separate"/>
            </w:r>
            <w:r>
              <w:rPr>
                <w:sz w:val="24"/>
                <w:szCs w:val="24"/>
                <w:lang w:val="en-US"/>
              </w:rPr>
            </w:r>
            <w:r>
              <w:rPr>
                <w:sz w:val="24"/>
                <w:szCs w:val="24"/>
                <w:lang w:val="en-US"/>
              </w:rPr>
              <w:fldChar w:fldCharType="end"/>
            </w:r>
            <w:r>
              <w:rPr>
                <w:sz w:val="24"/>
                <w:szCs w:val="24"/>
              </w:rPr>
              <w:t>)</w:t>
            </w:r>
          </w:p>
        </w:tc>
      </w:tr>
      <w:tr>
        <w:trPr/>
        <w:tc>
          <w:tcPr>
            <w:tcW w:w="1126" w:type="dxa"/>
            <w:tcBorders/>
          </w:tcPr>
          <w:p>
            <w:pPr>
              <w:pStyle w:val="Style2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891" w:type="dxa"/>
            <w:tcBorders/>
          </w:tcPr>
          <w:p>
            <w:pPr>
              <w:pStyle w:val="Style28"/>
              <w:widowControl w:val="false"/>
              <w:suppressAutoHyphens w:val="true"/>
              <w:spacing w:before="60" w:after="60"/>
              <w:jc w:val="left"/>
              <w:rPr>
                <w:rFonts w:ascii="Times New Roman" w:hAnsi="Times New Roman" w:eastAsia="Calibri" w:cs=""/>
                <w:kern w:val="0"/>
                <w:sz w:val="24"/>
                <w:szCs w:val="24"/>
                <w:highlight w:val="none"/>
                <w:shd w:fill="auto" w:val="clear"/>
                <w:lang w:val="ru-RU" w:eastAsia="en-US" w:bidi="ar-SA"/>
              </w:rPr>
            </w:pPr>
            <w:r>
              <w:rPr>
                <w:rFonts w:eastAsia="Calibri" w:cs=""/>
                <w:kern w:val="0"/>
                <w:sz w:val="24"/>
                <w:szCs w:val="24"/>
                <w:shd w:fill="auto" w:val="clear"/>
                <w:lang w:val="ru-RU" w:eastAsia="en-US" w:bidi="ar-SA"/>
              </w:rPr>
              <w:t>Обеспечение</w:t>
              <w:br/>
              <w:t>исполнения Договора:</w:t>
            </w:r>
          </w:p>
        </w:tc>
        <w:tc>
          <w:tcPr>
            <w:tcW w:w="5895" w:type="dxa"/>
            <w:tcBorders/>
          </w:tcPr>
          <w:p>
            <w:pPr>
              <w:pStyle w:val="Style31"/>
              <w:widowControl w:val="false"/>
              <w:suppressAutoHyphens w:val="true"/>
              <w:spacing w:before="60" w:after="60"/>
              <w:rPr>
                <w:rFonts w:ascii="Times New Roman" w:hAnsi="Times New Roman" w:eastAsia="Calibri" w:cs=""/>
                <w:color w:val="auto"/>
                <w:kern w:val="0"/>
                <w:sz w:val="24"/>
                <w:szCs w:val="24"/>
                <w:highlight w:val="none"/>
                <w:shd w:fill="auto" w:val="clear"/>
                <w:lang w:val="ru-RU" w:eastAsia="en-US" w:bidi="ar-SA"/>
              </w:rPr>
            </w:pPr>
            <w:r>
              <w:rPr>
                <w:rFonts w:eastAsia="Calibri" w:cs=""/>
                <w:color w:val="000000"/>
                <w:kern w:val="0"/>
                <w:sz w:val="24"/>
                <w:szCs w:val="24"/>
                <w:shd w:fill="auto" w:val="clear"/>
                <w:lang w:val="ru-RU" w:eastAsia="en-US" w:bidi="ar-SA"/>
              </w:rPr>
              <w:t>Не требуется.</w:t>
            </w:r>
          </w:p>
        </w:tc>
      </w:tr>
    </w:tbl>
    <w:p>
      <w:pPr>
        <w:pStyle w:val="Style22"/>
        <w:rPr/>
      </w:pPr>
      <w:bookmarkStart w:id="58" w:name="_Toc228877673"/>
      <w:bookmarkStart w:id="59" w:name="_Ref125360337"/>
      <w:bookmarkStart w:id="60" w:name="_Ref125360073"/>
      <w:r>
        <w:rPr/>
        <w:t>Общие положения</w:t>
      </w:r>
      <w:bookmarkEnd w:id="58"/>
      <w:bookmarkEnd w:id="59"/>
      <w:bookmarkEnd w:id="60"/>
    </w:p>
    <w:p>
      <w:pPr>
        <w:pStyle w:val="Style23"/>
        <w:rPr/>
      </w:pPr>
      <w:bookmarkStart w:id="61" w:name="_Toc228877674"/>
      <w:r>
        <w:rPr/>
        <w:t>Общие сведения о закупке</w:t>
      </w:r>
      <w:bookmarkEnd w:id="61"/>
    </w:p>
    <w:p>
      <w:pPr>
        <w:pStyle w:val="Style24"/>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2</w:t>
      </w:r>
      <w:r>
        <w:rPr/>
        <w:fldChar w:fldCharType="end"/>
      </w:r>
      <w:r>
        <w:rPr/>
        <w:t>, к участию в закупке на право заключения договора, предмет которого указан в том же подразделе.</w:t>
      </w:r>
    </w:p>
    <w:p>
      <w:pPr>
        <w:pStyle w:val="Style24"/>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r>
      <w:r>
        <w:rPr/>
        <w:fldChar w:fldCharType="end"/>
      </w:r>
      <w:r>
        <w:rPr/>
        <w:t xml:space="preserve"> Документации о закупке.</w:t>
      </w:r>
    </w:p>
    <w:p>
      <w:pPr>
        <w:pStyle w:val="Style24"/>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rPr>
          <w:t>Технических требованиях (Приложение № 1)</w:t>
        </w:r>
      </w:hyperlink>
      <w:r>
        <w:rPr/>
        <w:t xml:space="preserve">. </w:t>
      </w:r>
      <w:hyperlink w:anchor="Прил02_ПроектДоговора">
        <w:r>
          <w:rPr>
            <w:rStyle w:val="Style11"/>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rPr>
          <w:t>Приложении № 2</w:t>
        </w:r>
      </w:hyperlink>
      <w:r>
        <w:rPr/>
        <w:t>. Если в подразделе </w:t>
      </w:r>
      <w:r>
        <w:rPr/>
        <w:fldChar w:fldCharType="begin"/>
      </w:r>
      <w:r>
        <w:rPr/>
        <w:instrText xml:space="preserve"> REF _Ref125359973 \r \h </w:instrText>
      </w:r>
      <w:r>
        <w:rPr/>
        <w:fldChar w:fldCharType="separate"/>
      </w:r>
      <w:r>
        <w:rPr/>
        <w:t>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1"/>
          </w:rPr>
          <w:t>Приложение № 4</w:t>
        </w:r>
      </w:hyperlink>
      <w:r>
        <w:rPr/>
        <w:t>)).</w:t>
      </w:r>
    </w:p>
    <w:p>
      <w:pPr>
        <w:pStyle w:val="Style24"/>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r>
      <w:r>
        <w:rPr/>
        <w:fldChar w:fldCharType="end"/>
      </w:r>
      <w:r>
        <w:rPr/>
        <w:t xml:space="preserve">, </w:t>
      </w:r>
      <w:r>
        <w:rPr/>
        <w:fldChar w:fldCharType="begin"/>
      </w:r>
      <w:r>
        <w:rPr/>
        <w:instrText xml:space="preserve"> REF _Ref126142429 \r \h </w:instrText>
      </w:r>
      <w:r>
        <w:rPr/>
        <w:fldChar w:fldCharType="separate"/>
      </w:r>
      <w:r>
        <w:rPr/>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rPr>
          <w:t>№ 4</w:t>
        </w:r>
      </w:hyperlink>
      <w:r>
        <w:rPr/>
        <w:t xml:space="preserve">, </w:t>
      </w:r>
      <w:hyperlink w:anchor="Прил05_ФормыПобедителя">
        <w:r>
          <w:rPr>
            <w:rStyle w:val="Style11"/>
          </w:rPr>
          <w:t>№ 5</w:t>
        </w:r>
      </w:hyperlink>
      <w:r>
        <w:rPr/>
        <w:t>.</w:t>
      </w:r>
    </w:p>
    <w:p>
      <w:pPr>
        <w:pStyle w:val="Style23"/>
        <w:rPr/>
      </w:pPr>
      <w:bookmarkStart w:id="62" w:name="_Toc228877675"/>
      <w:r>
        <w:rPr/>
        <w:t>Правовой статус документов</w:t>
      </w:r>
      <w:bookmarkEnd w:id="62"/>
    </w:p>
    <w:p>
      <w:pPr>
        <w:pStyle w:val="Style24"/>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4"/>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4"/>
        <w:keepNext w:val="true"/>
        <w:rPr/>
      </w:pPr>
      <w:bookmarkStart w:id="6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2.9</w:t>
      </w:r>
      <w:r>
        <w:rPr/>
        <w:fldChar w:fldCharType="end"/>
      </w:r>
      <w:bookmarkEnd w:id="63"/>
      <w:r>
        <w:rPr/>
        <w:t>.</w:t>
      </w:r>
    </w:p>
    <w:p>
      <w:pPr>
        <w:pStyle w:val="Style24"/>
        <w:rPr/>
      </w:pPr>
      <w:r>
        <w:rPr/>
        <w:t>Заключенный по результатам закупки Договор, в том числе, фиксирует все достигнутые сторонами договоренности.</w:t>
      </w:r>
    </w:p>
    <w:p>
      <w:pPr>
        <w:pStyle w:val="Style24"/>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4"/>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4"/>
        <w:rPr/>
      </w:pPr>
      <w:r>
        <w:rPr/>
        <w:t>Иные документы Организатора и Участников не определяют права и обязанности сторон в связи с данной закупкой.</w:t>
      </w:r>
    </w:p>
    <w:p>
      <w:pPr>
        <w:pStyle w:val="Style24"/>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3"/>
        <w:rPr/>
      </w:pPr>
      <w:bookmarkStart w:id="64" w:name="_Toc228877676"/>
      <w:bookmarkStart w:id="65" w:name="_Ref125363536"/>
      <w:r>
        <w:rPr/>
        <w:t>Обжалование</w:t>
      </w:r>
      <w:bookmarkEnd w:id="64"/>
      <w:bookmarkEnd w:id="65"/>
    </w:p>
    <w:p>
      <w:pPr>
        <w:pStyle w:val="Style24"/>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4"/>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4"/>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5"/>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5"/>
        <w:rPr/>
      </w:pPr>
      <w:r>
        <w:rPr/>
        <w:t>признать заявление Участника необоснованным.</w:t>
      </w:r>
    </w:p>
    <w:p>
      <w:pPr>
        <w:pStyle w:val="Style24"/>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4"/>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5"/>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5"/>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66" w:name="_Hlk219301278"/>
      <w:bookmarkStart w:id="67" w:name="_Hlk219296876"/>
      <w:r>
        <w:rPr/>
        <w:t>Красноярского края</w:t>
      </w:r>
      <w:bookmarkEnd w:id="66"/>
      <w:bookmarkEnd w:id="67"/>
      <w:r>
        <w:rPr/>
        <w:t>.</w:t>
      </w:r>
    </w:p>
    <w:p>
      <w:pPr>
        <w:pStyle w:val="Style28"/>
        <w:ind w:left="1134" w:hanging="0"/>
        <w:rPr/>
      </w:pPr>
      <w:r>
        <w:rPr/>
        <w:t>Закупочная комиссия определяется в соответствии с Положением о закупке.</w:t>
      </w:r>
    </w:p>
    <w:p>
      <w:pPr>
        <w:pStyle w:val="Style23"/>
        <w:rPr/>
      </w:pPr>
      <w:bookmarkStart w:id="68" w:name="_Toc228877677"/>
      <w:r>
        <w:rPr/>
        <w:t>Особые положения при проведении закупки с использованием ЭП</w:t>
      </w:r>
      <w:bookmarkEnd w:id="68"/>
    </w:p>
    <w:p>
      <w:pPr>
        <w:pStyle w:val="Style24"/>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4"/>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4"/>
        <w:rPr/>
      </w:pPr>
      <w:r>
        <w:rPr/>
        <w:t>Правила проведения закупки в том числе определяются Регламентом ЭП.</w:t>
      </w:r>
    </w:p>
    <w:p>
      <w:pPr>
        <w:pStyle w:val="Style24"/>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4"/>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3"/>
        <w:rPr/>
      </w:pPr>
      <w:bookmarkStart w:id="69" w:name="_Toc228877678"/>
      <w:r>
        <w:rPr/>
        <w:t>Прочие положения</w:t>
      </w:r>
      <w:bookmarkEnd w:id="69"/>
    </w:p>
    <w:p>
      <w:pPr>
        <w:pStyle w:val="Style24"/>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4"/>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4"/>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2"/>
        <w:rPr/>
      </w:pPr>
      <w:bookmarkStart w:id="70" w:name="_Toc228877679"/>
      <w:bookmarkStart w:id="71" w:name="_Ref125361210"/>
      <w:r>
        <w:rPr/>
        <w:t>Требования к Участникам</w:t>
      </w:r>
      <w:bookmarkEnd w:id="70"/>
      <w:bookmarkEnd w:id="71"/>
    </w:p>
    <w:p>
      <w:pPr>
        <w:pStyle w:val="Style23"/>
        <w:rPr/>
      </w:pPr>
      <w:bookmarkStart w:id="72" w:name="_Toc228877680"/>
      <w:bookmarkStart w:id="73" w:name="_Ref127524530"/>
      <w:r>
        <w:rPr/>
        <w:t>Общие требования к Участникам</w:t>
      </w:r>
      <w:bookmarkEnd w:id="72"/>
      <w:bookmarkEnd w:id="73"/>
    </w:p>
    <w:p>
      <w:pPr>
        <w:pStyle w:val="Style24"/>
        <w:rPr/>
      </w:pPr>
      <w:bookmarkStart w:id="74" w:name="_Ref125361514"/>
      <w:r>
        <w:rPr/>
        <w:t>Из лиц, указанных в подразделе </w:t>
      </w:r>
      <w:r>
        <w:rPr/>
        <w:fldChar w:fldCharType="begin"/>
      </w:r>
      <w:r>
        <w:rPr/>
        <w:instrText xml:space="preserve"> REF _Ref125359973 \r \h </w:instrText>
      </w:r>
      <w:r>
        <w:rPr/>
        <w:fldChar w:fldCharType="separate"/>
      </w:r>
      <w:r>
        <w:rPr/>
        <w:t>2</w:t>
      </w:r>
      <w:r>
        <w:rPr/>
        <w:fldChar w:fldCharType="end"/>
      </w:r>
      <w:r>
        <w:rPr/>
        <w:t>, участвовать в закупке может любое юридическое / физическое лицо (в том числе индивидуальный предприниматель),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w:t>
      </w:r>
      <w:bookmarkEnd w:id="74"/>
    </w:p>
    <w:p>
      <w:pPr>
        <w:pStyle w:val="Style24"/>
        <w:rPr/>
      </w:pPr>
      <w:r>
        <w:rPr/>
        <w:t>Однако, чтобы претендовать на победу в закупке Участник должен отвечать требованиям, установленным в Документации о закупке.</w:t>
      </w:r>
    </w:p>
    <w:p>
      <w:pPr>
        <w:pStyle w:val="Style24"/>
        <w:rPr/>
      </w:pPr>
      <w:r>
        <w:rPr/>
        <w:t xml:space="preserve">Требования к Участникам установлены с учетом предмета договора, </w:t>
      </w:r>
      <w:hyperlink w:anchor="Прил01_ТехТребования">
        <w:r>
          <w:rPr>
            <w:rStyle w:val="Style11"/>
          </w:rPr>
          <w:t>Технических требований (Приложение № 1)</w:t>
        </w:r>
      </w:hyperlink>
      <w:r>
        <w:rPr/>
        <w:t xml:space="preserve"> и </w:t>
      </w:r>
      <w:hyperlink w:anchor="Прил02_ПроектДоговора">
        <w:r>
          <w:rPr>
            <w:rStyle w:val="Style11"/>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1"/>
          </w:rPr>
          <w:t>Приложение № 4</w:t>
        </w:r>
      </w:hyperlink>
      <w:r>
        <w:rPr/>
        <w:t>)).</w:t>
      </w:r>
    </w:p>
    <w:p>
      <w:pPr>
        <w:pStyle w:val="Style24"/>
        <w:keepNext w:val="true"/>
        <w:rPr/>
      </w:pPr>
      <w:r>
        <w:rPr/>
        <w:t>Установлены следующие требования к Участникам, которые приведены в </w:t>
      </w:r>
      <w:hyperlink w:anchor="Прил03_ТребованияУчастникам">
        <w:r>
          <w:rPr>
            <w:rStyle w:val="Style11"/>
          </w:rPr>
          <w:t>Приложении № 3</w:t>
        </w:r>
      </w:hyperlink>
      <w:r>
        <w:rPr/>
        <w:t>:</w:t>
      </w:r>
    </w:p>
    <w:p>
      <w:pPr>
        <w:pStyle w:val="Style25"/>
        <w:rPr/>
      </w:pPr>
      <w:r>
        <w:rPr/>
        <w:t>обязательные требования (подраздел </w:t>
      </w:r>
      <w:r>
        <w:rPr/>
        <w:fldChar w:fldCharType="begin"/>
      </w:r>
      <w:r>
        <w:rPr/>
        <w:instrText xml:space="preserve"> REF _Ref125361435 \r \h </w:instrText>
      </w:r>
      <w:r>
        <w:rPr/>
        <w:fldChar w:fldCharType="separate"/>
      </w:r>
      <w:r>
        <w:rPr/>
        <w:t>2</w:t>
      </w:r>
      <w:r>
        <w:rPr/>
        <w:fldChar w:fldCharType="end"/>
      </w:r>
      <w:r>
        <w:rPr/>
        <w:t>) – Участники должны им соответствовать;</w:t>
      </w:r>
    </w:p>
    <w:p>
      <w:pPr>
        <w:pStyle w:val="Style25"/>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3</w:t>
      </w:r>
      <w:r>
        <w:rPr/>
        <w:fldChar w:fldCharType="end"/>
      </w:r>
      <w:r>
        <w:rPr/>
        <w:t>).</w:t>
      </w:r>
    </w:p>
    <w:p>
      <w:pPr>
        <w:pStyle w:val="Style24"/>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2</w:t>
      </w:r>
      <w:r>
        <w:rPr/>
        <w:fldChar w:fldCharType="end"/>
      </w:r>
      <w:r>
        <w:rPr/>
        <w:t>).</w:t>
      </w:r>
    </w:p>
    <w:p>
      <w:pPr>
        <w:pStyle w:val="Style24"/>
        <w:rPr/>
      </w:pPr>
      <w:bookmarkStart w:id="75" w:name="_Ref125361976"/>
      <w:bookmarkStart w:id="76" w:name="_Ref125361969"/>
      <w:bookmarkEnd w:id="75"/>
      <w:bookmarkEnd w:id="76"/>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rPr>
          <w:t>Требованиях к Участникам (Приложение № 3)</w:t>
        </w:r>
      </w:hyperlink>
      <w:r>
        <w:rPr/>
        <w:t xml:space="preserve">, </w:t>
      </w:r>
      <w:bookmarkStart w:id="77" w:name="_Hlk132706049"/>
      <w:r>
        <w:rPr/>
        <w:t>если иное не установлено в Документации о закупке</w:t>
      </w:r>
      <w:bookmarkEnd w:id="77"/>
      <w:r>
        <w:rPr/>
        <w:t>.</w:t>
      </w:r>
    </w:p>
    <w:p>
      <w:pPr>
        <w:pStyle w:val="Style23"/>
        <w:rPr/>
      </w:pPr>
      <w:bookmarkStart w:id="78" w:name="_Toc228877681"/>
      <w:bookmarkStart w:id="79" w:name="_Ref125361702"/>
      <w:bookmarkStart w:id="80" w:name="_Ref125361976_Копия_1"/>
      <w:bookmarkStart w:id="81" w:name="_Ref125361969_Копия_1"/>
      <w:bookmarkStart w:id="82" w:name="_Toc224743801"/>
      <w:bookmarkStart w:id="83" w:name="_Toc224743800"/>
      <w:bookmarkStart w:id="84" w:name="_Toc224743799"/>
      <w:bookmarkStart w:id="85" w:name="_Toc224743798"/>
      <w:bookmarkStart w:id="86" w:name="_Toc224743797"/>
      <w:bookmarkStart w:id="87" w:name="_Toc224743796"/>
      <w:bookmarkStart w:id="88" w:name="_Toc224743795"/>
      <w:bookmarkStart w:id="89" w:name="_Toc224743794"/>
      <w:bookmarkStart w:id="90" w:name="_Toc224743793"/>
      <w:bookmarkStart w:id="91" w:name="_Toc224743792"/>
      <w:bookmarkStart w:id="92" w:name="_Toc224743791"/>
      <w:bookmarkStart w:id="93" w:name="_Toc224743790"/>
      <w:bookmarkStart w:id="94" w:name="_Toc224743789"/>
      <w:bookmarkStart w:id="95" w:name="_Toc224743788"/>
      <w:bookmarkStart w:id="96" w:name="_Toc224743787"/>
      <w:bookmarkStart w:id="97" w:name="_Toc224743786"/>
      <w:bookmarkStart w:id="98" w:name="_Toc224743785"/>
      <w:bookmarkStart w:id="99" w:name="_Toc224743784"/>
      <w:bookmarkStart w:id="100" w:name="_Toc224743783"/>
      <w:bookmarkStart w:id="101" w:name="_Toc224743782"/>
      <w:bookmarkStart w:id="102" w:name="_Toc224743781"/>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t>Генеральные подрядчики</w:t>
      </w:r>
      <w:bookmarkEnd w:id="78"/>
      <w:bookmarkEnd w:id="79"/>
    </w:p>
    <w:p>
      <w:pPr>
        <w:pStyle w:val="Style24"/>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2</w:t>
      </w:r>
      <w:r>
        <w:rPr/>
        <w:fldChar w:fldCharType="end"/>
      </w:r>
      <w:r>
        <w:rPr/>
        <w:t xml:space="preserve"> предусмотрены рассмотрение и оценка заявок Участников с учетом привлекаемых субподрядчиков.</w:t>
      </w:r>
    </w:p>
    <w:p>
      <w:pPr>
        <w:pStyle w:val="Style24"/>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4</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4"/>
        <w:keepNext w:val="true"/>
        <w:rPr/>
      </w:pPr>
      <w:r>
        <w:rPr/>
        <w:t>Генеральный подрядчик:</w:t>
      </w:r>
    </w:p>
    <w:p>
      <w:pPr>
        <w:pStyle w:val="Style25"/>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2</w:t>
      </w:r>
      <w:r>
        <w:rPr/>
        <w:fldChar w:fldCharType="end"/>
      </w:r>
      <w:r>
        <w:rPr/>
        <w:t>);</w:t>
      </w:r>
    </w:p>
    <w:p>
      <w:pPr>
        <w:pStyle w:val="Style25"/>
        <w:rPr/>
      </w:pPr>
      <w:r>
        <w:rPr/>
        <w:t>в рамках специальных требований (подраздел </w:t>
      </w:r>
      <w:r>
        <w:rPr/>
        <w:fldChar w:fldCharType="begin"/>
      </w:r>
      <w:r>
        <w:rPr/>
        <w:instrText xml:space="preserve"> REF _Ref125709153 \r \h </w:instrText>
      </w:r>
      <w:r>
        <w:rPr/>
        <w:fldChar w:fldCharType="separate"/>
      </w:r>
      <w:r>
        <w:rPr/>
        <w:t>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5"/>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4"/>
        <w:keepNext w:val="true"/>
        <w:rPr/>
      </w:pPr>
      <w:r>
        <w:rPr/>
        <w:t>Каждый субподрядчик из привлекаемых Генеральным подрядчиком должен отвечать:</w:t>
      </w:r>
    </w:p>
    <w:p>
      <w:pPr>
        <w:pStyle w:val="Style25"/>
        <w:rPr/>
      </w:pPr>
      <w:r>
        <w:rPr/>
        <w:t>обязательным требованиям (подраздел </w:t>
      </w:r>
      <w:r>
        <w:rPr/>
        <w:fldChar w:fldCharType="begin"/>
      </w:r>
      <w:r>
        <w:rPr/>
        <w:instrText xml:space="preserve"> REF _Ref125361435 \r \h </w:instrText>
      </w:r>
      <w:r>
        <w:rPr/>
        <w:fldChar w:fldCharType="separate"/>
      </w:r>
      <w:r>
        <w:rPr/>
        <w:t>2</w:t>
      </w:r>
      <w:r>
        <w:rPr/>
        <w:fldChar w:fldCharType="end"/>
      </w:r>
      <w:r>
        <w:rPr/>
        <w:t>);</w:t>
      </w:r>
    </w:p>
    <w:p>
      <w:pPr>
        <w:pStyle w:val="Style25"/>
        <w:rPr/>
      </w:pPr>
      <w:r>
        <w:rPr/>
        <w:t>специальным требованиям (подраздел </w:t>
      </w:r>
      <w:r>
        <w:rPr/>
        <w:fldChar w:fldCharType="begin"/>
      </w:r>
      <w:r>
        <w:rPr/>
        <w:instrText xml:space="preserve"> REF _Ref125709153 \r \h </w:instrText>
      </w:r>
      <w:r>
        <w:rPr/>
        <w:fldChar w:fldCharType="separate"/>
      </w:r>
      <w:r>
        <w:rPr/>
        <w:t>3</w:t>
      </w:r>
      <w:r>
        <w:rPr/>
        <w:fldChar w:fldCharType="end"/>
      </w:r>
      <w:r>
        <w:rPr/>
        <w:t>) (в случае их установления), за исключением требования о наличии членства в саморегулируемых организациях.</w:t>
      </w:r>
    </w:p>
    <w:p>
      <w:pPr>
        <w:pStyle w:val="Style28"/>
        <w:ind w:left="1134" w:hanging="0"/>
        <w:rPr/>
      </w:pPr>
      <w:bookmarkStart w:id="103"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103"/>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4"/>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4"/>
        <w:rPr/>
      </w:pPr>
      <w:bookmarkStart w:id="104"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104"/>
    </w:p>
    <w:p>
      <w:pPr>
        <w:sectPr>
          <w:headerReference w:type="default" r:id="rId6"/>
          <w:footerReference w:type="defaul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4"/>
        <w:rPr/>
      </w:pPr>
      <w:r>
        <w:rPr/>
        <w:t>Если подразделом </w:t>
      </w:r>
      <w:r>
        <w:rPr/>
        <w:fldChar w:fldCharType="begin"/>
      </w:r>
      <w:r>
        <w:rPr/>
        <w:instrText xml:space="preserve"> REF _Ref125359973 \r \h </w:instrText>
      </w:r>
      <w:r>
        <w:rPr/>
        <w:fldChar w:fldCharType="separate"/>
      </w:r>
      <w:r>
        <w:rPr/>
        <w:t>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4</w:t>
      </w:r>
      <w:r>
        <w:rPr/>
        <w:fldChar w:fldCharType="end"/>
      </w:r>
      <w:r>
        <w:rPr/>
        <w:t xml:space="preserve"> </w:t>
      </w:r>
      <w:hyperlink w:anchor="Прил03_ТребованияУчастникам">
        <w:r>
          <w:rPr>
            <w:rStyle w:val="Style11"/>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2"/>
        <w:rPr/>
      </w:pPr>
      <w:bookmarkStart w:id="105" w:name="_Toc228877682"/>
      <w:bookmarkStart w:id="106" w:name="_Ref125367974"/>
      <w:bookmarkStart w:id="107" w:name="_Ref125367107"/>
      <w:bookmarkStart w:id="108" w:name="_Ref125367098"/>
      <w:bookmarkStart w:id="109" w:name="_Ref125361211"/>
      <w:r>
        <w:rPr/>
        <w:t>Порядок проведения закупки</w:t>
      </w:r>
      <w:bookmarkEnd w:id="105"/>
      <w:bookmarkEnd w:id="106"/>
      <w:bookmarkEnd w:id="107"/>
      <w:bookmarkEnd w:id="108"/>
      <w:bookmarkEnd w:id="109"/>
    </w:p>
    <w:p>
      <w:pPr>
        <w:pStyle w:val="Style23"/>
        <w:rPr/>
      </w:pPr>
      <w:bookmarkStart w:id="110" w:name="_Toc228877683"/>
      <w:bookmarkStart w:id="111" w:name="_Ref126141932"/>
      <w:r>
        <w:rPr/>
        <w:t>Общий порядок проведения закупки</w:t>
      </w:r>
      <w:bookmarkEnd w:id="110"/>
      <w:bookmarkEnd w:id="111"/>
    </w:p>
    <w:p>
      <w:pPr>
        <w:pStyle w:val="Style24"/>
        <w:keepNext w:val="true"/>
        <w:spacing w:before="120" w:after="120"/>
        <w:rPr/>
      </w:pPr>
      <w:r>
        <w:rPr/>
        <w:t>Закупка проводится в следующем порядке:</w:t>
      </w:r>
    </w:p>
    <w:tbl>
      <w:tblPr>
        <w:tblStyle w:val="af9"/>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042"/>
        <w:gridCol w:w="1166"/>
        <w:gridCol w:w="3228"/>
        <w:gridCol w:w="2694"/>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8"/>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6"/>
            <w:tcBorders>
              <w:right w:val="nil"/>
            </w:tcBorders>
          </w:tcPr>
          <w:p>
            <w:pPr>
              <w:pStyle w:val="Style28"/>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5"/>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 (отборочная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28"/>
              <w:widowControl w:val="false"/>
              <w:suppressAutoHyphens w:val="true"/>
              <w:spacing w:before="40" w:after="40"/>
              <w:jc w:val="center"/>
              <w:rPr>
                <w:bCs/>
                <w:sz w:val="24"/>
                <w:szCs w:val="24"/>
              </w:rPr>
            </w:pPr>
            <w:r>
              <w:rPr>
                <w:bCs/>
                <w:sz w:val="24"/>
                <w:szCs w:val="24"/>
              </w:rPr>
            </w:r>
          </w:p>
        </w:tc>
        <w:tc>
          <w:tcPr>
            <w:tcW w:w="2694" w:type="dxa"/>
            <w:vMerge w:val="restart"/>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и ценовым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rHeight w:val="2376" w:hRule="atLeast"/>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08" w:type="dxa"/>
            <w:gridSpan w:val="2"/>
            <w:tcBorders>
              <w:right w:val="single" w:sz="4" w:space="0" w:color="000000"/>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28" w:type="dxa"/>
            <w:tcBorders>
              <w:left w:val="single" w:sz="4" w:space="0" w:color="000000"/>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w:t>
            </w:r>
            <w:r>
              <w:rPr>
                <w:rFonts w:eastAsia="Calibri" w:cs=""/>
                <w:bCs/>
                <w:kern w:val="0"/>
                <w:sz w:val="24"/>
                <w:szCs w:val="24"/>
                <w:u w:val="single"/>
                <w:lang w:val="ru-RU" w:eastAsia="en-US" w:bidi="ar-SA"/>
              </w:rPr>
              <w:t>предоставление национального режима / запрета, ограничения</w:t>
            </w:r>
            <w:r>
              <w:rPr>
                <w:rFonts w:eastAsia="Calibri" w:cs=""/>
                <w:bCs/>
                <w:kern w:val="0"/>
                <w:sz w:val="24"/>
                <w:szCs w:val="24"/>
                <w:lang w:val="ru-RU" w:eastAsia="en-US" w:bidi="ar-SA"/>
              </w:rPr>
              <w:t>)</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_Ref186219943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vAlign w:val="center"/>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8"/>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8"/>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8"/>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6436" w:type="dxa"/>
            <w:gridSpan w:val="3"/>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28"/>
              <w:widowControl w:val="false"/>
              <w:suppressAutoHyphens w:val="true"/>
              <w:spacing w:before="40" w:after="40"/>
              <w:jc w:val="center"/>
              <w:rPr>
                <w:bCs/>
                <w:sz w:val="24"/>
                <w:szCs w:val="24"/>
              </w:rPr>
            </w:pPr>
            <w:r>
              <w:rPr>
                <w:bCs/>
                <w:sz w:val="24"/>
                <w:szCs w:val="24"/>
              </w:rPr>
            </w:r>
          </w:p>
        </w:tc>
        <w:tc>
          <w:tcPr>
            <w:tcW w:w="7198" w:type="dxa"/>
            <w:gridSpan w:val="3"/>
            <w:tcBorders>
              <w:right w:val="nil"/>
            </w:tcBorders>
          </w:tcPr>
          <w:p>
            <w:pPr>
              <w:pStyle w:val="Style28"/>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3"/>
        <w:rPr/>
      </w:pPr>
      <w:bookmarkStart w:id="112" w:name="_Toc228877684"/>
      <w:bookmarkStart w:id="113" w:name="_Ref130286532"/>
      <w:r>
        <w:rPr/>
        <w:t>Официальное размещение Извещения и Документации о закупке</w:t>
      </w:r>
      <w:bookmarkEnd w:id="112"/>
      <w:bookmarkEnd w:id="113"/>
    </w:p>
    <w:p>
      <w:pPr>
        <w:pStyle w:val="Style24"/>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4"/>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4"/>
        <w:rPr/>
      </w:pPr>
      <w:bookmarkStart w:id="114"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14"/>
    </w:p>
    <w:p>
      <w:pPr>
        <w:pStyle w:val="Style24"/>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3"/>
        <w:rPr/>
      </w:pPr>
      <w:bookmarkStart w:id="115" w:name="_Toc228877685"/>
      <w:bookmarkStart w:id="116" w:name="_Ref130394681"/>
      <w:bookmarkStart w:id="117" w:name="_Ref130281199"/>
      <w:r>
        <w:rPr/>
        <w:t>Подготовка заявки</w:t>
      </w:r>
      <w:bookmarkEnd w:id="115"/>
      <w:bookmarkEnd w:id="116"/>
      <w:bookmarkEnd w:id="117"/>
    </w:p>
    <w:p>
      <w:pPr>
        <w:pStyle w:val="Style24"/>
        <w:rPr/>
      </w:pPr>
      <w:r>
        <w:rPr/>
        <w:t>Участник должен подготовить заявку с учетом требований Документации о закупке.</w:t>
      </w:r>
    </w:p>
    <w:p>
      <w:pPr>
        <w:pStyle w:val="Style24"/>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4"/>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rPr>
          <w:t>Приложение № 4</w:t>
        </w:r>
      </w:hyperlink>
      <w:r>
        <w:rPr/>
        <w:t>.</w:t>
      </w:r>
    </w:p>
    <w:p>
      <w:pPr>
        <w:pStyle w:val="Style24"/>
        <w:rPr/>
      </w:pPr>
      <w:r>
        <w:rPr/>
        <w:t xml:space="preserve">Непосредственно перед подачей заявки Участник должен разделить подготовленные документы на отдельные части: </w:t>
      </w:r>
      <w:bookmarkStart w:id="118" w:name="_Hlk132886098"/>
      <w:r>
        <w:rPr/>
        <w:t>первую часть, вторую часть и ценовое предложение</w:t>
      </w:r>
      <w:bookmarkEnd w:id="118"/>
      <w:r>
        <w:rPr/>
        <w:t xml:space="preserve"> в соответствии с перечнем документов, входящих в каждую из частей, определенному </w:t>
      </w:r>
      <w:hyperlink w:anchor="Прил06_СоставЗаявки">
        <w:r>
          <w:rPr>
            <w:rStyle w:val="Style11"/>
          </w:rPr>
          <w:t>Приложением № 6 – Состав заявки</w:t>
        </w:r>
      </w:hyperlink>
      <w:r>
        <w:rPr/>
        <w:t>.</w:t>
      </w:r>
    </w:p>
    <w:p>
      <w:pPr>
        <w:pStyle w:val="Style24"/>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4"/>
        <w:rPr/>
      </w:pPr>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4"/>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4"/>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24"/>
        <w:rPr/>
      </w:pPr>
      <w:bookmarkStart w:id="119" w:name="_Ref125365866"/>
      <w:bookmarkStart w:id="120"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19"/>
      <w:bookmarkEnd w:id="120"/>
    </w:p>
    <w:p>
      <w:pPr>
        <w:pStyle w:val="Style24"/>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2</w:t>
      </w:r>
      <w:r>
        <w:rPr/>
        <w:fldChar w:fldCharType="end"/>
      </w:r>
      <w:r>
        <w:rPr/>
        <w:t>). Указание меньшего срока действия заявки в Письме о подаче оферты (форма 2) (</w:t>
      </w:r>
      <w:hyperlink w:anchor="Прил04_ФормыЗаявки">
        <w:r>
          <w:rPr>
            <w:rStyle w:val="Style11"/>
          </w:rPr>
          <w:t>Приложение № 4</w:t>
        </w:r>
      </w:hyperlink>
      <w:r>
        <w:rPr/>
        <w:t>) может служить основанием для отклонения заявки.</w:t>
      </w:r>
    </w:p>
    <w:p>
      <w:pPr>
        <w:pStyle w:val="Style24"/>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4"/>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4"/>
        <w:rPr/>
      </w:pPr>
      <w:bookmarkStart w:id="121" w:name="_Ref125370708"/>
      <w:bookmarkStart w:id="122"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2</w:t>
      </w:r>
      <w:r>
        <w:rPr/>
        <w:fldChar w:fldCharType="end"/>
      </w:r>
      <w:r>
        <w:rPr/>
        <w:t>), в противном случае заявка будет отклонена.</w:t>
      </w:r>
    </w:p>
    <w:p>
      <w:pPr>
        <w:pStyle w:val="Style24"/>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rPr>
          <w:t>Техническими требованиями (Приложение № 1)</w:t>
        </w:r>
      </w:hyperlink>
      <w:r>
        <w:rPr/>
        <w:t xml:space="preserve"> и </w:t>
      </w:r>
      <w:hyperlink w:anchor="Прил02_ПроектДоговора">
        <w:r>
          <w:rPr>
            <w:rStyle w:val="Style11"/>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21"/>
      <w:bookmarkEnd w:id="122"/>
    </w:p>
    <w:p>
      <w:pPr>
        <w:pStyle w:val="Style24"/>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1"/>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11"/>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4"/>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2</w:t>
      </w:r>
      <w:r>
        <w:rPr/>
        <w:fldChar w:fldCharType="end"/>
      </w:r>
      <w:r>
        <w:rPr/>
        <w:t>).</w:t>
      </w:r>
    </w:p>
    <w:p>
      <w:pPr>
        <w:pStyle w:val="Style24"/>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5"/>
        <w:rPr/>
      </w:pPr>
      <w:r>
        <w:rPr/>
        <w:t>внутренние противоречия между различными частями и (или) документами заявки, в том числе по тексту внутри одного документа;</w:t>
      </w:r>
    </w:p>
    <w:p>
      <w:pPr>
        <w:pStyle w:val="Style25"/>
        <w:rPr/>
      </w:pPr>
      <w:bookmarkStart w:id="123" w:name="_Ref125714384"/>
      <w:bookmarkStart w:id="124" w:name="_Ref125370398"/>
      <w:r>
        <w:rPr/>
        <w:t>противоречия между документами заявки и сведениями, указанными Участником в структурированных формах на ЭП.</w:t>
      </w:r>
      <w:bookmarkEnd w:id="123"/>
      <w:bookmarkEnd w:id="124"/>
    </w:p>
    <w:p>
      <w:pPr>
        <w:pStyle w:val="Style24"/>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5"/>
        <w:rPr/>
      </w:pPr>
      <w:r>
        <w:rPr/>
        <w:t>полномочий таких органов / лиц на оформление этих документов;</w:t>
      </w:r>
    </w:p>
    <w:p>
      <w:pPr>
        <w:pStyle w:val="Style25"/>
        <w:rPr/>
      </w:pPr>
      <w:r>
        <w:rPr/>
        <w:t>формы, объема и содержания этих документов.</w:t>
      </w:r>
    </w:p>
    <w:p>
      <w:pPr>
        <w:pStyle w:val="Style24"/>
        <w:keepNext w:val="true"/>
        <w:rPr/>
      </w:pPr>
      <w:r>
        <w:rPr/>
        <w:t>Участник должен подготовить заявку с соблюдением следующих условий:</w:t>
      </w:r>
    </w:p>
    <w:p>
      <w:pPr>
        <w:pStyle w:val="Style25"/>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5"/>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5"/>
        <w:rPr/>
      </w:pPr>
      <w:r>
        <w:rPr/>
        <w:t>все файлы не должны иметь защиты от их открытия, изменения, копирования их содержимого или их печати;</w:t>
      </w:r>
    </w:p>
    <w:p>
      <w:pPr>
        <w:pStyle w:val="Style25"/>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5"/>
        <w:rPr/>
      </w:pPr>
      <w:r>
        <w:rPr/>
        <w:t>если какой-либо документ представлен в нечитаемом виде, данный документ считается непредставленным.</w:t>
      </w:r>
    </w:p>
    <w:p>
      <w:pPr>
        <w:pStyle w:val="Style24"/>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3"/>
        <w:rPr/>
      </w:pPr>
      <w:bookmarkStart w:id="125" w:name="_Ref125366672"/>
      <w:bookmarkStart w:id="126" w:name="_Ref125362071"/>
      <w:bookmarkStart w:id="127" w:name="_Ref125361260"/>
      <w:bookmarkStart w:id="128" w:name="_Toc228877686"/>
      <w:bookmarkStart w:id="129" w:name="_Ref130394802"/>
      <w:bookmarkStart w:id="130" w:name="_Ref130394785"/>
      <w:bookmarkStart w:id="131" w:name="_Ref130394205"/>
      <w:r>
        <w:rPr/>
        <w:t>Разъяснение Документации о закупке</w:t>
      </w:r>
      <w:bookmarkEnd w:id="125"/>
      <w:bookmarkEnd w:id="126"/>
      <w:bookmarkEnd w:id="127"/>
      <w:bookmarkEnd w:id="128"/>
      <w:bookmarkEnd w:id="129"/>
      <w:bookmarkEnd w:id="130"/>
      <w:bookmarkEnd w:id="131"/>
    </w:p>
    <w:p>
      <w:pPr>
        <w:pStyle w:val="Style24"/>
        <w:rPr/>
      </w:pPr>
      <w:r>
        <w:rPr/>
        <w:t>Участники вправе обратиться к Организатору за разъяснениями Документации о закупке.</w:t>
      </w:r>
    </w:p>
    <w:p>
      <w:pPr>
        <w:pStyle w:val="Style24"/>
        <w:rPr/>
      </w:pPr>
      <w:r>
        <w:rPr/>
        <w:t>Запросы подаются в соответствии с Регламентами и инструкциями Оператора ЭП, опубликованными на сайте соответствующей ЭП.</w:t>
      </w:r>
    </w:p>
    <w:p>
      <w:pPr>
        <w:pStyle w:val="Style24"/>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4"/>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4"/>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4"/>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rPr>
          <w:t>Проекта договора (Приложения № 2)</w:t>
        </w:r>
      </w:hyperlink>
      <w:r>
        <w:rPr>
          <w:rStyle w:val="Style11"/>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4"/>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3"/>
        <w:rPr/>
      </w:pPr>
      <w:bookmarkStart w:id="132" w:name="_Toc228877687"/>
      <w:bookmarkStart w:id="133" w:name="_Ref125364404"/>
      <w:bookmarkStart w:id="134" w:name="_Ref125363891"/>
      <w:bookmarkStart w:id="135" w:name="_Ref125362076"/>
      <w:r>
        <w:rPr/>
        <w:t>Изменения Извещения и (или) Документации о закупке</w:t>
      </w:r>
      <w:bookmarkEnd w:id="132"/>
      <w:bookmarkEnd w:id="133"/>
      <w:bookmarkEnd w:id="134"/>
      <w:bookmarkEnd w:id="135"/>
    </w:p>
    <w:p>
      <w:pPr>
        <w:pStyle w:val="Style24"/>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4"/>
        <w:keepNext w:val="true"/>
        <w:rPr/>
      </w:pPr>
      <w:r>
        <w:rPr/>
        <w:t>После окончания срока подачи заявок допускается изменение только в части установленных Документацией о закупке дат:</w:t>
      </w:r>
    </w:p>
    <w:p>
      <w:pPr>
        <w:pStyle w:val="Style25"/>
        <w:rPr/>
      </w:pPr>
      <w:r>
        <w:rPr/>
        <w:t>рассмотрения первых частей заявок;</w:t>
      </w:r>
    </w:p>
    <w:p>
      <w:pPr>
        <w:pStyle w:val="Style25"/>
        <w:rPr/>
      </w:pPr>
      <w:r>
        <w:rPr/>
        <w:t>рассмотрения вторых частей заявок и ценовых предложений;</w:t>
      </w:r>
    </w:p>
    <w:p>
      <w:pPr>
        <w:pStyle w:val="Style25"/>
        <w:rPr/>
      </w:pPr>
      <w:r>
        <w:rPr/>
        <w:t>подведения итогов закупки;</w:t>
      </w:r>
    </w:p>
    <w:p>
      <w:pPr>
        <w:pStyle w:val="Style28"/>
        <w:ind w:left="1134" w:hanging="0"/>
        <w:rPr/>
      </w:pPr>
      <w:bookmarkStart w:id="136" w:name="_Ref125550844"/>
      <w:r>
        <w:rPr/>
        <w:t>в пределах срока действия заявок и с уведомлением Участников, подавших заявки.</w:t>
      </w:r>
      <w:bookmarkEnd w:id="136"/>
    </w:p>
    <w:p>
      <w:pPr>
        <w:pStyle w:val="Style24"/>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4"/>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 3 (трех) рабочих дней.</w:t>
      </w:r>
    </w:p>
    <w:p>
      <w:pPr>
        <w:pStyle w:val="Style24"/>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3"/>
        <w:rPr/>
      </w:pPr>
      <w:bookmarkStart w:id="137" w:name="_Toc228877688"/>
      <w:bookmarkStart w:id="138" w:name="_Ref125362119"/>
      <w:r>
        <w:rPr/>
        <w:t>Подача заявок и их прием</w:t>
      </w:r>
      <w:bookmarkEnd w:id="137"/>
      <w:bookmarkEnd w:id="138"/>
    </w:p>
    <w:p>
      <w:pPr>
        <w:pStyle w:val="Style24"/>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4"/>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4"/>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4"/>
        <w:rPr/>
      </w:pPr>
      <w:r>
        <w:rPr/>
        <w:t xml:space="preserve">Заявка должна быть подписана </w:t>
      </w:r>
      <w:bookmarkStart w:id="139" w:name="_Hlk219296949"/>
      <w:r>
        <w:rPr/>
        <w:t xml:space="preserve">усиленной квалифицированной </w:t>
      </w:r>
      <w:bookmarkEnd w:id="139"/>
      <w:r>
        <w:rPr/>
        <w:t>электронной подписью лица, которое является уполномоченным представителем Участника.</w:t>
      </w:r>
    </w:p>
    <w:p>
      <w:pPr>
        <w:pStyle w:val="Style24"/>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4"/>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4"/>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3"/>
        <w:rPr/>
      </w:pPr>
      <w:bookmarkStart w:id="140" w:name="_Toc228877689"/>
      <w:bookmarkStart w:id="141" w:name="_Ref125365136"/>
      <w:bookmarkStart w:id="142" w:name="_Ref125363819"/>
      <w:bookmarkStart w:id="143" w:name="_Ref125362192"/>
      <w:bookmarkStart w:id="144" w:name="_Ref125362130"/>
      <w:r>
        <w:rPr/>
        <w:t>Изменение и отзыв заявок</w:t>
      </w:r>
      <w:bookmarkEnd w:id="140"/>
      <w:bookmarkEnd w:id="141"/>
      <w:bookmarkEnd w:id="142"/>
      <w:bookmarkEnd w:id="143"/>
      <w:bookmarkEnd w:id="144"/>
    </w:p>
    <w:p>
      <w:pPr>
        <w:pStyle w:val="Style24"/>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4"/>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4"/>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6</w:t>
      </w:r>
      <w:r>
        <w:rPr/>
        <w:fldChar w:fldCharType="end"/>
      </w:r>
      <w:r>
        <w:rPr/>
        <w:t>.</w:t>
      </w:r>
    </w:p>
    <w:p>
      <w:pPr>
        <w:pStyle w:val="Style24"/>
        <w:rPr/>
      </w:pPr>
      <w:r>
        <w:rPr/>
        <w:t>Изменения и отзыв заявки осуществляется посредством функционала ЭП (подробный порядок определяется Регламентом ЭП).</w:t>
      </w:r>
    </w:p>
    <w:p>
      <w:pPr>
        <w:pStyle w:val="Style23"/>
        <w:rPr/>
      </w:pPr>
      <w:bookmarkStart w:id="145" w:name="_Toc228877690"/>
      <w:bookmarkStart w:id="146" w:name="_Ref132816188"/>
      <w:r>
        <w:rPr/>
        <w:t>Открытие доступа к первым частям заявок</w:t>
      </w:r>
      <w:bookmarkEnd w:id="145"/>
      <w:bookmarkEnd w:id="146"/>
    </w:p>
    <w:p>
      <w:pPr>
        <w:pStyle w:val="Style24"/>
        <w:rPr/>
      </w:pPr>
      <w:bookmarkStart w:id="147" w:name="_Hlk149310876"/>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2</w:t>
      </w:r>
      <w:r>
        <w:rPr/>
        <w:fldChar w:fldCharType="end"/>
      </w:r>
      <w:r>
        <w:rPr/>
        <w:t>).</w:t>
      </w:r>
      <w:bookmarkEnd w:id="147"/>
    </w:p>
    <w:p>
      <w:pPr>
        <w:pStyle w:val="Style24"/>
        <w:rPr/>
      </w:pPr>
      <w:bookmarkStart w:id="148" w:name="_Hlk149310910"/>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bookmarkEnd w:id="148"/>
    </w:p>
    <w:p>
      <w:pPr>
        <w:pStyle w:val="Style23"/>
        <w:rPr/>
      </w:pPr>
      <w:bookmarkStart w:id="149" w:name="_Toc228877691"/>
      <w:bookmarkStart w:id="150" w:name="_Ref125366689"/>
      <w:bookmarkStart w:id="151" w:name="_Ref125362364"/>
      <w:r>
        <w:rPr/>
        <w:t>Рассмотрение первых частей заявок (отборочная стадия)</w:t>
      </w:r>
      <w:bookmarkEnd w:id="149"/>
      <w:bookmarkEnd w:id="150"/>
      <w:bookmarkEnd w:id="151"/>
    </w:p>
    <w:p>
      <w:pPr>
        <w:pStyle w:val="Style24"/>
        <w:rPr/>
      </w:pPr>
      <w:r>
        <w:rPr/>
        <w:t>Дата окончания срока рассмотрения первых частей заявок установлена в подразделе </w:t>
      </w:r>
      <w:r>
        <w:rPr/>
        <w:fldChar w:fldCharType="begin"/>
      </w:r>
      <w:r>
        <w:rPr/>
        <w:instrText xml:space="preserve"> REF _Ref125359973 \r \h </w:instrText>
      </w:r>
      <w:r>
        <w:rPr/>
        <w:fldChar w:fldCharType="separate"/>
      </w:r>
      <w:r>
        <w:rPr/>
        <w:t>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4"/>
        <w:rPr/>
      </w:pPr>
      <w:r>
        <w:rPr/>
        <w:t xml:space="preserve">В рамках рассмотрения первых частей заявок (отборочной стадии) осуществляется проверка каждой заявки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4"/>
        <w:rPr/>
      </w:pPr>
      <w:r>
        <w:rPr/>
        <w:t>Рассмотрение первых частей заявок проводится на основании представленных в составе заявки документов и сведений.</w:t>
      </w:r>
    </w:p>
    <w:p>
      <w:pPr>
        <w:pStyle w:val="Style24"/>
        <w:keepNext w:val="true"/>
        <w:rPr/>
      </w:pPr>
      <w:bookmarkStart w:id="152" w:name="_Ref125551456"/>
      <w:r>
        <w:rPr/>
        <w:t>По результатам рассмотрения первых частей заявок (проведения отборочной стадии) Закупочная комиссия отклоняет заявки по следующим основаниям:</w:t>
      </w:r>
      <w:bookmarkEnd w:id="152"/>
    </w:p>
    <w:p>
      <w:pPr>
        <w:pStyle w:val="Style25"/>
        <w:rPr/>
      </w:pPr>
      <w:r>
        <w:rPr/>
        <w:t>несоответствие первой части заявки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26"/>
        <w:numPr>
          <w:ilvl w:val="0"/>
          <w:numId w:val="0"/>
        </w:numPr>
        <w:ind w:left="0" w:hanging="0"/>
        <w:rPr/>
      </w:pPr>
      <w:r>
        <w:rPr/>
        <w:t>недостоверных сведений или намеренно искаженной информации или документов;</w:t>
      </w:r>
    </w:p>
    <w:p>
      <w:pPr>
        <w:pStyle w:val="Style26"/>
        <w:numPr>
          <w:ilvl w:val="0"/>
          <w:numId w:val="0"/>
        </w:numPr>
        <w:ind w:left="0" w:hanging="0"/>
        <w:rPr/>
      </w:pPr>
      <w:r>
        <w:rPr/>
        <w:t>внутренних противоречий между различными частями и (или) документами первой части заявки, в том числе по тексту внутри одного документа;</w:t>
      </w:r>
    </w:p>
    <w:p>
      <w:pPr>
        <w:pStyle w:val="Style25"/>
        <w:rPr/>
      </w:pPr>
      <w:r>
        <w:rPr/>
        <w:t>несоответствие предлагаемой продукции требованиям Документации о закупке, в том числе порядка описания такой продукции;</w:t>
      </w:r>
    </w:p>
    <w:p>
      <w:pPr>
        <w:pStyle w:val="Style25"/>
        <w:rPr/>
      </w:pPr>
      <w:r>
        <w:rPr/>
        <w:t>несоответствие предлагаемых договорных условий требованиям Документации о закупке;</w:t>
      </w:r>
    </w:p>
    <w:p>
      <w:pPr>
        <w:pStyle w:val="Style25"/>
        <w:rPr/>
      </w:pPr>
      <w:r>
        <w:rPr/>
        <w:t>наличие в документах первой части заявки сведений об Участники и (или) о его ценовом предложении.</w:t>
      </w:r>
    </w:p>
    <w:p>
      <w:pPr>
        <w:pStyle w:val="Style24"/>
        <w:keepNext w:val="true"/>
        <w:rPr/>
      </w:pPr>
      <w:r>
        <w:rPr/>
        <w:t>Решение Закупочной комиссии по рассмотрению первых частей заявок оформляется протоколом, в котором, как минимум, указываются</w:t>
      </w:r>
      <w:r>
        <w:rPr>
          <w:rStyle w:val="FootnoteReference"/>
        </w:rPr>
        <w:footnoteReference w:id="4"/>
      </w:r>
      <w:r>
        <w:rPr/>
        <w:t>:</w:t>
      </w:r>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5"/>
        <w:rPr/>
      </w:pPr>
      <w:r>
        <w:rPr/>
        <w:t>идентификационные номера, присваиваемые Оператором ЭП;</w:t>
      </w:r>
    </w:p>
    <w:p>
      <w:pPr>
        <w:pStyle w:val="Style25"/>
        <w:keepNext w:val="true"/>
        <w:rPr/>
      </w:pPr>
      <w:r>
        <w:rPr/>
        <w:t>результаты рассмотрения первых частей заявок с указанием, в том числе:</w:t>
      </w:r>
    </w:p>
    <w:p>
      <w:pPr>
        <w:pStyle w:val="Style26"/>
        <w:numPr>
          <w:ilvl w:val="0"/>
          <w:numId w:val="0"/>
        </w:numPr>
        <w:ind w:left="0" w:hanging="0"/>
        <w:rPr/>
      </w:pPr>
      <w:r>
        <w:rPr/>
        <w:t>количества заявок, которые были отклонены по результатам рассмотрения первых частей заявок;</w:t>
      </w:r>
    </w:p>
    <w:p>
      <w:pPr>
        <w:pStyle w:val="Style26"/>
        <w:numPr>
          <w:ilvl w:val="0"/>
          <w:numId w:val="0"/>
        </w:numPr>
        <w:ind w:left="0" w:hanging="0"/>
        <w:rPr/>
      </w:pPr>
      <w:r>
        <w:rPr/>
        <w:t>оснований отклонения каждой заявки с указанием положений Документации о закупке, которым не соответствует первая часть такой заявка;</w:t>
      </w:r>
    </w:p>
    <w:p>
      <w:pPr>
        <w:pStyle w:val="Style25"/>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16</w:t>
      </w:r>
      <w:r>
        <w:rPr/>
        <w:fldChar w:fldCharType="end"/>
      </w:r>
      <w:r>
        <w:rPr/>
        <w:t xml:space="preserve"> (в случае ее признания таковой).</w:t>
      </w:r>
    </w:p>
    <w:p>
      <w:pPr>
        <w:pStyle w:val="Style24"/>
        <w:rPr/>
      </w:pPr>
      <w:r>
        <w:rPr/>
        <w:t>Протокол рассмотрения первых частей заявок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2</w:t>
      </w:r>
      <w:r>
        <w:rPr/>
        <w:fldChar w:fldCharType="end"/>
      </w:r>
      <w:r>
        <w:rPr/>
        <w:t>) Оператором ЭП в течение 1 (одного) часа с момента его получения от Организатора.</w:t>
      </w:r>
    </w:p>
    <w:p>
      <w:pPr>
        <w:pStyle w:val="Style23"/>
        <w:rPr/>
      </w:pPr>
      <w:bookmarkStart w:id="153" w:name="_Toc228877692"/>
      <w:bookmarkStart w:id="154" w:name="_Ref132801184"/>
      <w:r>
        <w:rPr/>
        <w:t>Открытие доступа ко вторым частям заявок и ценовым предложениям</w:t>
      </w:r>
      <w:bookmarkEnd w:id="153"/>
      <w:bookmarkEnd w:id="154"/>
    </w:p>
    <w:p>
      <w:pPr>
        <w:pStyle w:val="Style24"/>
        <w:rPr/>
      </w:pPr>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2</w:t>
      </w:r>
      <w:r>
        <w:rPr/>
        <w:fldChar w:fldCharType="end"/>
      </w:r>
      <w:r>
        <w:rPr/>
        <w:t>.</w:t>
      </w:r>
    </w:p>
    <w:p>
      <w:pPr>
        <w:pStyle w:val="Style24"/>
        <w:rPr/>
      </w:pPr>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3"/>
        <w:rPr/>
      </w:pPr>
      <w:bookmarkStart w:id="155" w:name="_Toc228877693"/>
      <w:bookmarkStart w:id="156" w:name="_Ref132797154"/>
      <w:r>
        <w:rPr/>
        <w:t>Рассмотрение вторых частей заявок (отборочная стадия), в том числе (при необходимости) проведение аккредитации, и ценовых предложений</w:t>
      </w:r>
      <w:bookmarkEnd w:id="155"/>
      <w:bookmarkEnd w:id="156"/>
    </w:p>
    <w:p>
      <w:pPr>
        <w:pStyle w:val="Style24"/>
        <w:rPr/>
      </w:pPr>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4"/>
        <w:rPr/>
      </w:pPr>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4"/>
        <w:rPr/>
      </w:pPr>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4"/>
        <w:keepNext w:val="true"/>
        <w:rPr/>
      </w:pPr>
      <w:bookmarkStart w:id="157" w:name="_Ref224835594"/>
      <w:r>
        <w:rPr/>
        <w:t>При выявлении в рамках рассмотрения ценовых предложений наличия арифметических ошибок, в том числе:</w:t>
      </w:r>
      <w:bookmarkEnd w:id="157"/>
    </w:p>
    <w:p>
      <w:pPr>
        <w:pStyle w:val="Style25"/>
        <w:rPr/>
      </w:pPr>
      <w:r>
        <w:rPr/>
        <w:t>в результате суммирования единичных расценок;</w:t>
      </w:r>
    </w:p>
    <w:p>
      <w:pPr>
        <w:pStyle w:val="Style25"/>
        <w:rPr/>
      </w:pPr>
      <w:r>
        <w:rPr/>
        <w:t>в итогах умножения единичных расценок на объем продукции;</w:t>
      </w:r>
    </w:p>
    <w:p>
      <w:pPr>
        <w:pStyle w:val="Style25"/>
        <w:rPr/>
      </w:pPr>
      <w:r>
        <w:rPr/>
        <w:t>в вычислении суммы НДС и итоговой стоимости заявки с учетом НДС);</w:t>
      </w:r>
    </w:p>
    <w:p>
      <w:pPr>
        <w:pStyle w:val="Style25"/>
        <w:rPr/>
      </w:pPr>
      <w:r>
        <w:rPr/>
        <w:t>иных внутренних противоречий в составе заявки,</w:t>
      </w:r>
    </w:p>
    <w:p>
      <w:pPr>
        <w:pStyle w:val="Style28"/>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4"/>
        <w:keepNext w:val="true"/>
        <w:rPr/>
      </w:pPr>
      <w:bookmarkStart w:id="158" w:name="_Ref132793926"/>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58"/>
    </w:p>
    <w:p>
      <w:pPr>
        <w:pStyle w:val="Style25"/>
        <w:rPr/>
      </w:pPr>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6"/>
        <w:numPr>
          <w:ilvl w:val="0"/>
          <w:numId w:val="0"/>
        </w:numPr>
        <w:ind w:left="0" w:hanging="0"/>
        <w:rPr/>
      </w:pPr>
      <w:r>
        <w:rPr/>
        <w:t>недостоверных сведений или намеренно искаженной информации или документов;</w:t>
      </w:r>
    </w:p>
    <w:p>
      <w:pPr>
        <w:pStyle w:val="Style26"/>
        <w:numPr>
          <w:ilvl w:val="0"/>
          <w:numId w:val="0"/>
        </w:numPr>
        <w:ind w:left="0" w:hanging="0"/>
        <w:rPr/>
      </w:pPr>
      <w:r>
        <w:rPr/>
        <w:t xml:space="preserve">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 (за исключением ошибок, предусмотренных пунктом </w:t>
      </w:r>
      <w:r>
        <w:rPr/>
        <w:fldChar w:fldCharType="begin"/>
      </w:r>
      <w:r>
        <w:rPr/>
        <w:instrText xml:space="preserve"> REF _Ref224835594 \r \h </w:instrText>
      </w:r>
      <w:r>
        <w:rPr/>
        <w:fldChar w:fldCharType="separate"/>
      </w:r>
      <w:r>
        <w:rPr/>
        <w:t>11.4</w:t>
      </w:r>
      <w:r>
        <w:rPr/>
        <w:fldChar w:fldCharType="end"/>
      </w:r>
      <w:r>
        <w:rPr/>
        <w:t>);</w:t>
      </w:r>
    </w:p>
    <w:p>
      <w:pPr>
        <w:pStyle w:val="Style25"/>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5"/>
        <w:rPr/>
      </w:pPr>
      <w:r>
        <w:rPr/>
        <w:t>несоответствие Участников требованиям Документации о закупке;</w:t>
      </w:r>
    </w:p>
    <w:p>
      <w:pPr>
        <w:pStyle w:val="Style25"/>
        <w:rPr/>
      </w:pPr>
      <w:r>
        <w:rPr/>
        <w:t>несоответствие привлекаемых субподрядчиков (соисполнителей) требованиям Документации о закупке;</w:t>
      </w:r>
    </w:p>
    <w:p>
      <w:pPr>
        <w:pStyle w:val="Style25"/>
        <w:rPr/>
      </w:pPr>
      <w:r>
        <w:rPr/>
        <w:t>превышение ценового предложения над установленным размером НМЦ.</w:t>
      </w:r>
    </w:p>
    <w:p>
      <w:pPr>
        <w:pStyle w:val="Style24"/>
        <w:keepNext w:val="true"/>
        <w:rPr/>
      </w:pPr>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6"/>
      </w:r>
      <w:r>
        <w:rPr/>
        <w:t>:</w:t>
      </w:r>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5"/>
        <w:rPr/>
      </w:pPr>
      <w:r>
        <w:rPr/>
        <w:t>наименования Участников, заявки которых не были отклонены по результатам рассмотрения первых частей заявок, и (или) их идентификационные номера, присваиваемые Оператором ЭП;</w:t>
      </w:r>
    </w:p>
    <w:p>
      <w:pPr>
        <w:pStyle w:val="Style25"/>
        <w:keepNext w:val="true"/>
        <w:rPr/>
      </w:pPr>
      <w:r>
        <w:rPr/>
        <w:t>результаты рассмотрения вторых частей заявок и ценовых предложений с указанием, в том числе:</w:t>
      </w:r>
    </w:p>
    <w:p>
      <w:pPr>
        <w:pStyle w:val="Style26"/>
        <w:numPr>
          <w:ilvl w:val="0"/>
          <w:numId w:val="0"/>
        </w:numPr>
        <w:ind w:left="0" w:hanging="0"/>
        <w:rPr/>
      </w:pPr>
      <w:r>
        <w:rPr/>
        <w:t>количества заявок, которые были отклонены по результатам рассмотрения вторых частей заявок и ценовых предложений;</w:t>
      </w:r>
    </w:p>
    <w:p>
      <w:pPr>
        <w:pStyle w:val="Style26"/>
        <w:numPr>
          <w:ilvl w:val="0"/>
          <w:numId w:val="0"/>
        </w:numPr>
        <w:ind w:left="0" w:hanging="0"/>
        <w:rPr/>
      </w:pPr>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5"/>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16</w:t>
      </w:r>
      <w:r>
        <w:rPr/>
        <w:fldChar w:fldCharType="end"/>
      </w:r>
      <w:r>
        <w:rPr/>
        <w:t xml:space="preserve"> (в случае ее признания таковой).</w:t>
      </w:r>
    </w:p>
    <w:p>
      <w:pPr>
        <w:pStyle w:val="Style24"/>
        <w:rPr/>
      </w:pPr>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2</w:t>
      </w:r>
      <w:r>
        <w:rPr/>
        <w:fldChar w:fldCharType="end"/>
      </w:r>
      <w:r>
        <w:rPr/>
        <w:t>) Оператором ЭП в течение 1 (одного) часа с момента его получения от Организатора.</w:t>
      </w:r>
    </w:p>
    <w:p>
      <w:pPr>
        <w:pStyle w:val="Style23"/>
        <w:rPr/>
      </w:pPr>
      <w:bookmarkStart w:id="159" w:name="_Toc228877694"/>
      <w:bookmarkStart w:id="160" w:name="_Ref125362610"/>
      <w:bookmarkStart w:id="161" w:name="_Ref125362464"/>
      <w:bookmarkStart w:id="162" w:name="_Ref125362425"/>
      <w:bookmarkStart w:id="163" w:name="_Ref125362381"/>
      <w:r>
        <w:rPr/>
        <w:t>Дополнительные запросы разъяснений заявок</w:t>
      </w:r>
      <w:bookmarkEnd w:id="159"/>
      <w:bookmarkEnd w:id="160"/>
      <w:bookmarkEnd w:id="161"/>
      <w:bookmarkEnd w:id="162"/>
      <w:bookmarkEnd w:id="163"/>
    </w:p>
    <w:p>
      <w:pPr>
        <w:pStyle w:val="Style24"/>
        <w:rPr/>
      </w:pPr>
      <w:bookmarkStart w:id="164" w:name="_Ref125365611"/>
      <w:r>
        <w:rPr/>
        <w:t>В рамках процедуры рассмотрения заявок (первых частей заявок, вторых частей заявок и ценовых предложений),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64"/>
    </w:p>
    <w:p>
      <w:pPr>
        <w:pStyle w:val="Style25"/>
        <w:keepNext w:val="true"/>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6"/>
        <w:numPr>
          <w:ilvl w:val="0"/>
          <w:numId w:val="0"/>
        </w:numPr>
        <w:ind w:left="0" w:hanging="0"/>
        <w:rPr/>
      </w:pPr>
      <w:r>
        <w:rPr/>
        <w:t>соответствия Участника требованиям Документации о закупке;</w:t>
      </w:r>
    </w:p>
    <w:p>
      <w:pPr>
        <w:pStyle w:val="Style26"/>
        <w:numPr>
          <w:ilvl w:val="0"/>
          <w:numId w:val="0"/>
        </w:numPr>
        <w:ind w:left="0" w:hanging="0"/>
        <w:rPr/>
      </w:pPr>
      <w:bookmarkStart w:id="165" w:name="_Hlk132793683"/>
      <w:r>
        <w:rPr/>
        <w:t>наличия соответствующих полномочий на подписание заявки от имени Участника у лица, подписавшего заявку</w:t>
      </w:r>
      <w:bookmarkEnd w:id="165"/>
      <w:r>
        <w:rPr/>
        <w:t>;</w:t>
      </w:r>
    </w:p>
    <w:p>
      <w:pPr>
        <w:pStyle w:val="Style26"/>
        <w:numPr>
          <w:ilvl w:val="0"/>
          <w:numId w:val="0"/>
        </w:numPr>
        <w:ind w:left="0" w:hanging="0"/>
        <w:rPr/>
      </w:pPr>
      <w:r>
        <w:rPr/>
        <w:t xml:space="preserve">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_Ref186219943 \r \h </w:instrText>
      </w:r>
      <w:r>
        <w:rPr/>
        <w:fldChar w:fldCharType="separate"/>
      </w:r>
      <w:r>
        <w:rPr/>
        <w:t>14</w:t>
      </w:r>
      <w:r>
        <w:rPr/>
        <w:fldChar w:fldCharType="end"/>
      </w:r>
      <w:r>
        <w:rPr/>
        <w:t>), договорных условий и расчета цены Договора;</w:t>
      </w:r>
    </w:p>
    <w:p>
      <w:pPr>
        <w:pStyle w:val="Style25"/>
        <w:rPr/>
      </w:pPr>
      <w:bookmarkStart w:id="166"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5"/>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7"/>
      </w:r>
      <w:r>
        <w:rPr/>
        <w:t>) требованиям Документации о закупке или осуществить оценку и сопоставление заявок.</w:t>
      </w:r>
      <w:bookmarkEnd w:id="166"/>
    </w:p>
    <w:p>
      <w:pPr>
        <w:pStyle w:val="Style24"/>
        <w:rPr/>
      </w:pPr>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12.1б)</w:t>
      </w:r>
      <w:r>
        <w:rPr/>
        <w:fldChar w:fldCharType="end"/>
      </w:r>
      <w:r>
        <w:rPr/>
        <w:t>).</w:t>
      </w:r>
    </w:p>
    <w:p>
      <w:pPr>
        <w:pStyle w:val="Style24"/>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4"/>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4"/>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9.4</w:t>
      </w:r>
      <w:r>
        <w:rPr/>
        <w:fldChar w:fldCharType="end"/>
      </w:r>
      <w:r>
        <w:rPr/>
        <w:t xml:space="preserve">, </w:t>
      </w:r>
      <w:r>
        <w:rPr/>
        <w:fldChar w:fldCharType="begin"/>
      </w:r>
      <w:r>
        <w:rPr/>
        <w:instrText xml:space="preserve"> REF _Ref132793926 \r \h </w:instrText>
      </w:r>
      <w:r>
        <w:rPr/>
        <w:fldChar w:fldCharType="separate"/>
      </w:r>
      <w:r>
        <w:rPr/>
        <w:t>11.5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12.1</w:t>
      </w:r>
      <w:r>
        <w:rPr/>
        <w:fldChar w:fldCharType="end"/>
      </w:r>
      <w:r>
        <w:rPr/>
        <w:t>.</w:t>
      </w:r>
    </w:p>
    <w:p>
      <w:pPr>
        <w:pStyle w:val="Style24"/>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4"/>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4"/>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9.4</w:t>
      </w:r>
      <w:r>
        <w:rPr/>
        <w:fldChar w:fldCharType="end"/>
      </w:r>
      <w:r>
        <w:rPr/>
        <w:t xml:space="preserve">, </w:t>
      </w:r>
      <w:r>
        <w:rPr/>
        <w:fldChar w:fldCharType="begin"/>
      </w:r>
      <w:r>
        <w:rPr/>
        <w:instrText xml:space="preserve"> REF _Ref132793926 \r \h </w:instrText>
      </w:r>
      <w:r>
        <w:rPr/>
        <w:fldChar w:fldCharType="separate"/>
      </w:r>
      <w:r>
        <w:rPr/>
        <w:t>11.5</w:t>
      </w:r>
      <w:r>
        <w:rPr/>
        <w:fldChar w:fldCharType="end"/>
      </w:r>
      <w:r>
        <w:rPr/>
        <w:t>.</w:t>
      </w:r>
    </w:p>
    <w:p>
      <w:pPr>
        <w:pStyle w:val="Style23"/>
        <w:rPr/>
      </w:pPr>
      <w:bookmarkStart w:id="167" w:name="_Toc228877695"/>
      <w:bookmarkStart w:id="168" w:name="_Ref125369308"/>
      <w:bookmarkStart w:id="169" w:name="_Ref125369041"/>
      <w:bookmarkStart w:id="170" w:name="_Ref125366534"/>
      <w:bookmarkStart w:id="171" w:name="_Ref125365519"/>
      <w:bookmarkStart w:id="172" w:name="_Ref125365335"/>
      <w:bookmarkStart w:id="173" w:name="_Ref125362626"/>
      <w:r>
        <w:rPr/>
        <w:t>Оценка и сопоставление заявок</w:t>
      </w:r>
      <w:bookmarkEnd w:id="167"/>
      <w:bookmarkEnd w:id="168"/>
      <w:bookmarkEnd w:id="169"/>
      <w:bookmarkEnd w:id="170"/>
      <w:bookmarkEnd w:id="171"/>
      <w:bookmarkEnd w:id="172"/>
      <w:bookmarkEnd w:id="173"/>
    </w:p>
    <w:p>
      <w:pPr>
        <w:pStyle w:val="Style24"/>
        <w:rPr/>
      </w:pPr>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вторых частей заявок и ценовых предложений) осуществляется в соответствии с </w:t>
      </w:r>
      <w:hyperlink w:anchor="Прил08_ПорядокОценки">
        <w:r>
          <w:rPr>
            <w:rStyle w:val="Style11"/>
          </w:rPr>
          <w:t>Порядком и критериями оценки и сопоставления заявок (Приложение № 8)</w:t>
        </w:r>
      </w:hyperlink>
      <w:r>
        <w:rPr/>
        <w:t>, с присвоением каждой заявке итогового балла.</w:t>
      </w:r>
    </w:p>
    <w:p>
      <w:pPr>
        <w:pStyle w:val="Style24"/>
        <w:rPr/>
      </w:pPr>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24"/>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4"/>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14</w:t>
      </w:r>
      <w:r>
        <w:rPr/>
        <w:fldChar w:fldCharType="end"/>
      </w:r>
      <w:r>
        <w:rPr/>
        <w:t>).</w:t>
      </w:r>
    </w:p>
    <w:p>
      <w:pPr>
        <w:pStyle w:val="Style24"/>
        <w:rPr/>
      </w:pPr>
      <w:r>
        <w:rPr/>
        <w:t>Результаты оценки и сопоставления заявок указываются в итоговом протоколе по результатам закупки.</w:t>
      </w:r>
    </w:p>
    <w:p>
      <w:pPr>
        <w:pStyle w:val="Style23"/>
        <w:rPr/>
      </w:pPr>
      <w:bookmarkStart w:id="174" w:name="_Ref130458671"/>
      <w:bookmarkStart w:id="175" w:name="_Ref125370507"/>
      <w:bookmarkStart w:id="176" w:name="_Ref125369991"/>
      <w:bookmarkStart w:id="177" w:name="_Ref125366064"/>
      <w:bookmarkStart w:id="178" w:name="_Ref130985951"/>
      <w:bookmarkStart w:id="179" w:name="_Toc228877696"/>
      <w:bookmarkStart w:id="180" w:name="_Ref132816300"/>
      <w:bookmarkStart w:id="181" w:name="_Ref186219943"/>
      <w:r>
        <w:rPr/>
        <w:t>Применение законодательства о национальном режиме</w:t>
      </w:r>
      <w:bookmarkEnd w:id="174"/>
      <w:bookmarkEnd w:id="175"/>
      <w:bookmarkEnd w:id="176"/>
      <w:bookmarkEnd w:id="177"/>
      <w:bookmarkEnd w:id="178"/>
      <w:bookmarkEnd w:id="179"/>
      <w:bookmarkEnd w:id="180"/>
      <w:bookmarkEnd w:id="181"/>
    </w:p>
    <w:p>
      <w:pPr>
        <w:pStyle w:val="Style24"/>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2</w:t>
      </w:r>
      <w:r>
        <w:rPr/>
        <w:fldChar w:fldCharType="end"/>
      </w:r>
      <w:r>
        <w:rPr/>
        <w:t>.</w:t>
      </w:r>
    </w:p>
    <w:p>
      <w:pPr>
        <w:pStyle w:val="Style24"/>
        <w:rPr/>
      </w:pPr>
      <w:bookmarkStart w:id="182" w:name="_Ref207817837"/>
      <w:r>
        <w:rPr/>
        <w:t>Если в подразделе </w:t>
      </w:r>
      <w:r>
        <w:rPr/>
        <w:fldChar w:fldCharType="begin"/>
      </w:r>
      <w:r>
        <w:rPr/>
        <w:instrText xml:space="preserve"> REF _Ref125359973 \r \h </w:instrText>
      </w:r>
      <w:r>
        <w:rPr/>
        <w:fldChar w:fldCharType="separate"/>
      </w:r>
      <w:r>
        <w:rPr/>
        <w:t>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11</w:t>
      </w:r>
      <w:r>
        <w:rPr/>
        <w:fldChar w:fldCharType="end"/>
      </w:r>
      <w:r>
        <w:rPr/>
        <w:t>).</w:t>
      </w:r>
      <w:bookmarkEnd w:id="182"/>
    </w:p>
    <w:p>
      <w:pPr>
        <w:pStyle w:val="Style24"/>
        <w:rPr/>
      </w:pPr>
      <w:r>
        <w:rPr/>
        <w:t>Если в подразделе </w:t>
      </w:r>
      <w:r>
        <w:rPr/>
        <w:fldChar w:fldCharType="begin"/>
      </w:r>
      <w:r>
        <w:rPr/>
        <w:instrText xml:space="preserve"> REF _Ref125359973 \r \h </w:instrText>
      </w:r>
      <w:r>
        <w:rPr/>
        <w:fldChar w:fldCharType="separate"/>
      </w:r>
      <w:r>
        <w:rPr/>
        <w:t>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11</w:t>
      </w:r>
      <w:r>
        <w:rPr/>
        <w:fldChar w:fldCharType="end"/>
      </w:r>
      <w:r>
        <w:rPr/>
        <w:t>).</w:t>
      </w:r>
    </w:p>
    <w:p>
      <w:pPr>
        <w:pStyle w:val="Style24"/>
        <w:rPr/>
      </w:pPr>
      <w:r>
        <w:rPr/>
        <w:t>Если в подразделе </w:t>
      </w:r>
      <w:r>
        <w:rPr/>
        <w:fldChar w:fldCharType="begin"/>
      </w:r>
      <w:r>
        <w:rPr/>
        <w:instrText xml:space="preserve"> REF _Ref125359973 \r \h </w:instrText>
      </w:r>
      <w:r>
        <w:rPr/>
        <w:fldChar w:fldCharType="separate"/>
      </w:r>
      <w:r>
        <w:rPr/>
        <w:t>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13</w:t>
      </w:r>
      <w:r>
        <w:rPr/>
        <w:fldChar w:fldCharType="end"/>
      </w:r>
      <w:r>
        <w:rPr/>
        <w:t>), осуществляется снижение</w:t>
      </w:r>
      <w:r>
        <w:rPr>
          <w:rStyle w:val="FootnoteReference"/>
        </w:rPr>
        <w:footnoteReference w:id="8"/>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(в том числе поставляемых при выполнении закупаемых работ, оказании закупаемых услуг)), при условии наличия допущенной заявки с иностранной продукцией (на поставку товара иностранного происхождения).</w:t>
      </w:r>
    </w:p>
    <w:p>
      <w:pPr>
        <w:pStyle w:val="Style24"/>
        <w:rPr/>
      </w:pPr>
      <w:bookmarkStart w:id="183" w:name="_Ref195007400"/>
      <w:r>
        <w:rPr/>
        <w:t>Если в подразделе </w:t>
      </w:r>
      <w:r>
        <w:rPr/>
        <w:fldChar w:fldCharType="begin"/>
      </w:r>
      <w:r>
        <w:rPr/>
        <w:instrText xml:space="preserve"> REF _Ref125359973 \r \h </w:instrText>
      </w:r>
      <w:r>
        <w:rPr/>
        <w:fldChar w:fldCharType="separate"/>
      </w:r>
      <w:r>
        <w:rPr/>
        <w:t>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_Ref132797154 \r \h </w:instrText>
      </w:r>
      <w:r>
        <w:rPr/>
        <w:fldChar w:fldCharType="separate"/>
      </w:r>
      <w:r>
        <w:rPr/>
        <w:t>11</w:t>
      </w:r>
      <w:r>
        <w:rPr/>
        <w:fldChar w:fldCharType="end"/>
      </w:r>
      <w:r>
        <w:rPr/>
        <w:t>).</w:t>
      </w:r>
      <w:bookmarkEnd w:id="183"/>
    </w:p>
    <w:p>
      <w:pPr>
        <w:pStyle w:val="Style24"/>
        <w:rPr/>
      </w:pPr>
      <w:r>
        <w:rPr/>
        <w:t>Состав и требования к сведениям и (или) 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_Ref207817837 \r \h </w:instrText>
      </w:r>
      <w:r>
        <w:rPr/>
        <w:fldChar w:fldCharType="separate"/>
      </w:r>
      <w:r>
        <w:rPr/>
        <w:t>14.2</w:t>
      </w:r>
      <w:r>
        <w:rPr/>
        <w:fldChar w:fldCharType="end"/>
      </w:r>
      <w:r>
        <w:rPr/>
        <w:t> – </w:t>
      </w:r>
      <w:r>
        <w:rPr/>
        <w:fldChar w:fldCharType="begin"/>
      </w:r>
      <w:r>
        <w:rPr/>
        <w:instrText xml:space="preserve"> REF _Ref195007400 \r \h </w:instrText>
      </w:r>
      <w:r>
        <w:rPr/>
        <w:fldChar w:fldCharType="separate"/>
      </w:r>
      <w:r>
        <w:rPr/>
        <w:t>14.5</w:t>
      </w:r>
      <w:r>
        <w:rPr/>
        <w:fldChar w:fldCharType="end"/>
      </w:r>
      <w:r>
        <w:rPr/>
        <w:t>), установлены в Структуре НМЦ (в составе Коммерческого предложения (форма 3) (</w:t>
      </w:r>
      <w:hyperlink w:anchor="Прил04_ФормыЗаявки">
        <w:r>
          <w:rPr>
            <w:rStyle w:val="Style11"/>
          </w:rPr>
          <w:t>Приложение № 4</w:t>
        </w:r>
      </w:hyperlink>
      <w:r>
        <w:rPr/>
        <w:t>), а также в Технических требованиях (</w:t>
      </w:r>
      <w:hyperlink w:anchor="Прил01_ТехТребования">
        <w:r>
          <w:rPr>
            <w:rStyle w:val="Style11"/>
          </w:rPr>
          <w:t>Приложение № 1</w:t>
        </w:r>
      </w:hyperlink>
      <w:r>
        <w:rPr/>
        <w:t>) при исполнении Заказчиком норм в части минимальной обязательной доли закупок товаров российского происхождения.</w:t>
      </w:r>
    </w:p>
    <w:p>
      <w:pPr>
        <w:pStyle w:val="Style24"/>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5"/>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5"/>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4"/>
        <w:rPr/>
      </w:pPr>
      <w:r>
        <w:rPr/>
        <w:t>Если в подразделе </w:t>
      </w:r>
      <w:r>
        <w:rPr/>
        <w:fldChar w:fldCharType="begin"/>
      </w:r>
      <w:r>
        <w:rPr/>
        <w:instrText xml:space="preserve"> REF _Ref125359973 \r \h </w:instrText>
      </w:r>
      <w:r>
        <w:rPr/>
        <w:fldChar w:fldCharType="separate"/>
      </w:r>
      <w:r>
        <w:rPr/>
        <w:t>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4"/>
        <w:rPr/>
      </w:pPr>
      <w:r>
        <w:rPr/>
        <w:t>Если в подразделе </w:t>
      </w:r>
      <w:r>
        <w:rPr/>
        <w:fldChar w:fldCharType="begin"/>
      </w:r>
      <w:r>
        <w:rPr/>
        <w:instrText xml:space="preserve"> REF _Ref125359973 \r \h </w:instrText>
      </w:r>
      <w:r>
        <w:rPr/>
        <w:fldChar w:fldCharType="separate"/>
      </w:r>
      <w:r>
        <w:rPr/>
        <w:t>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4"/>
        <w:rPr/>
      </w:pPr>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pPr>
        <w:pStyle w:val="Style24"/>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4"/>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3"/>
        <w:rPr/>
      </w:pPr>
      <w:bookmarkStart w:id="184" w:name="_Toc228877698"/>
      <w:bookmarkStart w:id="185" w:name="_Ref125367242"/>
      <w:bookmarkStart w:id="186" w:name="_Ref125366091"/>
      <w:bookmarkStart w:id="187" w:name="_Ref125362658"/>
      <w:r>
        <w:rPr/>
        <w:t>Подведение итогов закупки (определение Победителя)</w:t>
      </w:r>
      <w:bookmarkEnd w:id="184"/>
      <w:bookmarkEnd w:id="185"/>
      <w:bookmarkEnd w:id="186"/>
      <w:bookmarkEnd w:id="187"/>
    </w:p>
    <w:p>
      <w:pPr>
        <w:pStyle w:val="Style24"/>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4"/>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4"/>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4"/>
        <w:keepNext w:val="true"/>
        <w:rPr/>
      </w:pPr>
      <w:bookmarkStart w:id="188"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9"/>
      </w:r>
      <w:r>
        <w:rPr/>
        <w:t>:</w:t>
      </w:r>
      <w:bookmarkEnd w:id="188"/>
    </w:p>
    <w:p>
      <w:pPr>
        <w:pStyle w:val="Style25"/>
        <w:rPr/>
      </w:pPr>
      <w:r>
        <w:rPr/>
        <w:t>дата подписания протокола;</w:t>
      </w:r>
    </w:p>
    <w:p>
      <w:pPr>
        <w:pStyle w:val="Style25"/>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5"/>
        <w:rPr/>
      </w:pPr>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5"/>
        <w:keepNext w:val="true"/>
        <w:rPr/>
      </w:pPr>
      <w:r>
        <w:rPr/>
        <w:t>результаты рассмотрения заявок с указанием, в том числе:</w:t>
      </w:r>
    </w:p>
    <w:p>
      <w:pPr>
        <w:pStyle w:val="Style26"/>
        <w:numPr>
          <w:ilvl w:val="0"/>
          <w:numId w:val="0"/>
        </w:numPr>
        <w:ind w:left="0" w:hanging="0"/>
        <w:rPr/>
      </w:pPr>
      <w:r>
        <w:rPr/>
        <w:t>количества заявок, которые были отклонены (отдельно по результатам рассмотрения первых частей заявок, по результатам рассмотрения вторых частей заявок и ценовых предложений);</w:t>
      </w:r>
    </w:p>
    <w:p>
      <w:pPr>
        <w:pStyle w:val="Style26"/>
        <w:numPr>
          <w:ilvl w:val="0"/>
          <w:numId w:val="0"/>
        </w:numPr>
        <w:ind w:left="0" w:hanging="0"/>
        <w:rPr/>
      </w:pPr>
      <w:r>
        <w:rPr/>
        <w:t>оснований отклонения каждой заявки с указанием положений Документации о закупке, которым не соответствует такая заявка;</w:t>
      </w:r>
    </w:p>
    <w:p>
      <w:pPr>
        <w:pStyle w:val="Style25"/>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6"/>
        <w:numPr>
          <w:ilvl w:val="0"/>
          <w:numId w:val="0"/>
        </w:numPr>
        <w:ind w:left="0" w:hanging="0"/>
        <w:rPr/>
      </w:pPr>
      <w:r>
        <w:rPr/>
        <w:t>количества заявок, которые были отклонены;</w:t>
      </w:r>
    </w:p>
    <w:p>
      <w:pPr>
        <w:pStyle w:val="Style26"/>
        <w:numPr>
          <w:ilvl w:val="0"/>
          <w:numId w:val="0"/>
        </w:numPr>
        <w:ind w:left="0" w:hanging="0"/>
        <w:rPr/>
      </w:pPr>
      <w:r>
        <w:rPr/>
        <w:t>оснований отклонения каждой заявки с указанием положений Документации о закупке, которым не соответствует такая заявка;</w:t>
      </w:r>
    </w:p>
    <w:p>
      <w:pPr>
        <w:pStyle w:val="Style25"/>
        <w:rPr/>
      </w:pPr>
      <w:r>
        <w:rPr/>
        <w:t>результаты оценки и сопоставления заявок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5"/>
        <w:rPr/>
      </w:pPr>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в том числе с учетом результатов актуализации статуса аккредитации (если указанная процедура проводилась), в ранжировке заявок;</w:t>
      </w:r>
    </w:p>
    <w:p>
      <w:pPr>
        <w:pStyle w:val="Style25"/>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25"/>
        <w:rPr/>
      </w:pPr>
      <w:r>
        <w:rPr/>
        <w:t>причины, по которым закупка признана несостоявшейся (в случае ее признания таковой),</w:t>
      </w:r>
    </w:p>
    <w:p>
      <w:pPr>
        <w:pStyle w:val="Style28"/>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4"/>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4"/>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4"/>
        <w:rPr/>
      </w:pPr>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3"/>
        <w:rPr/>
      </w:pPr>
      <w:bookmarkStart w:id="189" w:name="_Toc228877699"/>
      <w:bookmarkStart w:id="190" w:name="_Ref125366796"/>
      <w:bookmarkStart w:id="191" w:name="_Ref125366631"/>
      <w:bookmarkStart w:id="192" w:name="_Ref125365570"/>
      <w:bookmarkStart w:id="193" w:name="_Ref125365305"/>
      <w:bookmarkStart w:id="194" w:name="_Ref125364187"/>
      <w:bookmarkStart w:id="195" w:name="_Ref125364149"/>
      <w:r>
        <w:rPr/>
        <w:t>Признание закупки несостоявшейся</w:t>
      </w:r>
      <w:bookmarkEnd w:id="189"/>
      <w:bookmarkEnd w:id="190"/>
      <w:bookmarkEnd w:id="191"/>
      <w:bookmarkEnd w:id="192"/>
      <w:bookmarkEnd w:id="193"/>
      <w:bookmarkEnd w:id="194"/>
      <w:bookmarkEnd w:id="195"/>
    </w:p>
    <w:p>
      <w:pPr>
        <w:pStyle w:val="Style24"/>
        <w:keepNext w:val="true"/>
        <w:rPr/>
      </w:pPr>
      <w:bookmarkStart w:id="196" w:name="_Ref214290552"/>
      <w:r>
        <w:rPr/>
        <w:t>Закупка признается несостоявшейся в следующих случаях:</w:t>
      </w:r>
      <w:bookmarkEnd w:id="196"/>
    </w:p>
    <w:p>
      <w:pPr>
        <w:pStyle w:val="Style25"/>
        <w:rPr/>
      </w:pPr>
      <w:r>
        <w:rPr/>
        <w:t>если по окончанию срока подачи заявок поступило менее 2 (двух) заявок (с учетом возможных отзывов заявок);</w:t>
      </w:r>
    </w:p>
    <w:p>
      <w:pPr>
        <w:pStyle w:val="Style25"/>
        <w:rPr/>
      </w:pPr>
      <w:r>
        <w:rPr/>
        <w:t>по результатам рассмотрения первых частей заявок Закупочной комиссией принято решение о признании менее 2 (двух) заявок соответствующими требованиям Документации о закупки;</w:t>
      </w:r>
    </w:p>
    <w:p>
      <w:pPr>
        <w:pStyle w:val="Style25"/>
        <w:rPr/>
      </w:pPr>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5"/>
        <w:rPr/>
      </w:pPr>
      <w:bookmarkStart w:id="197" w:name="_Hlk219297033"/>
      <w:r>
        <w:rPr/>
        <w:t>по результатам проведения закупки от заключения договора уклонились все допущенные Участники (подраздел</w:t>
      </w:r>
      <w:bookmarkEnd w:id="197"/>
      <w:r>
        <w:rPr/>
        <w:t xml:space="preserve"> </w:t>
      </w:r>
      <w:r>
        <w:rPr/>
        <w:fldChar w:fldCharType="begin"/>
      </w:r>
      <w:r>
        <w:rPr/>
        <w:instrText xml:space="preserve"> REF _Ref125367068 \r \h </w:instrText>
      </w:r>
      <w:r>
        <w:rPr/>
        <w:fldChar w:fldCharType="separate"/>
      </w:r>
      <w:r>
        <w:rPr/>
        <w:t>3</w:t>
      </w:r>
      <w:r>
        <w:rPr/>
        <w:fldChar w:fldCharType="end"/>
      </w:r>
      <w:r>
        <w:rPr/>
        <w:t>).</w:t>
      </w:r>
    </w:p>
    <w:p>
      <w:pPr>
        <w:pStyle w:val="Style24"/>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4"/>
        <w:keepNext w:val="true"/>
        <w:rPr/>
      </w:pPr>
      <w:r>
        <w:rPr/>
        <w:t>В случае признания закупки несостоявшейся (с учетом условий, предусмотренных Положением о закупке):</w:t>
      </w:r>
    </w:p>
    <w:p>
      <w:pPr>
        <w:pStyle w:val="Style25"/>
        <w:rPr/>
      </w:pPr>
      <w:r>
        <w:rPr/>
        <w:t xml:space="preserve">если поступила только 1 (одна) заявка от одного Участника (с учетом отозванных Участниками заявок), либо по результатам рассмотрения заявок (частей заявок, ценовых предложений в соответствии с пунктом </w:t>
      </w:r>
      <w:r>
        <w:rPr/>
        <w:fldChar w:fldCharType="begin"/>
      </w:r>
      <w:r>
        <w:rPr/>
        <w:instrText xml:space="preserve"> REF _Ref214290552 \r \h </w:instrText>
      </w:r>
      <w:r>
        <w:rPr/>
        <w:fldChar w:fldCharType="separate"/>
      </w:r>
      <w:r>
        <w:rPr/>
        <w:t>16.1</w:t>
      </w:r>
      <w:r>
        <w:rPr/>
        <w:fldChar w:fldCharType="end"/>
      </w:r>
      <w:r>
        <w:rPr/>
        <w:t>)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5"/>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6"/>
        </w:numPr>
        <w:tabs>
          <w:tab w:val="clear" w:pos="2552"/>
        </w:tabs>
        <w:ind w:left="2127" w:hanging="426"/>
        <w:rPr>
          <w:sz w:val="26"/>
          <w:szCs w:val="26"/>
        </w:rPr>
      </w:pPr>
      <w:r>
        <w:rPr>
          <w:sz w:val="26"/>
          <w:szCs w:val="26"/>
        </w:rPr>
        <w:t>повторное проведение закупки (в том числе с возможностью снятия признака закупки только среди субъектов МСП);</w:t>
      </w:r>
    </w:p>
    <w:p>
      <w:pPr>
        <w:pStyle w:val="-1"/>
        <w:numPr>
          <w:ilvl w:val="0"/>
          <w:numId w:val="16"/>
        </w:numPr>
        <w:tabs>
          <w:tab w:val="clear" w:pos="2552"/>
        </w:tabs>
        <w:ind w:left="1701" w:hanging="0"/>
        <w:rPr>
          <w:sz w:val="26"/>
          <w:szCs w:val="26"/>
        </w:rPr>
      </w:pPr>
      <w:r>
        <w:rPr>
          <w:sz w:val="26"/>
          <w:szCs w:val="26"/>
        </w:rPr>
        <w:t>отказ от заключения договора по следующим основаниям:</w:t>
      </w:r>
    </w:p>
    <w:p>
      <w:pPr>
        <w:pStyle w:val="-1"/>
        <w:numPr>
          <w:ilvl w:val="0"/>
          <w:numId w:val="17"/>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7"/>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17"/>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6"/>
        </w:numPr>
        <w:tabs>
          <w:tab w:val="clear" w:pos="2552"/>
        </w:tabs>
        <w:ind w:left="2127" w:hanging="426"/>
        <w:rPr>
          <w:sz w:val="26"/>
          <w:szCs w:val="26"/>
        </w:rPr>
      </w:pPr>
      <w:bookmarkStart w:id="198"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98"/>
    </w:p>
    <w:p>
      <w:pPr>
        <w:pStyle w:val="Style25"/>
        <w:rPr/>
      </w:pPr>
      <w:r>
        <w:rPr/>
        <w:t xml:space="preserve">если не поступило ни одной заявки, либо по результатам рассмотрения заявок (частей заявок, ценовых предложений в соответствии с пунктом </w:t>
      </w:r>
      <w:r>
        <w:rPr/>
        <w:fldChar w:fldCharType="begin"/>
      </w:r>
      <w:r>
        <w:rPr/>
        <w:instrText xml:space="preserve"> REF _Ref214290552 \r \h </w:instrText>
      </w:r>
      <w:r>
        <w:rPr/>
        <w:fldChar w:fldCharType="separate"/>
      </w:r>
      <w:r>
        <w:rPr/>
        <w:t>16.1</w:t>
      </w:r>
      <w:r>
        <w:rPr/>
        <w:fldChar w:fldCharType="end"/>
      </w:r>
      <w:r>
        <w:rPr/>
        <w:t xml:space="preserve">), принято решение о признании их не соответствующими требованиям Документации о закупке, </w:t>
      </w:r>
      <w:bookmarkStart w:id="199" w:name="_Hlk219297054"/>
      <w:r>
        <w:rPr/>
        <w:t>либо по результатам проведения закупки от заключения договора уклонились все допущенные Участники</w:t>
      </w:r>
      <w:bookmarkEnd w:id="199"/>
      <w:r>
        <w:rPr/>
        <w:t xml:space="preserve"> – Заказчик проводит повторную закупку (</w:t>
      </w:r>
      <w:r>
        <w:rPr>
          <w:szCs w:val="26"/>
        </w:rPr>
        <w:t>в том числе с возможностью снятия признака закупки только среди субъектов МСП</w:t>
      </w:r>
      <w:r>
        <w:rPr/>
        <w:t>).</w:t>
      </w:r>
    </w:p>
    <w:p>
      <w:pPr>
        <w:pStyle w:val="Style35"/>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17"/>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7"/>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17"/>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3"/>
        <w:rPr/>
      </w:pPr>
      <w:bookmarkStart w:id="200" w:name="_Toc228877700"/>
      <w:bookmarkStart w:id="201" w:name="_Ref132816141"/>
      <w:bookmarkStart w:id="202" w:name="_Ref132816134"/>
      <w:bookmarkStart w:id="203" w:name="_Ref126141962"/>
      <w:bookmarkStart w:id="204" w:name="_Toc224743824"/>
      <w:bookmarkStart w:id="205" w:name="_Toc224743823"/>
      <w:bookmarkStart w:id="206" w:name="_Toc224743822"/>
      <w:bookmarkStart w:id="207" w:name="_Toc224743821"/>
      <w:bookmarkEnd w:id="204"/>
      <w:bookmarkEnd w:id="205"/>
      <w:bookmarkEnd w:id="206"/>
      <w:bookmarkEnd w:id="207"/>
      <w:r>
        <w:rPr/>
        <w:t>Отказ от проведения закупки</w:t>
      </w:r>
      <w:bookmarkEnd w:id="203"/>
      <w:r>
        <w:rPr/>
        <w:t xml:space="preserve"> (отмена закупки)</w:t>
      </w:r>
      <w:bookmarkEnd w:id="200"/>
      <w:bookmarkEnd w:id="201"/>
      <w:bookmarkEnd w:id="202"/>
    </w:p>
    <w:p>
      <w:pPr>
        <w:pStyle w:val="Style24"/>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4"/>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4"/>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3"/>
        <w:rPr/>
      </w:pPr>
      <w:bookmarkStart w:id="208" w:name="_Toc228877701"/>
      <w:bookmarkStart w:id="209" w:name="_Ref130455226"/>
      <w:r>
        <w:rPr/>
        <w:t>Особенности проведения закупки с необходимостью обеспечения заявки</w:t>
      </w:r>
      <w:bookmarkEnd w:id="208"/>
      <w:bookmarkEnd w:id="209"/>
    </w:p>
    <w:p>
      <w:pPr>
        <w:pStyle w:val="Style24"/>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2</w:t>
      </w:r>
      <w:r>
        <w:rPr/>
        <w:fldChar w:fldCharType="end"/>
      </w:r>
      <w:r>
        <w:rPr/>
        <w:t xml:space="preserve"> предусмотрена обязанность Участников предоставить обеспечение заявки на участие в закупке.</w:t>
      </w:r>
    </w:p>
    <w:p>
      <w:pPr>
        <w:pStyle w:val="Style24"/>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4"/>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2</w:t>
      </w:r>
      <w:r>
        <w:rPr/>
        <w:fldChar w:fldCharType="end"/>
      </w:r>
      <w:r>
        <w:rPr/>
        <w:t>. Выбор формы (способа) обеспечения из числа предусмотренных осуществляется Участниками самостоятельно.</w:t>
      </w:r>
    </w:p>
    <w:p>
      <w:pPr>
        <w:pStyle w:val="Style24"/>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0"/>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4"/>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4"/>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4"/>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4"/>
        <w:keepNext w:val="true"/>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5"/>
        <w:rPr/>
      </w:pPr>
      <w:r>
        <w:rPr/>
        <w:t>независимая гарантия должна быть безотзывной и безусловной (гарантия по первому требованию);</w:t>
      </w:r>
    </w:p>
    <w:p>
      <w:pPr>
        <w:pStyle w:val="Style25"/>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2</w:t>
      </w:r>
      <w:r>
        <w:rPr/>
        <w:fldChar w:fldCharType="end"/>
      </w:r>
      <w:r>
        <w:rPr/>
        <w:t>;</w:t>
      </w:r>
    </w:p>
    <w:p>
      <w:pPr>
        <w:pStyle w:val="Style25"/>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18.8л)</w:t>
      </w:r>
      <w:r>
        <w:rPr/>
        <w:fldChar w:fldCharType="end"/>
      </w:r>
      <w:r>
        <w:rPr/>
        <w:t>);</w:t>
      </w:r>
    </w:p>
    <w:p>
      <w:pPr>
        <w:pStyle w:val="Style25"/>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5"/>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5"/>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2</w:t>
      </w:r>
      <w:r>
        <w:rPr/>
        <w:fldChar w:fldCharType="end"/>
      </w:r>
      <w:r>
        <w:rPr/>
        <w:t>);</w:t>
      </w:r>
    </w:p>
    <w:p>
      <w:pPr>
        <w:pStyle w:val="Style25"/>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5"/>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18.14</w:t>
      </w:r>
      <w:r>
        <w:rPr/>
        <w:fldChar w:fldCharType="end"/>
      </w:r>
      <w:r>
        <w:rPr/>
        <w:t>);</w:t>
      </w:r>
    </w:p>
    <w:p>
      <w:pPr>
        <w:pStyle w:val="Style25"/>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5"/>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5"/>
        <w:rPr/>
      </w:pPr>
      <w:bookmarkStart w:id="210" w:name="_Ref132716380"/>
      <w:r>
        <w:rPr/>
        <w:t>независимая гарантия должна быть выдана организацией из числа указанных в части 1 статьи 45 Закона 44-ФЗ;</w:t>
      </w:r>
      <w:bookmarkEnd w:id="210"/>
    </w:p>
    <w:p>
      <w:pPr>
        <w:pStyle w:val="Style25"/>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5"/>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24"/>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4"/>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4"/>
        <w:rPr/>
      </w:pPr>
      <w:r>
        <w:rPr/>
        <w:t>При многолотовой закупке (подраздел </w:t>
      </w:r>
      <w:r>
        <w:rPr/>
        <w:fldChar w:fldCharType="begin"/>
      </w:r>
      <w:r>
        <w:rPr/>
        <w:instrText xml:space="preserve"> REF _Ref149317181 \n \h </w:instrText>
      </w:r>
      <w:r>
        <w:rPr/>
        <w:fldChar w:fldCharType="separate"/>
      </w:r>
      <w:r>
        <w:rPr/>
        <w:t>19</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4"/>
        <w:rPr/>
      </w:pPr>
      <w:r>
        <w:rPr/>
        <w:t>Подать заявку (принять участие в закупке) могут только Участники, предоставившие надлежащее обеспечение их заявок.</w:t>
      </w:r>
    </w:p>
    <w:p>
      <w:pPr>
        <w:pStyle w:val="Style24"/>
        <w:rPr/>
      </w:pPr>
      <w:r>
        <w:rPr/>
        <w:t>Требование об обеспечении заявки в равной мере распространяется на всех Участников.</w:t>
      </w:r>
    </w:p>
    <w:p>
      <w:pPr>
        <w:pStyle w:val="Style24"/>
        <w:keepNext w:val="true"/>
        <w:rPr/>
      </w:pPr>
      <w:bookmarkStart w:id="211"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11"/>
    </w:p>
    <w:p>
      <w:pPr>
        <w:pStyle w:val="Style25"/>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2</w:t>
      </w:r>
      <w:r>
        <w:rPr/>
        <w:fldChar w:fldCharType="end"/>
      </w:r>
      <w:r>
        <w:rPr/>
        <w:t>;</w:t>
      </w:r>
    </w:p>
    <w:p>
      <w:pPr>
        <w:pStyle w:val="Style25"/>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rPr>
          <w:t>Проектом договора</w:t>
        </w:r>
      </w:hyperlink>
      <w:r>
        <w:rPr/>
        <w:t>).</w:t>
      </w:r>
    </w:p>
    <w:p>
      <w:pPr>
        <w:pStyle w:val="Style24"/>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2</w:t>
      </w:r>
      <w:r>
        <w:rPr/>
        <w:fldChar w:fldCharType="end"/>
      </w:r>
      <w:r>
        <w:rPr/>
        <w:t>).</w:t>
      </w:r>
    </w:p>
    <w:p>
      <w:pPr>
        <w:pStyle w:val="Style24"/>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5"/>
        <w:rPr/>
      </w:pPr>
      <w:r>
        <w:rPr/>
        <w:t>принятия решения об отказе от проведения закупки – всем Участникам, подавшим заявки к моменту принятия такого решения;</w:t>
      </w:r>
    </w:p>
    <w:p>
      <w:pPr>
        <w:pStyle w:val="Style25"/>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5"/>
        <w:rPr/>
      </w:pPr>
      <w:r>
        <w:rPr/>
        <w:t>официального размещения итогового протокола по результатам закупки – всем Участникам, кроме Победителя;</w:t>
      </w:r>
    </w:p>
    <w:p>
      <w:pPr>
        <w:pStyle w:val="Style25"/>
        <w:rPr/>
      </w:pPr>
      <w:r>
        <w:rPr/>
        <w:t>заключения Договора по результатам закупки – Победителю, с которым заключен Договор;</w:t>
      </w:r>
    </w:p>
    <w:p>
      <w:pPr>
        <w:pStyle w:val="Style25"/>
        <w:rPr/>
      </w:pPr>
      <w:r>
        <w:rPr/>
        <w:t>признания закупки несостоявшейся – Участнику, которому обеспечение не было возвращено по иным основаниям.</w:t>
      </w:r>
    </w:p>
    <w:p>
      <w:pPr>
        <w:pStyle w:val="Style24"/>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3</w:t>
      </w:r>
      <w:r>
        <w:rPr/>
        <w:fldChar w:fldCharType="end"/>
      </w:r>
      <w:r>
        <w:rPr/>
        <w:t>) – на время рассмотрения жалобы.</w:t>
      </w:r>
    </w:p>
    <w:p>
      <w:pPr>
        <w:pStyle w:val="Style23"/>
        <w:rPr/>
      </w:pPr>
      <w:bookmarkStart w:id="212" w:name="_Ref130225422"/>
      <w:bookmarkStart w:id="213" w:name="_Toc228877702"/>
      <w:bookmarkStart w:id="214" w:name="_Ref149317181"/>
      <w:r>
        <w:rPr/>
        <w:t>Особенности проведения многолотовой закупки</w:t>
      </w:r>
      <w:bookmarkEnd w:id="212"/>
      <w:bookmarkEnd w:id="213"/>
      <w:bookmarkEnd w:id="214"/>
    </w:p>
    <w:p>
      <w:pPr>
        <w:pStyle w:val="Style24"/>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2</w:t>
      </w:r>
      <w:r>
        <w:rPr/>
        <w:fldChar w:fldCharType="end"/>
      </w:r>
      <w:r>
        <w:rPr/>
        <w:t xml:space="preserve"> предусмотрено проведение многолотовой закупки.</w:t>
      </w:r>
    </w:p>
    <w:p>
      <w:pPr>
        <w:pStyle w:val="Style24"/>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4"/>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4"/>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4"/>
        <w:keepNext w:val="true"/>
        <w:rPr/>
      </w:pPr>
      <w:r>
        <w:rPr/>
        <w:t>В случае подачи заявки на несколько лотов дополнительно должны быть соблюдены следующие требования:</w:t>
      </w:r>
    </w:p>
    <w:p>
      <w:pPr>
        <w:pStyle w:val="Style25"/>
        <w:rPr/>
      </w:pPr>
      <w:r>
        <w:rPr/>
        <w:t>Письмо о подаче оферты (форма 2) (</w:t>
      </w:r>
      <w:hyperlink w:anchor="Прил04_ФормыЗаявки">
        <w:r>
          <w:rPr>
            <w:rStyle w:val="Style11"/>
          </w:rPr>
          <w:t>Приложение № 4</w:t>
        </w:r>
      </w:hyperlink>
      <w:r>
        <w:rPr/>
        <w:t>) должно содержать указание номера и названия каждого лота;</w:t>
      </w:r>
    </w:p>
    <w:p>
      <w:pPr>
        <w:pStyle w:val="Style25"/>
        <w:rPr/>
      </w:pPr>
      <w:r>
        <w:rPr/>
        <w:t xml:space="preserve">Коммерческое предложение (форма 3), Техническое предложение (форма 4), План распределения объемов поставки продукции (форма 4) – </w:t>
      </w:r>
      <w:hyperlink w:anchor="Прил04_ФормыЗаявки">
        <w:r>
          <w:rPr>
            <w:rStyle w:val="Style11"/>
          </w:rPr>
          <w:t>Приложение № 4</w:t>
        </w:r>
      </w:hyperlink>
      <w:r>
        <w:rPr/>
        <w:t>, должны быть подготовлены отдельно по каждому из лотов с указанием номера и названия лота.</w:t>
      </w:r>
    </w:p>
    <w:p>
      <w:pPr>
        <w:pStyle w:val="Style24"/>
        <w:rPr/>
      </w:pPr>
      <w:r>
        <w:rPr/>
        <w:t>Решения, принимаемые в ходе процедуры закупки, в том числе решения в рамках рассмотрения (первых частей заявок, вторых частей заявок и ценовых предложений),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31"/>
        <w:keepNext w:val="true"/>
        <w:rPr/>
      </w:pPr>
      <w:r>
        <w:rPr/>
      </w:r>
    </w:p>
    <w:p>
      <w:pPr>
        <w:pStyle w:val="Style22"/>
        <w:rPr/>
      </w:pPr>
      <w:bookmarkStart w:id="215" w:name="_Ref125367087"/>
      <w:bookmarkStart w:id="216" w:name="_Ref125367083"/>
      <w:bookmarkStart w:id="217" w:name="_Ref125366769"/>
      <w:bookmarkStart w:id="218" w:name="_Ref125363439"/>
      <w:bookmarkStart w:id="219" w:name="_Ref125362671"/>
      <w:bookmarkStart w:id="220" w:name="_Ref125361212"/>
      <w:bookmarkStart w:id="221" w:name="_Toc228877704"/>
      <w:bookmarkStart w:id="222" w:name="_Ref130224037"/>
      <w:bookmarkStart w:id="223" w:name="_Ref126142429"/>
      <w:r>
        <w:rPr/>
        <w:t>Порядок заключения Договора</w:t>
      </w:r>
      <w:bookmarkEnd w:id="215"/>
      <w:bookmarkEnd w:id="216"/>
      <w:bookmarkEnd w:id="217"/>
      <w:bookmarkEnd w:id="218"/>
      <w:bookmarkEnd w:id="219"/>
      <w:bookmarkEnd w:id="220"/>
      <w:bookmarkEnd w:id="221"/>
      <w:bookmarkEnd w:id="222"/>
      <w:bookmarkEnd w:id="223"/>
    </w:p>
    <w:p>
      <w:pPr>
        <w:pStyle w:val="Style23"/>
        <w:rPr/>
      </w:pPr>
      <w:bookmarkStart w:id="224" w:name="_Toc228877705"/>
      <w:r>
        <w:rPr/>
        <w:t>Общие положения</w:t>
      </w:r>
      <w:bookmarkEnd w:id="224"/>
    </w:p>
    <w:p>
      <w:pPr>
        <w:pStyle w:val="Style24"/>
        <w:rPr/>
      </w:pPr>
      <w:r>
        <w:rPr/>
        <w:t>Нормы настоящего раздела </w:t>
      </w:r>
      <w:r>
        <w:rPr/>
        <w:fldChar w:fldCharType="begin"/>
      </w:r>
      <w:r>
        <w:rPr/>
        <w:instrText xml:space="preserve"> REF _Ref126142429 \r \h </w:instrText>
      </w:r>
      <w:r>
        <w:rPr/>
        <w:fldChar w:fldCharType="separate"/>
      </w:r>
      <w:r>
        <w:rPr/>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3"/>
        <w:rPr/>
      </w:pPr>
      <w:bookmarkStart w:id="225" w:name="_Ref125368755"/>
      <w:bookmarkStart w:id="226" w:name="_Ref125366947"/>
      <w:bookmarkStart w:id="227" w:name="_Toc228877706"/>
      <w:bookmarkStart w:id="228" w:name="_Ref138341423"/>
      <w:r>
        <w:rPr/>
        <w:t>Заключение Договора</w:t>
      </w:r>
      <w:bookmarkEnd w:id="225"/>
      <w:bookmarkEnd w:id="226"/>
      <w:bookmarkEnd w:id="227"/>
      <w:bookmarkEnd w:id="228"/>
    </w:p>
    <w:p>
      <w:pPr>
        <w:pStyle w:val="Style24"/>
        <w:rPr/>
      </w:pPr>
      <w:bookmarkStart w:id="229" w:name="_Ref130293821"/>
      <w:bookmarkStart w:id="230"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29"/>
      <w:bookmarkEnd w:id="230"/>
    </w:p>
    <w:p>
      <w:pPr>
        <w:pStyle w:val="Style24"/>
        <w:rPr/>
      </w:pPr>
      <w:r>
        <w:rPr/>
        <w:t>Договор не может быть заключен, если это запрещено законодательством о национальном режиме.</w:t>
      </w:r>
    </w:p>
    <w:p>
      <w:pPr>
        <w:pStyle w:val="Style24"/>
        <w:rPr/>
      </w:pPr>
      <w:bookmarkStart w:id="231" w:name="_Ref125363464"/>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4"/>
        <w:rPr/>
      </w:pPr>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1"/>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5"/>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p>
      <w:pPr>
        <w:pStyle w:val="Style25"/>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1"/>
          </w:rPr>
          <w:t>Приложения № 4</w:t>
        </w:r>
      </w:hyperlink>
      <w:r>
        <w:rPr/>
        <w:t>)) адрес электронной почты ответственного лица).</w:t>
      </w:r>
      <w:bookmarkEnd w:id="231"/>
    </w:p>
    <w:p>
      <w:pPr>
        <w:pStyle w:val="Style24"/>
        <w:rPr/>
      </w:pPr>
      <w:r>
        <w:rPr/>
        <w:t>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Portable Document Format (</w:t>
      </w:r>
      <w:r>
        <w:rPr>
          <w:lang w:val="en-US"/>
        </w:rPr>
        <w:t>pdf</w:t>
      </w:r>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4"/>
        <w:keepNext w:val="true"/>
        <w:rPr/>
      </w:pPr>
      <w:bookmarkStart w:id="232"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2</w:t>
      </w:r>
      <w:r>
        <w:rPr/>
        <w:fldChar w:fldCharType="end"/>
      </w:r>
      <w:r>
        <w:rPr/>
        <w:t xml:space="preserve"> (</w:t>
      </w:r>
      <w:hyperlink w:anchor="Прил03_ТребованияУчастникам">
        <w:r>
          <w:rPr>
            <w:rStyle w:val="Style11"/>
          </w:rPr>
          <w:t>Приложение № 3</w:t>
        </w:r>
      </w:hyperlink>
      <w:r>
        <w:rPr/>
        <w:t>), следующие документы (скан-копии в формате Portable Document Format (</w:t>
      </w:r>
      <w:r>
        <w:rPr>
          <w:lang w:val="en-US"/>
        </w:rPr>
        <w:t>pdf</w:t>
      </w:r>
      <w:r>
        <w:rPr/>
        <w:t>)):</w:t>
      </w:r>
      <w:bookmarkEnd w:id="232"/>
    </w:p>
    <w:p>
      <w:pPr>
        <w:pStyle w:val="Style25"/>
        <w:keepNext w:val="true"/>
        <w:rPr/>
      </w:pPr>
      <w:r>
        <w:rPr/>
        <w:t>для юридического лица:</w:t>
      </w:r>
    </w:p>
    <w:p>
      <w:pPr>
        <w:pStyle w:val="Style26"/>
        <w:numPr>
          <w:ilvl w:val="0"/>
          <w:numId w:val="0"/>
        </w:numPr>
        <w:ind w:left="0" w:hanging="0"/>
        <w:rPr/>
      </w:pPr>
      <w:r>
        <w:rPr/>
        <w:t>копия устава в действующей редакции с отметкой ИФНС либо копия нотариально заверенного устава (с отметкой нотариуса);</w:t>
      </w:r>
    </w:p>
    <w:p>
      <w:pPr>
        <w:pStyle w:val="Style26"/>
        <w:numPr>
          <w:ilvl w:val="0"/>
          <w:numId w:val="0"/>
        </w:numPr>
        <w:ind w:left="0" w:hanging="0"/>
        <w:rPr/>
      </w:pPr>
      <w:bookmarkStart w:id="233"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33"/>
    </w:p>
    <w:p>
      <w:pPr>
        <w:pStyle w:val="Style26"/>
        <w:numPr>
          <w:ilvl w:val="0"/>
          <w:numId w:val="0"/>
        </w:numPr>
        <w:ind w:left="0" w:hanging="0"/>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5"/>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5"/>
        <w:rPr/>
      </w:pPr>
      <w:r>
        <w:rPr/>
        <w:t>для физического лица: нотариально заверенная копия всех страниц документа, удостоверяющего личность (паспорта).</w:t>
      </w:r>
    </w:p>
    <w:p>
      <w:pPr>
        <w:pStyle w:val="Style24"/>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4"/>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4"/>
        <w:keepNext w:val="true"/>
        <w:rPr/>
      </w:pPr>
      <w:bookmarkStart w:id="234"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34"/>
    </w:p>
    <w:p>
      <w:pPr>
        <w:pStyle w:val="Style25"/>
        <w:rPr/>
      </w:pPr>
      <w:r>
        <w:rPr/>
        <w:t>итоговый протокол по результатам закупки;</w:t>
      </w:r>
    </w:p>
    <w:p>
      <w:pPr>
        <w:pStyle w:val="Style25"/>
        <w:rPr/>
      </w:pPr>
      <w:r>
        <w:rPr/>
        <w:t>Извещение и Документация о закупке со всеми изменениями;</w:t>
      </w:r>
    </w:p>
    <w:p>
      <w:pPr>
        <w:pStyle w:val="Style25"/>
        <w:rPr/>
      </w:pPr>
      <w:r>
        <w:rPr/>
        <w:t>заявка Победителя со всеми дополнениями и разъяснениями.</w:t>
      </w:r>
    </w:p>
    <w:p>
      <w:pPr>
        <w:pStyle w:val="Style24"/>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4"/>
        <w:rPr/>
      </w:pPr>
      <w:r>
        <w:rPr/>
        <w:t>В течение установленного в пункте </w:t>
      </w:r>
      <w:r>
        <w:rPr/>
        <w:fldChar w:fldCharType="begin"/>
      </w:r>
      <w:r>
        <w:rPr/>
        <w:instrText xml:space="preserve"> REF _Ref130293821 \r \h </w:instrText>
      </w:r>
      <w:r>
        <w:rPr/>
        <w:fldChar w:fldCharType="separate"/>
      </w:r>
      <w:r>
        <w:rPr/>
        <w:t>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4"/>
        <w:rPr/>
      </w:pPr>
      <w:bookmarkStart w:id="235"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35"/>
    </w:p>
    <w:p>
      <w:pPr>
        <w:pStyle w:val="Style24"/>
        <w:rPr/>
      </w:pPr>
      <w:bookmarkStart w:id="236"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37"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37"/>
      <w:r>
        <w:rPr/>
        <w:t>.</w:t>
      </w:r>
      <w:bookmarkEnd w:id="236"/>
    </w:p>
    <w:p>
      <w:pPr>
        <w:pStyle w:val="Style24"/>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3"/>
        <w:rPr/>
      </w:pPr>
      <w:bookmarkStart w:id="238" w:name="_Toc228877707"/>
      <w:bookmarkStart w:id="239" w:name="_Ref125367068"/>
      <w:r>
        <w:rPr/>
        <w:t>Уклонение Победителя от заключения Договора</w:t>
      </w:r>
      <w:bookmarkEnd w:id="238"/>
      <w:bookmarkEnd w:id="239"/>
    </w:p>
    <w:p>
      <w:pPr>
        <w:pStyle w:val="Style24"/>
        <w:keepNext w:val="true"/>
        <w:rPr/>
      </w:pPr>
      <w:r>
        <w:rPr/>
        <w:t>Если Победитель закупки:</w:t>
      </w:r>
    </w:p>
    <w:p>
      <w:pPr>
        <w:pStyle w:val="Style25"/>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2.1</w:t>
      </w:r>
      <w:r>
        <w:rPr/>
        <w:fldChar w:fldCharType="end"/>
      </w:r>
      <w:r>
        <w:rPr/>
        <w:t>);</w:t>
      </w:r>
    </w:p>
    <w:p>
      <w:pPr>
        <w:pStyle w:val="Style25"/>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2.9</w:t>
      </w:r>
      <w:r>
        <w:rPr/>
        <w:fldChar w:fldCharType="end"/>
      </w:r>
      <w:r>
        <w:rPr/>
        <w:t>;</w:t>
      </w:r>
    </w:p>
    <w:p>
      <w:pPr>
        <w:pStyle w:val="Style25"/>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rPr>
          <w:t>Приложение № 5</w:t>
        </w:r>
      </w:hyperlink>
      <w:r>
        <w:rPr/>
        <w:t>), с приложением подтверждающих документов;</w:t>
      </w:r>
    </w:p>
    <w:p>
      <w:pPr>
        <w:pStyle w:val="Style25"/>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5"/>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rPr>
          <w:t>Приложения № 1 – Технические требования</w:t>
        </w:r>
      </w:hyperlink>
      <w:r>
        <w:rPr/>
        <w:t xml:space="preserve"> (в случае установления таковых);</w:t>
      </w:r>
    </w:p>
    <w:p>
      <w:pPr>
        <w:pStyle w:val="Style25"/>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5"/>
        <w:rPr/>
      </w:pPr>
      <w:r>
        <w:rPr/>
        <w:t>не выполнит другие условия, прямо предусмотренные Документацией о закупке,</w:t>
      </w:r>
    </w:p>
    <w:p>
      <w:pPr>
        <w:pStyle w:val="Style28"/>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2"/>
        <w:rPr/>
      </w:pPr>
      <w:bookmarkStart w:id="240" w:name="_Toc228877708"/>
      <w:bookmarkStart w:id="241" w:name="Прил01_ТехТребования"/>
      <w:bookmarkStart w:id="242" w:name="_Ref125370843"/>
      <w:bookmarkStart w:id="243" w:name="_Ref125370750"/>
      <w:bookmarkStart w:id="244" w:name="_Ref125370746"/>
      <w:bookmarkStart w:id="245" w:name="_Ref125370741"/>
      <w:bookmarkStart w:id="246" w:name="_Ref125370732"/>
      <w:bookmarkStart w:id="247" w:name="_Ref125364201"/>
      <w:bookmarkStart w:id="248" w:name="_Ref125364088"/>
      <w:bookmarkStart w:id="249" w:name="_Ref125363752"/>
      <w:bookmarkStart w:id="250" w:name="_Ref125363600"/>
      <w:bookmarkStart w:id="251" w:name="_Ref125363034"/>
      <w:bookmarkStart w:id="252" w:name="_Ref125363023"/>
      <w:bookmarkStart w:id="253" w:name="_Ref125363016"/>
      <w:r>
        <w:rPr/>
        <w:t>Приложение № 1 – Технические требования</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Style23"/>
        <w:rPr/>
      </w:pPr>
      <w:bookmarkStart w:id="254" w:name="_Toc228877709"/>
      <w:r>
        <w:rPr/>
        <w:t>Пояснения к Техническим требованиям</w:t>
      </w:r>
      <w:bookmarkEnd w:id="254"/>
    </w:p>
    <w:p>
      <w:pPr>
        <w:pStyle w:val="Style24"/>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2"/>
        <w:rPr/>
      </w:pPr>
      <w:bookmarkStart w:id="255" w:name="_Toc228877710"/>
      <w:bookmarkStart w:id="256" w:name="Прил02_ПроектДоговора"/>
      <w:bookmarkStart w:id="257" w:name="_Ref125370754"/>
      <w:bookmarkStart w:id="258" w:name="_Ref125364206"/>
      <w:bookmarkStart w:id="259" w:name="_Ref125364081"/>
      <w:bookmarkStart w:id="260" w:name="_Ref125363759"/>
      <w:bookmarkStart w:id="261" w:name="_Ref125363605"/>
      <w:bookmarkStart w:id="262" w:name="_Ref125363040"/>
      <w:bookmarkStart w:id="263" w:name="_Ref125361746"/>
      <w:r>
        <w:rPr/>
        <w:t>Приложение № 2 – Проект договора</w:t>
      </w:r>
      <w:bookmarkEnd w:id="255"/>
      <w:bookmarkEnd w:id="256"/>
      <w:bookmarkEnd w:id="257"/>
      <w:bookmarkEnd w:id="258"/>
      <w:bookmarkEnd w:id="259"/>
      <w:bookmarkEnd w:id="260"/>
      <w:bookmarkEnd w:id="261"/>
      <w:bookmarkEnd w:id="262"/>
      <w:bookmarkEnd w:id="263"/>
    </w:p>
    <w:p>
      <w:pPr>
        <w:pStyle w:val="Style23"/>
        <w:rPr/>
      </w:pPr>
      <w:bookmarkStart w:id="264" w:name="_Toc228877711"/>
      <w:r>
        <w:rPr/>
        <w:t>Пояснения к Проекту договора</w:t>
      </w:r>
      <w:bookmarkEnd w:id="264"/>
    </w:p>
    <w:p>
      <w:pPr>
        <w:pStyle w:val="Style24"/>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4"/>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2</w:t>
      </w:r>
      <w:r>
        <w:rPr/>
        <w:fldChar w:fldCharType="end"/>
      </w:r>
      <w:r>
        <w:rPr/>
        <w:t xml:space="preserve"> как «Некритичные пункты Проекта договора».</w:t>
      </w:r>
    </w:p>
    <w:p>
      <w:pPr>
        <w:pStyle w:val="Style24"/>
        <w:rPr/>
      </w:pPr>
      <w:r>
        <w:rPr/>
        <w:t>В соответствии с пунктом </w:t>
      </w:r>
      <w:r>
        <w:rPr/>
        <w:fldChar w:fldCharType="begin"/>
      </w:r>
      <w:r>
        <w:rPr/>
        <w:instrText xml:space="preserve"> REF _Ref49437111 \r \h </w:instrText>
      </w:r>
      <w:r>
        <w:rPr/>
        <w:fldChar w:fldCharType="separate"/>
      </w:r>
      <w:r>
        <w:rPr/>
        <w:t>2.12</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4"/>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65" w:name="_MON_1736255517"/>
      <w:bookmarkEnd w:id="265"/>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8"/>
        <w:jc w:val="center"/>
        <w:rPr/>
      </w:pPr>
      <w:r>
        <w:rPr/>
        <w:object>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8.05pt;height:50.8pt;mso-wrap-distance-right:0pt" filled="f" o:ole="">
            <v:imagedata r:id="rId13" o:title=""/>
          </v:shape>
          <o:OLEObject Type="Embed" ProgID="Word.Document.12" ShapeID="ole_rId12" DrawAspect="Icon" ObjectID="_1132056601" r:id="rId12"/>
        </w:object>
      </w:r>
    </w:p>
    <w:p>
      <w:pPr>
        <w:pStyle w:val="Style22"/>
        <w:rPr/>
      </w:pPr>
      <w:bookmarkStart w:id="266" w:name="_Toc228877712"/>
      <w:bookmarkStart w:id="267" w:name="Прил03_ТребованияУчастникам"/>
      <w:bookmarkStart w:id="268" w:name="_Ref125370013"/>
      <w:bookmarkStart w:id="269" w:name="_Ref125365476"/>
      <w:bookmarkStart w:id="270" w:name="_Ref125361908"/>
      <w:bookmarkStart w:id="271" w:name="_Ref125361494"/>
      <w:r>
        <w:rPr/>
        <w:t>Приложение № 3 – Требования к Участникам</w:t>
      </w:r>
      <w:bookmarkEnd w:id="266"/>
      <w:bookmarkEnd w:id="267"/>
      <w:bookmarkEnd w:id="268"/>
      <w:bookmarkEnd w:id="269"/>
      <w:bookmarkEnd w:id="270"/>
      <w:bookmarkEnd w:id="271"/>
    </w:p>
    <w:p>
      <w:pPr>
        <w:pStyle w:val="Style23"/>
        <w:rPr/>
      </w:pPr>
      <w:bookmarkStart w:id="272" w:name="_Toc228877713"/>
      <w:r>
        <w:rPr/>
        <w:t>Пояснения к требованиям к Участникам</w:t>
      </w:r>
      <w:bookmarkEnd w:id="272"/>
    </w:p>
    <w:p>
      <w:pPr>
        <w:pStyle w:val="Style24"/>
        <w:rPr/>
      </w:pPr>
      <w:bookmarkStart w:id="273" w:name="_Hlk125628168"/>
      <w:r>
        <w:rPr/>
        <w:t>Чтобы претендовать на победу в закупке и получение права заключить Договор с Заказчиком, Участник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73"/>
    </w:p>
    <w:p>
      <w:pPr>
        <w:pStyle w:val="Style23"/>
        <w:spacing w:before="360" w:after="120"/>
        <w:rPr/>
      </w:pPr>
      <w:bookmarkStart w:id="274" w:name="_Toc228877714"/>
      <w:bookmarkStart w:id="275" w:name="_Ref125370071"/>
      <w:bookmarkStart w:id="276" w:name="_Ref125370064"/>
      <w:bookmarkStart w:id="277" w:name="_Ref125370058"/>
      <w:bookmarkStart w:id="278" w:name="_Ref125369088"/>
      <w:bookmarkStart w:id="279" w:name="_Ref125368895"/>
      <w:bookmarkStart w:id="280" w:name="_Ref125368812"/>
      <w:bookmarkStart w:id="281" w:name="_Ref125366879"/>
      <w:bookmarkStart w:id="282" w:name="_Ref125361926"/>
      <w:bookmarkStart w:id="283" w:name="_Ref125361846"/>
      <w:bookmarkStart w:id="284" w:name="_Ref125361832"/>
      <w:bookmarkStart w:id="285" w:name="_Ref125361617"/>
      <w:bookmarkStart w:id="286" w:name="_Ref125361590"/>
      <w:bookmarkStart w:id="287" w:name="_Ref125361435"/>
      <w:r>
        <w:rPr/>
        <w:t>Обязательные требования</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8" w:name="_Ref125552433"/>
            <w:bookmarkStart w:id="289" w:name="_Ref125552433"/>
            <w:bookmarkEnd w:id="289"/>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8"/>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28"/>
              <w:widowControl w:val="false"/>
              <w:numPr>
                <w:ilvl w:val="0"/>
                <w:numId w:val="14"/>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(*.pdf)) оригинала соответствующей доверенности либо ее нотариально заверенной копии (с указанием правомочий на подписание заявки);</w:t>
            </w:r>
          </w:p>
          <w:p>
            <w:pPr>
              <w:pStyle w:val="Style28"/>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28"/>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8"/>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8"/>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28"/>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0" w:name="_Ref132893662"/>
            <w:bookmarkStart w:id="291" w:name="_Ref132893662"/>
            <w:bookmarkEnd w:id="291"/>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2" w:name="_Ref139029906"/>
            <w:bookmarkStart w:id="293" w:name="_Ref139029906"/>
            <w:bookmarkEnd w:id="293"/>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1"/>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2"/>
            </w:r>
            <w:r>
              <w:rPr>
                <w:rFonts w:eastAsia="Calibri" w:cs=""/>
                <w:kern w:val="0"/>
                <w:sz w:val="26"/>
                <w:szCs w:val="22"/>
                <w:lang w:val="ru-RU" w:eastAsia="en-US" w:bidi="ar-SA"/>
              </w:rPr>
              <w:t>:</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4" w:name="_Ref186220330"/>
            <w:bookmarkStart w:id="295" w:name="_Ref186220330"/>
            <w:bookmarkEnd w:id="295"/>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28"/>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6" w:name="_Ref186220335"/>
            <w:bookmarkStart w:id="297" w:name="_Ref186220335"/>
            <w:bookmarkEnd w:id="297"/>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3"/>
        <w:spacing w:before="360" w:after="120"/>
        <w:rPr/>
      </w:pPr>
      <w:bookmarkStart w:id="298" w:name="_Toc228877715"/>
      <w:bookmarkStart w:id="299" w:name="_Ref125709888"/>
      <w:bookmarkStart w:id="300" w:name="_Ref125709401"/>
      <w:bookmarkStart w:id="301" w:name="_Ref125709250"/>
      <w:bookmarkStart w:id="302" w:name="_Ref125709153"/>
      <w:bookmarkStart w:id="303" w:name="_Ref125370079"/>
      <w:bookmarkStart w:id="304" w:name="_Ref125369099"/>
      <w:bookmarkStart w:id="305" w:name="_Ref125368916"/>
      <w:bookmarkStart w:id="306" w:name="_Ref125368901"/>
      <w:bookmarkStart w:id="307" w:name="_Ref125368818"/>
      <w:bookmarkStart w:id="308" w:name="_Ref125367539"/>
      <w:bookmarkStart w:id="309" w:name="_Ref125367521"/>
      <w:bookmarkStart w:id="310" w:name="_Ref125365459"/>
      <w:bookmarkStart w:id="311" w:name="_Ref125361937"/>
      <w:bookmarkStart w:id="312" w:name="_Ref125361869"/>
      <w:bookmarkStart w:id="313" w:name="_Ref125361671"/>
      <w:bookmarkStart w:id="314" w:name="_Ref125361633"/>
      <w:bookmarkStart w:id="315" w:name="_Ref125361442"/>
      <w:r>
        <w:rPr/>
        <w:t>Специальные требования</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8"/>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Normal"/>
              <w:widowControl w:val="false"/>
              <w:tabs>
                <w:tab w:val="clear" w:pos="708"/>
                <w:tab w:val="left" w:pos="426" w:leader="none"/>
              </w:tabs>
              <w:spacing w:before="120" w:after="0"/>
              <w:ind w:left="74" w:hanging="0"/>
              <w:jc w:val="both"/>
              <w:rPr>
                <w:rStyle w:val="Style18"/>
                <w:b w:val="false"/>
                <w:sz w:val="22"/>
                <w:szCs w:val="22"/>
              </w:rPr>
            </w:pPr>
            <w:r>
              <w:rPr>
                <w:rFonts w:eastAsia="Calibri"/>
                <w:i/>
                <w:sz w:val="22"/>
                <w:szCs w:val="22"/>
              </w:rPr>
              <w:t>В соответствии со ст. 55.8 Градостроительного кодекса РФ от 29.12.2004 № 190-ФЗ: Участник закупки должен быть (в течение срока действия заявки на участие в закупке) членом саморегулируемой организации, основанной на членст</w:t>
            </w:r>
            <w:r>
              <w:rPr>
                <w:rFonts w:eastAsia="Calibri"/>
                <w:i/>
                <w:sz w:val="22"/>
                <w:szCs w:val="22"/>
                <w:shd w:fill="auto" w:val="clear"/>
              </w:rPr>
              <w:t>ве лиц:</w:t>
            </w:r>
          </w:p>
          <w:p>
            <w:pPr>
              <w:pStyle w:val="Normal"/>
              <w:widowControl w:val="false"/>
              <w:tabs>
                <w:tab w:val="clear" w:pos="708"/>
                <w:tab w:val="left" w:pos="426" w:leader="none"/>
              </w:tabs>
              <w:spacing w:before="120" w:after="0"/>
              <w:ind w:left="74" w:hanging="0"/>
              <w:jc w:val="both"/>
              <w:rPr/>
            </w:pPr>
            <w:r>
              <w:rPr>
                <w:rStyle w:val="Style18"/>
                <w:rFonts w:eastAsia="Calibri"/>
                <w:b w:val="false"/>
                <w:sz w:val="22"/>
                <w:szCs w:val="22"/>
                <w:shd w:fill="auto" w:val="clear"/>
              </w:rPr>
              <w:t xml:space="preserve">- </w:t>
            </w:r>
            <w:r>
              <w:rPr>
                <w:rStyle w:val="Style18"/>
                <w:rFonts w:eastAsia="Calibri"/>
                <w:b w:val="false"/>
                <w:i/>
                <w:sz w:val="22"/>
                <w:szCs w:val="22"/>
                <w:shd w:fill="auto" w:val="clear"/>
              </w:rPr>
              <w:t>выполняющих инженерные изыскания</w:t>
            </w:r>
            <w:r>
              <w:rPr>
                <w:rStyle w:val="FootnoteReference"/>
                <w:rFonts w:eastAsia="Calibri"/>
                <w:b w:val="false"/>
                <w:sz w:val="22"/>
                <w:szCs w:val="22"/>
                <w:shd w:fill="auto" w:val="clear"/>
                <w:vertAlign w:val="superscript"/>
              </w:rPr>
              <w:footnoteReference w:id="13"/>
            </w:r>
            <w:r>
              <w:rPr>
                <w:rStyle w:val="Style18"/>
                <w:rFonts w:eastAsia="Calibri"/>
                <w:b w:val="false"/>
                <w:sz w:val="22"/>
                <w:szCs w:val="22"/>
                <w:shd w:fill="auto" w:val="clear"/>
              </w:rPr>
              <w:t>;</w:t>
            </w:r>
          </w:p>
          <w:p>
            <w:pPr>
              <w:pStyle w:val="ListParagraph"/>
              <w:widowControl w:val="false"/>
              <w:numPr>
                <w:ilvl w:val="0"/>
                <w:numId w:val="6"/>
              </w:numPr>
              <w:tabs>
                <w:tab w:val="clear" w:pos="708"/>
                <w:tab w:val="left" w:pos="426" w:leader="none"/>
              </w:tabs>
              <w:spacing w:before="60" w:after="0"/>
              <w:ind w:left="358" w:hanging="284"/>
              <w:contextualSpacing/>
              <w:jc w:val="both"/>
              <w:rPr>
                <w:i/>
                <w:i/>
                <w:sz w:val="22"/>
                <w:szCs w:val="22"/>
              </w:rPr>
            </w:pPr>
            <w:r>
              <w:rPr>
                <w:i/>
                <w:sz w:val="22"/>
                <w:szCs w:val="22"/>
                <w:shd w:fill="auto" w:val="clear"/>
              </w:rPr>
              <w:t>осуществляющих п</w:t>
            </w:r>
            <w:r>
              <w:rPr>
                <w:i/>
                <w:sz w:val="22"/>
                <w:szCs w:val="22"/>
              </w:rPr>
              <w:t>одготовку проектной документации</w:t>
            </w:r>
            <w:r>
              <w:rPr>
                <w:rStyle w:val="FootnoteReference"/>
                <w:i/>
                <w:sz w:val="22"/>
                <w:szCs w:val="22"/>
                <w:vertAlign w:val="superscript"/>
              </w:rPr>
              <w:footnoteReference w:id="14"/>
            </w:r>
            <w:r>
              <w:rPr>
                <w:i/>
                <w:sz w:val="22"/>
                <w:szCs w:val="22"/>
              </w:rPr>
              <w:t>,</w:t>
            </w:r>
          </w:p>
          <w:p>
            <w:pPr>
              <w:pStyle w:val="Normal"/>
              <w:widowControl w:val="false"/>
              <w:tabs>
                <w:tab w:val="clear" w:pos="708"/>
                <w:tab w:val="left" w:pos="358" w:leader="none"/>
                <w:tab w:val="left" w:pos="426" w:leader="none"/>
              </w:tabs>
              <w:spacing w:before="60" w:after="60"/>
              <w:ind w:left="74" w:hanging="0"/>
              <w:jc w:val="both"/>
              <w:rPr>
                <w:i/>
                <w:i/>
                <w:sz w:val="22"/>
                <w:szCs w:val="22"/>
              </w:rPr>
            </w:pPr>
            <w:r>
              <w:rPr>
                <w:rFonts w:eastAsia="Calibri"/>
                <w:i/>
                <w:sz w:val="22"/>
                <w:szCs w:val="22"/>
              </w:rPr>
              <w:t xml:space="preserve">и иметь право выполнять работы в отношении объектов капитального строительства </w:t>
            </w:r>
            <w:r>
              <w:rPr>
                <w:i/>
                <w:sz w:val="22"/>
                <w:szCs w:val="22"/>
              </w:rPr>
              <w:t>(кроме особо опасных, технически сложных и уникальных объектов, объектов использования атомной энергии).</w:t>
            </w:r>
          </w:p>
          <w:p>
            <w:pPr>
              <w:pStyle w:val="Normal"/>
              <w:widowControl w:val="false"/>
              <w:tabs>
                <w:tab w:val="clear" w:pos="708"/>
                <w:tab w:val="left" w:pos="358" w:leader="none"/>
                <w:tab w:val="left" w:pos="426" w:leader="none"/>
              </w:tabs>
              <w:spacing w:before="60" w:after="60"/>
              <w:ind w:left="74" w:hanging="0"/>
              <w:jc w:val="both"/>
              <w:rPr>
                <w:i/>
                <w:i/>
                <w:sz w:val="22"/>
                <w:szCs w:val="22"/>
              </w:rPr>
            </w:pPr>
            <w:r>
              <w:rPr>
                <w:i/>
                <w:sz w:val="22"/>
                <w:szCs w:val="22"/>
              </w:rPr>
              <w:t>При этом:</w:t>
            </w:r>
          </w:p>
          <w:p>
            <w:pPr>
              <w:pStyle w:val="Normal"/>
              <w:widowControl w:val="false"/>
              <w:tabs>
                <w:tab w:val="clear" w:pos="708"/>
                <w:tab w:val="left" w:pos="358" w:leader="none"/>
                <w:tab w:val="left" w:pos="426" w:leader="none"/>
              </w:tabs>
              <w:spacing w:before="60" w:after="60"/>
              <w:ind w:left="74" w:hanging="0"/>
              <w:jc w:val="both"/>
              <w:rPr>
                <w:u w:val="single"/>
              </w:rPr>
            </w:pPr>
            <w:r>
              <w:rPr>
                <w:i/>
                <w:sz w:val="22"/>
                <w:szCs w:val="22"/>
                <w:u w:val="single"/>
              </w:rPr>
              <w:t>в отношении выполнения инженерных изысканий:</w:t>
            </w:r>
          </w:p>
          <w:p>
            <w:pPr>
              <w:pStyle w:val="ListParagraph"/>
              <w:widowControl w:val="false"/>
              <w:numPr>
                <w:ilvl w:val="0"/>
                <w:numId w:val="6"/>
              </w:numPr>
              <w:tabs>
                <w:tab w:val="clear" w:pos="708"/>
                <w:tab w:val="left" w:pos="426" w:leader="none"/>
              </w:tabs>
              <w:spacing w:before="60" w:after="0"/>
              <w:ind w:left="358" w:hanging="284"/>
              <w:contextualSpacing/>
              <w:jc w:val="both"/>
              <w:rPr>
                <w:i/>
                <w:i/>
                <w:sz w:val="22"/>
                <w:szCs w:val="22"/>
              </w:rPr>
            </w:pPr>
            <w:r>
              <w:rPr>
                <w:i/>
                <w:sz w:val="22"/>
                <w:szCs w:val="22"/>
              </w:rPr>
              <w:t>уровень</w:t>
            </w:r>
            <w:r>
              <w:rPr>
                <w:rFonts w:eastAsia="Times New Roman"/>
                <w:i/>
                <w:sz w:val="22"/>
                <w:szCs w:val="22"/>
              </w:rPr>
              <w:t xml:space="preserve"> ответственности Участника по компенсационному фонду возмещения вреда должен соответствовать (быть не менее) предложенной в заявке сто</w:t>
            </w:r>
            <w:r>
              <w:rPr>
                <w:rFonts w:eastAsia="Times New Roman"/>
                <w:i/>
                <w:sz w:val="22"/>
                <w:szCs w:val="22"/>
                <w:shd w:fill="auto" w:val="clear"/>
              </w:rPr>
              <w:t xml:space="preserve">имости (с учетом НДС) выполнения </w:t>
            </w:r>
            <w:r>
              <w:rPr>
                <w:rStyle w:val="Style18"/>
                <w:rFonts w:eastAsia="Calibri"/>
                <w:b w:val="false"/>
                <w:iCs/>
                <w:sz w:val="20"/>
                <w:szCs w:val="20"/>
                <w:shd w:fill="auto" w:val="clear"/>
              </w:rPr>
              <w:t>инженерных изысканий</w:t>
            </w:r>
            <w:r>
              <w:rPr>
                <w:rFonts w:eastAsia="Times New Roman"/>
                <w:i/>
                <w:sz w:val="22"/>
                <w:szCs w:val="22"/>
                <w:shd w:fill="auto" w:val="clear"/>
              </w:rPr>
              <w:t>;</w:t>
            </w:r>
          </w:p>
          <w:p>
            <w:pPr>
              <w:pStyle w:val="ListParagraph"/>
              <w:widowControl w:val="false"/>
              <w:numPr>
                <w:ilvl w:val="0"/>
                <w:numId w:val="6"/>
              </w:numPr>
              <w:tabs>
                <w:tab w:val="clear" w:pos="708"/>
                <w:tab w:val="left" w:pos="426" w:leader="none"/>
              </w:tabs>
              <w:spacing w:before="60" w:after="0"/>
              <w:ind w:left="358" w:hanging="284"/>
              <w:contextualSpacing/>
              <w:jc w:val="both"/>
              <w:rPr/>
            </w:pPr>
            <w:r>
              <w:rPr>
                <w:i/>
                <w:sz w:val="22"/>
                <w:szCs w:val="22"/>
                <w:shd w:fill="auto" w:val="clear"/>
              </w:rPr>
              <w:t>уровень</w:t>
            </w:r>
            <w:r>
              <w:rPr>
                <w:rFonts w:eastAsia="Times New Roman"/>
                <w:i/>
                <w:sz w:val="22"/>
                <w:szCs w:val="22"/>
                <w:shd w:fill="auto" w:val="clear"/>
              </w:rPr>
              <w:t xml:space="preserve">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w:t>
            </w:r>
            <w:r>
              <w:rPr>
                <w:i/>
                <w:sz w:val="22"/>
                <w:szCs w:val="22"/>
                <w:shd w:fill="auto" w:val="clear"/>
              </w:rPr>
              <w:t>выполнения инженерных изысканий</w:t>
            </w:r>
            <w:r>
              <w:rPr>
                <w:rStyle w:val="Style18"/>
                <w:rFonts w:eastAsia="Times New Roman"/>
                <w:b w:val="false"/>
                <w:i/>
                <w:iCs/>
                <w:sz w:val="22"/>
                <w:szCs w:val="22"/>
                <w:shd w:fill="auto" w:val="clear"/>
              </w:rPr>
              <w:t>.</w:t>
            </w:r>
          </w:p>
          <w:p>
            <w:pPr>
              <w:pStyle w:val="Normal"/>
              <w:widowControl w:val="false"/>
              <w:numPr>
                <w:ilvl w:val="0"/>
                <w:numId w:val="0"/>
              </w:numPr>
              <w:tabs>
                <w:tab w:val="clear" w:pos="708"/>
                <w:tab w:val="left" w:pos="358" w:leader="none"/>
                <w:tab w:val="left" w:pos="426" w:leader="none"/>
              </w:tabs>
              <w:spacing w:before="60" w:after="60"/>
              <w:ind w:left="74" w:hanging="0"/>
              <w:jc w:val="both"/>
              <w:rPr>
                <w:u w:val="single"/>
              </w:rPr>
            </w:pPr>
            <w:r>
              <w:rPr>
                <w:i/>
                <w:sz w:val="22"/>
                <w:szCs w:val="22"/>
                <w:u w:val="single"/>
              </w:rPr>
              <w:t>в отношении подготовки проектной документации:</w:t>
            </w:r>
          </w:p>
          <w:p>
            <w:pPr>
              <w:pStyle w:val="ListParagraph"/>
              <w:widowControl w:val="false"/>
              <w:numPr>
                <w:ilvl w:val="0"/>
                <w:numId w:val="6"/>
              </w:numPr>
              <w:tabs>
                <w:tab w:val="clear" w:pos="708"/>
                <w:tab w:val="left" w:pos="426" w:leader="none"/>
              </w:tabs>
              <w:spacing w:before="60" w:after="0"/>
              <w:ind w:left="358" w:hanging="284"/>
              <w:contextualSpacing/>
              <w:jc w:val="both"/>
              <w:rPr>
                <w:i/>
                <w:i/>
                <w:sz w:val="22"/>
                <w:szCs w:val="22"/>
              </w:rPr>
            </w:pPr>
            <w:r>
              <w:rPr>
                <w:i/>
                <w:sz w:val="22"/>
                <w:szCs w:val="22"/>
              </w:rPr>
              <w:t>уровень</w:t>
            </w:r>
            <w:r>
              <w:rPr>
                <w:rFonts w:eastAsia="Times New Roman"/>
                <w:i/>
                <w:sz w:val="22"/>
                <w:szCs w:val="22"/>
              </w:rPr>
              <w:t xml:space="preserve"> ответственности Участника по компенсационному фонду возмещения вреда должен соответствовать (быть не менее) предложенной в заявке сто</w:t>
            </w:r>
            <w:r>
              <w:rPr>
                <w:rFonts w:eastAsia="Times New Roman"/>
                <w:i/>
                <w:sz w:val="22"/>
                <w:szCs w:val="22"/>
                <w:shd w:fill="auto" w:val="clear"/>
              </w:rPr>
              <w:t xml:space="preserve">имости (с учетом НДС) выполнения работ </w:t>
            </w:r>
            <w:r>
              <w:rPr>
                <w:rStyle w:val="Style18"/>
                <w:rFonts w:eastAsia="Calibri"/>
                <w:b w:val="false"/>
                <w:iCs/>
                <w:sz w:val="20"/>
                <w:szCs w:val="20"/>
                <w:shd w:fill="auto" w:val="clear"/>
              </w:rPr>
              <w:t xml:space="preserve"> по подготовке проектной документации</w:t>
            </w:r>
            <w:r>
              <w:rPr>
                <w:rFonts w:eastAsia="Times New Roman"/>
                <w:i/>
                <w:sz w:val="22"/>
                <w:szCs w:val="22"/>
                <w:shd w:fill="auto" w:val="clear"/>
              </w:rPr>
              <w:t>;</w:t>
            </w:r>
          </w:p>
          <w:p>
            <w:pPr>
              <w:pStyle w:val="ListParagraph"/>
              <w:widowControl w:val="false"/>
              <w:numPr>
                <w:ilvl w:val="0"/>
                <w:numId w:val="6"/>
              </w:numPr>
              <w:tabs>
                <w:tab w:val="clear" w:pos="708"/>
                <w:tab w:val="left" w:pos="426" w:leader="none"/>
              </w:tabs>
              <w:spacing w:before="60" w:after="0"/>
              <w:ind w:left="358" w:hanging="284"/>
              <w:contextualSpacing/>
              <w:jc w:val="both"/>
              <w:rPr/>
            </w:pPr>
            <w:r>
              <w:rPr>
                <w:rStyle w:val="Style18"/>
                <w:rFonts w:eastAsia="Times New Roman"/>
                <w:b w:val="false"/>
                <w:i/>
                <w:iCs/>
                <w:sz w:val="22"/>
                <w:szCs w:val="22"/>
                <w:shd w:fill="auto" w:val="clear"/>
              </w:rPr>
              <w:t xml:space="preserve">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w:t>
            </w:r>
            <w:r>
              <w:rPr>
                <w:rStyle w:val="Style18"/>
                <w:rFonts w:eastAsia="Calibri"/>
                <w:b w:val="false"/>
                <w:iCs/>
                <w:sz w:val="20"/>
                <w:szCs w:val="20"/>
                <w:shd w:fill="auto" w:val="clear"/>
              </w:rPr>
              <w:t xml:space="preserve"> по </w:t>
            </w:r>
            <w:r>
              <w:rPr>
                <w:rStyle w:val="Style18"/>
                <w:rFonts w:eastAsia="Times New Roman"/>
                <w:b w:val="false"/>
                <w:i/>
                <w:iCs/>
                <w:sz w:val="22"/>
                <w:szCs w:val="22"/>
                <w:shd w:fill="auto" w:val="clear"/>
              </w:rPr>
              <w:t>подготовке проектной документации.</w:t>
            </w:r>
          </w:p>
        </w:tc>
        <w:tc>
          <w:tcPr>
            <w:tcW w:w="8327" w:type="dxa"/>
            <w:tcBorders/>
          </w:tcPr>
          <w:p>
            <w:pPr>
              <w:pStyle w:val="Normal"/>
              <w:widowControl w:val="false"/>
              <w:tabs>
                <w:tab w:val="clear" w:pos="708"/>
                <w:tab w:val="left" w:pos="426" w:leader="none"/>
              </w:tabs>
              <w:spacing w:before="60" w:after="0"/>
              <w:jc w:val="both"/>
              <w:rPr>
                <w:rFonts w:eastAsia="Calibri"/>
                <w:i/>
                <w:i/>
                <w:sz w:val="22"/>
                <w:szCs w:val="22"/>
              </w:rPr>
            </w:pPr>
            <w:r>
              <w:rPr>
                <w:rFonts w:eastAsia="Calibri"/>
                <w:i/>
                <w:sz w:val="22"/>
                <w:szCs w:val="22"/>
              </w:rPr>
              <w:t>Предоставление документов не требуется.</w:t>
            </w:r>
          </w:p>
          <w:p>
            <w:pPr>
              <w:pStyle w:val="Normal"/>
              <w:widowControl w:val="false"/>
              <w:tabs>
                <w:tab w:val="clear" w:pos="708"/>
                <w:tab w:val="left" w:pos="426" w:leader="none"/>
              </w:tabs>
              <w:spacing w:before="60" w:after="0"/>
              <w:jc w:val="both"/>
              <w:rPr>
                <w:rFonts w:eastAsia="Calibri"/>
                <w:i/>
                <w:i/>
                <w:iCs/>
                <w:sz w:val="22"/>
                <w:szCs w:val="22"/>
              </w:rPr>
            </w:pPr>
            <w:r>
              <w:rPr>
                <w:rFonts w:eastAsia="Calibri"/>
                <w:i/>
                <w:iCs/>
                <w:sz w:val="22"/>
                <w:szCs w:val="22"/>
              </w:rPr>
              <w:t>(На стадии рассмотрения заявок Организатор проверяет наличие информации об Участнике в Едином реестре сведений о членах СРО и их обязательствах, а также осуществляет оценку соответствия уровня его ответственности по общедоступному ресурсу</w:t>
            </w:r>
            <w:r>
              <w:rPr>
                <w:rFonts w:eastAsia="Calibri"/>
              </w:rPr>
              <w:t>:</w:t>
            </w:r>
          </w:p>
          <w:p>
            <w:pPr>
              <w:pStyle w:val="Normal"/>
              <w:widowControl w:val="false"/>
              <w:numPr>
                <w:ilvl w:val="0"/>
                <w:numId w:val="6"/>
              </w:numPr>
              <w:tabs>
                <w:tab w:val="clear" w:pos="708"/>
                <w:tab w:val="left" w:pos="320" w:leader="none"/>
              </w:tabs>
              <w:suppressAutoHyphens w:val="true"/>
              <w:bidi w:val="0"/>
              <w:spacing w:before="60" w:after="0"/>
              <w:ind w:left="227" w:right="340" w:hanging="113"/>
              <w:jc w:val="both"/>
              <w:rPr/>
            </w:pPr>
            <w:r>
              <w:rPr>
                <w:rFonts w:eastAsia="Calibri"/>
                <w:i/>
                <w:iCs/>
                <w:sz w:val="22"/>
                <w:szCs w:val="22"/>
              </w:rPr>
              <w:t>Национальное объединение изыскателей и проектировщиков НОПРИЗ - сервис «Единый реестр членов СРО» (</w:t>
            </w:r>
            <w:hyperlink r:id="rId18">
              <w:r>
                <w:rPr>
                  <w:rStyle w:val="Hyperlink"/>
                  <w:rFonts w:eastAsia="Calibri"/>
                  <w:i/>
                  <w:iCs/>
                  <w:sz w:val="22"/>
                  <w:szCs w:val="22"/>
                </w:rPr>
                <w:t>http://nopriz.ru/nreesters/elektronnyy-reestr/</w:t>
              </w:r>
            </w:hyperlink>
            <w:r>
              <w:rPr>
                <w:rFonts w:eastAsia="Calibri"/>
                <w:i/>
                <w:iCs/>
                <w:sz w:val="22"/>
                <w:szCs w:val="22"/>
              </w:rPr>
              <w:t>).</w:t>
            </w:r>
          </w:p>
          <w:p>
            <w:pPr>
              <w:pStyle w:val="ListParagraph"/>
              <w:widowControl w:val="false"/>
              <w:numPr>
                <w:ilvl w:val="0"/>
                <w:numId w:val="0"/>
              </w:numPr>
              <w:tabs>
                <w:tab w:val="clear" w:pos="708"/>
                <w:tab w:val="left" w:pos="282" w:leader="none"/>
              </w:tabs>
              <w:spacing w:before="60" w:after="0"/>
              <w:ind w:left="282" w:hanging="0"/>
              <w:contextualSpacing w:val="false"/>
              <w:jc w:val="both"/>
              <w:rPr>
                <w:rFonts w:eastAsia="Calibri"/>
                <w:b w:val="false"/>
                <w:iCs/>
                <w:sz w:val="22"/>
                <w:szCs w:val="22"/>
              </w:rPr>
            </w:pPr>
            <w:r>
              <w:rPr>
                <w:rFonts w:eastAsia="Calibri"/>
                <w:b w:val="false"/>
                <w:iCs/>
                <w:sz w:val="22"/>
                <w:szCs w:val="22"/>
              </w:rPr>
            </w:r>
          </w:p>
          <w:p>
            <w:pPr>
              <w:pStyle w:val="ListParagraph"/>
              <w:widowControl w:val="false"/>
              <w:numPr>
                <w:ilvl w:val="0"/>
                <w:numId w:val="0"/>
              </w:numPr>
              <w:tabs>
                <w:tab w:val="clear" w:pos="708"/>
                <w:tab w:val="left" w:pos="282" w:leader="none"/>
              </w:tabs>
              <w:spacing w:before="60" w:after="0"/>
              <w:ind w:left="282" w:hanging="0"/>
              <w:contextualSpacing w:val="false"/>
              <w:jc w:val="both"/>
              <w:rPr>
                <w:b w:val="false"/>
                <w:iCs/>
                <w:sz w:val="22"/>
                <w:szCs w:val="22"/>
              </w:rPr>
            </w:pPr>
            <w:r>
              <w:rPr>
                <w:b w:val="false"/>
                <w:iCs/>
                <w:sz w:val="22"/>
                <w:szCs w:val="22"/>
              </w:rPr>
            </w:r>
          </w:p>
        </w:tc>
      </w:tr>
    </w:tbl>
    <w:p>
      <w:pPr>
        <w:pStyle w:val="Style23"/>
        <w:spacing w:before="360" w:after="120"/>
        <w:rPr/>
      </w:pPr>
      <w:bookmarkStart w:id="316" w:name="_Toc228877716"/>
      <w:bookmarkStart w:id="317" w:name="_Ref125709973"/>
      <w:bookmarkStart w:id="318" w:name="_Ref125709777"/>
      <w:bookmarkStart w:id="319" w:name="_Ref125370209"/>
      <w:bookmarkStart w:id="320" w:name="_Ref125370180"/>
      <w:bookmarkStart w:id="321" w:name="_Ref125370173"/>
      <w:bookmarkStart w:id="322" w:name="_Ref125369117"/>
      <w:bookmarkStart w:id="323" w:name="_Ref125362031"/>
      <w:bookmarkStart w:id="324" w:name="_Ref125361823"/>
      <w:bookmarkStart w:id="325" w:name="_Toc224743850"/>
      <w:bookmarkStart w:id="326" w:name="_Toc224743846"/>
      <w:bookmarkStart w:id="327" w:name="_Toc224743841"/>
      <w:bookmarkEnd w:id="325"/>
      <w:bookmarkEnd w:id="326"/>
      <w:bookmarkEnd w:id="327"/>
      <w:r>
        <w:rPr/>
        <w:t>Дополнительные требования к Генеральным подрядчикам</w:t>
      </w:r>
      <w:bookmarkEnd w:id="316"/>
      <w:bookmarkEnd w:id="317"/>
      <w:bookmarkEnd w:id="318"/>
      <w:bookmarkEnd w:id="319"/>
      <w:bookmarkEnd w:id="320"/>
      <w:bookmarkEnd w:id="321"/>
      <w:bookmarkEnd w:id="322"/>
      <w:bookmarkEnd w:id="323"/>
      <w:bookmarkEnd w:id="324"/>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28"/>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8"/>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8" w:name="_Ref125370187"/>
            <w:bookmarkStart w:id="329" w:name="_Ref125370187"/>
            <w:bookmarkEnd w:id="329"/>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8"/>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8"/>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0" w:name="_Ref125370193"/>
            <w:bookmarkStart w:id="331" w:name="_Ref125370193"/>
            <w:bookmarkEnd w:id="331"/>
          </w:p>
        </w:tc>
        <w:tc>
          <w:tcPr>
            <w:tcW w:w="5671"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8"/>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2" w:name="_Ref125553847"/>
            <w:bookmarkStart w:id="333" w:name="_Ref125553847"/>
            <w:bookmarkEnd w:id="333"/>
          </w:p>
        </w:tc>
        <w:tc>
          <w:tcPr>
            <w:tcW w:w="5671"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2"/>
        <w:rPr/>
      </w:pPr>
      <w:bookmarkStart w:id="334" w:name="_Toc228877717"/>
      <w:bookmarkStart w:id="335" w:name="Прил04_ФормыЗаявки"/>
      <w:bookmarkEnd w:id="335"/>
      <w:r>
        <w:rPr/>
        <w:t>Приложение № 4 – Образцы форм документов, включаемых в состав заявки</w:t>
      </w:r>
      <w:bookmarkEnd w:id="334"/>
    </w:p>
    <w:p>
      <w:pPr>
        <w:pStyle w:val="Style23"/>
        <w:rPr/>
      </w:pPr>
      <w:bookmarkStart w:id="336" w:name="_Toc228877718"/>
      <w:r>
        <w:rPr/>
        <w:t>Пояснения к Образцам форм документов, включаемых в состав заявки</w:t>
      </w:r>
      <w:bookmarkEnd w:id="336"/>
    </w:p>
    <w:p>
      <w:pPr>
        <w:pStyle w:val="Style24"/>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2"/>
        <w:rPr/>
      </w:pPr>
      <w:bookmarkStart w:id="337" w:name="_Toc228877719"/>
      <w:bookmarkStart w:id="338" w:name="Прил05_ФормыПобедителя"/>
      <w:bookmarkEnd w:id="338"/>
      <w:r>
        <w:rPr/>
        <w:t>Приложение № 5 – Образцы форм документов, предоставляемых Победителем</w:t>
      </w:r>
      <w:bookmarkEnd w:id="337"/>
    </w:p>
    <w:p>
      <w:pPr>
        <w:pStyle w:val="Style23"/>
        <w:rPr/>
      </w:pPr>
      <w:bookmarkStart w:id="339" w:name="_Toc228877720"/>
      <w:r>
        <w:rPr/>
        <w:t>Пояснения к Образцам форм документов, предоставляемых Победителем</w:t>
      </w:r>
      <w:bookmarkEnd w:id="339"/>
    </w:p>
    <w:p>
      <w:pPr>
        <w:pStyle w:val="Style24"/>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2</w:t>
      </w:r>
      <w:r>
        <w:rPr/>
        <w:fldChar w:fldCharType="end"/>
      </w:r>
      <w:r>
        <w:rPr/>
        <w:t xml:space="preserve">, </w:t>
      </w:r>
      <w:r>
        <w:rPr/>
        <w:fldChar w:fldCharType="begin"/>
      </w:r>
      <w:r>
        <w:rPr/>
        <w:instrText xml:space="preserve"> REF _Ref130395475 \r \h </w:instrText>
      </w:r>
      <w:r>
        <w:rPr/>
        <w:fldChar w:fldCharType="separate"/>
      </w:r>
      <w:r>
        <w:rPr/>
        <w:t>3</w:t>
      </w:r>
      <w:r>
        <w:rPr/>
        <w:fldChar w:fldCharType="end"/>
      </w:r>
      <w:r>
        <w:rPr/>
        <w:t>.</w:t>
      </w:r>
    </w:p>
    <w:p>
      <w:pPr>
        <w:pStyle w:val="Style23"/>
        <w:rPr/>
      </w:pPr>
      <w:bookmarkStart w:id="340" w:name="_Toc228877721"/>
      <w:bookmarkStart w:id="341" w:name="_Ref130395470"/>
      <w:r>
        <w:rPr/>
        <w:t>Форма справки «Сведения о цепочке собственников, включая бенефициаров (в том числе конечных)»</w:t>
      </w:r>
      <w:bookmarkEnd w:id="340"/>
      <w:bookmarkEnd w:id="341"/>
    </w:p>
    <w:p>
      <w:pPr>
        <w:pStyle w:val="Style24"/>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4"/>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342" w:name="_MON_1805621314"/>
    </w:p>
    <w:p>
      <w:pPr>
        <w:pStyle w:val="Style28"/>
        <w:jc w:val="center"/>
        <w:rPr/>
      </w:pPr>
      <w:bookmarkEnd w:id="342"/>
      <w:r>
        <w:rPr/>
        <w:object>
          <v:shapetype id="_x0000_tole_rId23" coordsize="21600,21600" o:spt="ole_rId2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3" type="_x0000_tole_rId23" style="width:75.65pt;height:48.4pt;mso-wrap-distance-right:0pt" filled="f" o:ole="">
            <v:imagedata r:id="rId24" o:title=""/>
          </v:shape>
          <o:OLEObject Type="Embed" ProgID="Word.Document.12" ShapeID="ole_rId23" DrawAspect="Icon" ObjectID="_900788937" r:id="rId23"/>
        </w:object>
      </w:r>
    </w:p>
    <w:p>
      <w:pPr>
        <w:pStyle w:val="Style23"/>
        <w:rPr/>
      </w:pPr>
      <w:bookmarkStart w:id="343" w:name="_Toc228877722"/>
      <w:bookmarkStart w:id="344" w:name="_Ref130395475"/>
      <w:r>
        <w:rPr/>
        <w:t>Форма «Заверение об обстоятельствах»</w:t>
      </w:r>
      <w:bookmarkEnd w:id="343"/>
      <w:bookmarkEnd w:id="344"/>
    </w:p>
    <w:p>
      <w:pPr>
        <w:pStyle w:val="Style24"/>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4"/>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4"/>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4"/>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45" w:name="_MON_1741074184"/>
    </w:p>
    <w:p>
      <w:pPr>
        <w:pStyle w:val="Style28"/>
        <w:spacing w:before="120" w:after="120"/>
        <w:jc w:val="center"/>
        <w:rPr/>
      </w:pPr>
      <w:bookmarkEnd w:id="345"/>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8.05pt;height:52.05pt;mso-wrap-distance-right:0pt;mso-wrap-distance-bottom:6pt" filled="f" o:ole="">
            <v:imagedata r:id="rId26" o:title=""/>
          </v:shape>
          <o:OLEObject Type="Embed" ProgID="Word.Document.12" ShapeID="ole_rId25" DrawAspect="Icon" ObjectID="_856463365" r:id="rId25"/>
        </w:object>
      </w:r>
    </w:p>
    <w:p>
      <w:pPr>
        <w:pStyle w:val="Style22"/>
        <w:rPr/>
      </w:pPr>
      <w:bookmarkStart w:id="346" w:name="_Ref125362900"/>
      <w:bookmarkStart w:id="347" w:name="_Ref125362865"/>
      <w:bookmarkStart w:id="348" w:name="_Toc228877723"/>
      <w:bookmarkStart w:id="349" w:name="Прил06_СоставЗаявки"/>
      <w:bookmarkEnd w:id="349"/>
      <w:r>
        <w:rPr/>
        <w:t>Приложение № 6 – Состав заявки</w:t>
      </w:r>
      <w:bookmarkEnd w:id="346"/>
      <w:bookmarkEnd w:id="347"/>
      <w:bookmarkEnd w:id="348"/>
    </w:p>
    <w:p>
      <w:pPr>
        <w:pStyle w:val="Style23"/>
        <w:rPr/>
      </w:pPr>
      <w:bookmarkStart w:id="350" w:name="_Toc228877724"/>
      <w:r>
        <w:rPr/>
        <w:t>Состав заявки</w:t>
      </w:r>
      <w:bookmarkEnd w:id="350"/>
    </w:p>
    <w:p>
      <w:pPr>
        <w:pStyle w:val="Style24"/>
        <w:spacing w:before="120" w:after="120"/>
        <w:rPr/>
      </w:pPr>
      <w:r>
        <w:rPr/>
        <w:t xml:space="preserve">Заявка на участие в закупке должна состоять из первой части, второй части и ценового предложения, которые должны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1"/>
          </w:rPr>
          <w:t>Приложении № 4</w:t>
        </w:r>
      </w:hyperlink>
      <w:r>
        <w:rPr/>
        <w:t>):</w:t>
      </w:r>
    </w:p>
    <w:tbl>
      <w:tblPr>
        <w:tblStyle w:val="af9"/>
        <w:tblW w:w="8783" w:type="dxa"/>
        <w:jc w:val="left"/>
        <w:tblInd w:w="1129"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Первая часть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6"/>
                <w:szCs w:val="22"/>
                <w:lang w:val="ru-RU" w:eastAsia="en-US" w:bidi="ar-SA"/>
              </w:rPr>
              <w:t>(без указания сведений, позволяющих каким-либо образом идентифицировать генерального подрядчика или привлекаемого им субподрядчика / соисполнителя)</w:t>
            </w:r>
            <w:r>
              <w:rPr>
                <w:rFonts w:eastAsia="Calibri" w:cs=""/>
                <w:kern w:val="0"/>
                <w:sz w:val="26"/>
                <w:szCs w:val="22"/>
                <w:lang w:val="ru-RU" w:eastAsia="en-US" w:bidi="ar-SA"/>
              </w:rPr>
              <w:t>;</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
                <w:i/>
                <w:iCs/>
                <w:kern w:val="0"/>
                <w:sz w:val="26"/>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
                <w:kern w:val="0"/>
                <w:sz w:val="26"/>
                <w:szCs w:val="22"/>
                <w:lang w:val="ru-RU" w:eastAsia="en-US" w:bidi="ar-SA"/>
              </w:rPr>
              <w:t>;</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Вторая часть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8"/>
              <w:widowControl w:val="false"/>
              <w:numPr>
                <w:ilvl w:val="0"/>
                <w:numId w:val="7"/>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numPr>
                <w:ilvl w:val="0"/>
                <w:numId w:val="7"/>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1" w:name="_Ref132888537"/>
            <w:bookmarkStart w:id="352" w:name="_Ref132888537"/>
            <w:bookmarkEnd w:id="352"/>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3" w:name="_Ref130389408"/>
            <w:bookmarkStart w:id="354" w:name="_Ref130389408"/>
            <w:bookmarkEnd w:id="354"/>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об опыте Участника (форма 6),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5" w:name="_Ref130389413"/>
            <w:bookmarkStart w:id="356" w:name="_Ref130389413"/>
            <w:bookmarkEnd w:id="356"/>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 материально-технических ресурсах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7" w:name="_Ref130389419"/>
            <w:bookmarkStart w:id="358" w:name="_Ref130389419"/>
            <w:bookmarkEnd w:id="358"/>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 кадровых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8"/>
              <w:keepNext w:val="true"/>
              <w:widowControl w:val="false"/>
              <w:suppressAutoHyphens w:val="true"/>
              <w:spacing w:before="60" w:after="60"/>
              <w:ind w:left="360" w:hanging="0"/>
              <w:jc w:val="center"/>
              <w:rPr>
                <w:b/>
                <w:bCs/>
              </w:rPr>
            </w:pPr>
            <w:r>
              <w:rPr>
                <w:b/>
                <w:bCs/>
              </w:rPr>
            </w:r>
          </w:p>
        </w:tc>
        <w:tc>
          <w:tcPr>
            <w:tcW w:w="8075" w:type="dxa"/>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Ценовое предложение:</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8"/>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27"/>
          <w:headerReference w:type="first" r:id="rId28"/>
          <w:footerReference w:type="default" r:id="rId29"/>
          <w:footerReference w:type="first" r:id="rId30"/>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4"/>
        <w:rPr>
          <w:rStyle w:val="Style8"/>
          <w:i w:val="false"/>
          <w:i w:val="false"/>
          <w:iCs w:val="false"/>
          <w:shd w:fill="auto" w:val="clear"/>
        </w:rPr>
      </w:pPr>
      <w:r>
        <w:rPr>
          <w:rStyle w:val="Style8"/>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2"/>
        <w:rPr/>
      </w:pPr>
      <w:bookmarkStart w:id="359" w:name="_Toc228877725"/>
      <w:bookmarkStart w:id="360" w:name="_Ref125365264"/>
      <w:bookmarkStart w:id="361" w:name="Прил07_ОтборочныеКритерии"/>
      <w:bookmarkEnd w:id="361"/>
      <w:r>
        <w:rPr/>
        <w:t>Приложение № 7 – Отборочные критерии рассмотрения заявок</w:t>
      </w:r>
      <w:bookmarkEnd w:id="359"/>
      <w:bookmarkEnd w:id="360"/>
    </w:p>
    <w:p>
      <w:pPr>
        <w:pStyle w:val="Style23"/>
        <w:spacing w:before="360" w:after="120"/>
        <w:rPr>
          <w:rStyle w:val="Style8"/>
          <w:i w:val="false"/>
          <w:i w:val="false"/>
          <w:iCs w:val="false"/>
          <w:shd w:fill="auto" w:val="clear"/>
        </w:rPr>
      </w:pPr>
      <w:bookmarkStart w:id="362" w:name="_Toc228877726"/>
      <w:r>
        <w:rPr>
          <w:rStyle w:val="Style8"/>
          <w:i w:val="false"/>
          <w:iCs w:val="false"/>
          <w:shd w:fill="auto" w:val="clear"/>
        </w:rPr>
        <w:t>Отборочные критерии рассмотрения первых частей заявок</w:t>
      </w:r>
      <w:bookmarkEnd w:id="362"/>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tc>
        <w:tc>
          <w:tcPr>
            <w:tcW w:w="311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3"/>
        <w:spacing w:before="360" w:after="120"/>
        <w:rPr>
          <w:rStyle w:val="Style8"/>
          <w:i w:val="false"/>
          <w:i w:val="false"/>
          <w:iCs w:val="false"/>
          <w:shd w:fill="auto" w:val="clear"/>
        </w:rPr>
      </w:pPr>
      <w:bookmarkStart w:id="363" w:name="_Hlk132891087"/>
      <w:bookmarkStart w:id="364" w:name="_Toc228877728"/>
      <w:r>
        <w:rPr>
          <w:rStyle w:val="Style8"/>
          <w:i w:val="false"/>
          <w:iCs w:val="false"/>
          <w:shd w:fill="auto" w:val="clear"/>
        </w:rPr>
        <w:t>Отборочные критерии рассмотрения вторых частей заявок</w:t>
      </w:r>
      <w:bookmarkEnd w:id="363"/>
      <w:bookmarkEnd w:id="364"/>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00"/>
        <w:gridCol w:w="8094"/>
        <w:gridCol w:w="3567"/>
        <w:gridCol w:w="2064"/>
      </w:tblGrid>
      <w:tr>
        <w:trPr>
          <w:cnfStyle w:val="100000000000" w:firstRow="1" w:lastRow="0" w:firstColumn="0" w:lastColumn="0" w:oddVBand="0" w:evenVBand="0" w:oddHBand="0" w:evenHBand="0" w:firstRowFirstColumn="0" w:firstRowLastColumn="0" w:lastRowFirstColumn="0" w:lastRowLastColumn="0"/>
        </w:trPr>
        <w:tc>
          <w:tcPr>
            <w:tcW w:w="140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094"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56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64"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494"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второй части заявки, в том числе:</w:t>
            </w:r>
          </w:p>
        </w:tc>
        <w:tc>
          <w:tcPr>
            <w:tcW w:w="356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64"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56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5" w:name="_Ref132890414"/>
            <w:bookmarkStart w:id="366" w:name="_Ref132890414"/>
            <w:bookmarkEnd w:id="366"/>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56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18</w:t>
            </w:r>
            <w:r>
              <w:rPr>
                <w:sz w:val="26"/>
                <w:kern w:val="0"/>
                <w:szCs w:val="22"/>
                <w:rFonts w:eastAsia="Calibri" w:cs=""/>
                <w:lang w:val="ru-RU" w:eastAsia="en-US" w:bidi="ar-SA"/>
              </w:rPr>
              <w:fldChar w:fldCharType="end"/>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56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9494"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567" w:type="dxa"/>
            <w:tcBorders/>
          </w:tcPr>
          <w:p>
            <w:pPr>
              <w:pStyle w:val="Style28"/>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64" w:type="dxa"/>
            <w:tcBorders/>
          </w:tcPr>
          <w:p>
            <w:pPr>
              <w:pStyle w:val="Style28"/>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494"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56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64"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_Ref132893662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3 обязательных требований к Участникам</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_Ref186220330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14</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_Ref186220335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14</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28"/>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и заявка подана от его лица)</w:t>
            </w:r>
          </w:p>
        </w:tc>
        <w:tc>
          <w:tcPr>
            <w:tcW w:w="356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494"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56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64"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28"/>
              <w:widowControl w:val="false"/>
              <w:suppressAutoHyphens w:val="true"/>
              <w:spacing w:before="60" w:after="60"/>
              <w:rPr>
                <w:rFonts w:ascii="Times New Roman" w:hAnsi="Times New Roman" w:eastAsia="Calibri" w:cs=""/>
                <w:kern w:val="0"/>
                <w:sz w:val="26"/>
                <w:szCs w:val="22"/>
                <w:lang w:eastAsia="en-US" w:bidi="ar-SA"/>
              </w:rPr>
            </w:pPr>
            <w:r>
              <w:rPr>
                <w:rFonts w:eastAsia="Calibri" w:cs=""/>
                <w:i/>
                <w:iCs/>
                <w:kern w:val="0"/>
                <w:sz w:val="26"/>
                <w:szCs w:val="22"/>
                <w:lang w:val="ru-RU" w:eastAsia="en-US" w:bidi="ar-SA"/>
              </w:rPr>
              <w:t>(пункт применяется только в случае исполнения Заказчиком норм в части минимальной обязательной доли закупок товаров российского происхождения (подраздел</w:t>
            </w:r>
            <w:r>
              <w:rPr>
                <w:rFonts w:eastAsia="Calibri" w:cs=""/>
                <w:i/>
                <w:iCs/>
                <w:kern w:val="0"/>
                <w:sz w:val="26"/>
                <w:szCs w:val="22"/>
                <w:lang w:val="en-US" w:eastAsia="en-US" w:bidi="ar-SA"/>
              </w:rPr>
              <w:t> </w:t>
            </w:r>
            <w:r>
              <w:rPr>
                <w:rFonts w:eastAsia="Calibri" w:cs=""/>
                <w:i/>
                <w:iCs/>
                <w:kern w:val="0"/>
                <w:sz w:val="26"/>
                <w:szCs w:val="22"/>
                <w:lang w:val="en-US" w:eastAsia="en-US" w:bidi="ar-SA"/>
              </w:rPr>
              <w:fldChar w:fldCharType="begin"/>
            </w:r>
            <w:r>
              <w:rPr>
                <w:sz w:val="26"/>
                <w:i/>
                <w:kern w:val="0"/>
                <w:szCs w:val="22"/>
                <w:iCs/>
                <w:rFonts w:eastAsia="Calibri" w:cs=""/>
                <w:lang w:val="en-US" w:eastAsia="en-US" w:bidi="ar-SA"/>
              </w:rPr>
              <w:instrText xml:space="preserve"> REF _Ref186219943 \r \h </w:instrText>
            </w:r>
            <w:r>
              <w:rPr>
                <w:sz w:val="26"/>
                <w:i/>
                <w:kern w:val="0"/>
                <w:szCs w:val="22"/>
                <w:iCs/>
                <w:rFonts w:eastAsia="Calibri" w:cs=""/>
                <w:lang w:val="en-US" w:eastAsia="en-US" w:bidi="ar-SA"/>
              </w:rPr>
              <w:fldChar w:fldCharType="separate"/>
            </w:r>
            <w:r>
              <w:rPr>
                <w:sz w:val="26"/>
                <w:i/>
                <w:kern w:val="0"/>
                <w:szCs w:val="22"/>
                <w:iCs/>
                <w:rFonts w:eastAsia="Calibri" w:cs=""/>
                <w:lang w:val="en-US" w:eastAsia="en-US" w:bidi="ar-SA"/>
              </w:rPr>
              <w:t>14</w:t>
            </w:r>
            <w:r>
              <w:rPr>
                <w:sz w:val="26"/>
                <w:i/>
                <w:kern w:val="0"/>
                <w:szCs w:val="22"/>
                <w:iCs/>
                <w:rFonts w:eastAsia="Calibri" w:cs=""/>
                <w:lang w:val="en-US" w:eastAsia="en-US" w:bidi="ar-SA"/>
              </w:rPr>
              <w:fldChar w:fldCharType="end"/>
            </w:r>
            <w:r>
              <w:rPr>
                <w:rFonts w:eastAsia="Calibri" w:cs=""/>
                <w:i/>
                <w:iCs/>
                <w:kern w:val="0"/>
                <w:sz w:val="26"/>
                <w:szCs w:val="22"/>
                <w:lang w:val="ru-RU" w:eastAsia="en-US" w:bidi="ar-SA"/>
              </w:rPr>
              <w:t>))</w:t>
            </w:r>
          </w:p>
        </w:tc>
        <w:tc>
          <w:tcPr>
            <w:tcW w:w="3567" w:type="dxa"/>
            <w:tcBorders/>
          </w:tcPr>
          <w:p>
            <w:pPr>
              <w:pStyle w:val="Style28"/>
              <w:widowControl w:val="false"/>
              <w:suppressAutoHyphens w:val="true"/>
              <w:spacing w:before="60" w:after="60"/>
              <w:jc w:val="center"/>
              <w:rPr/>
            </w:pPr>
            <w:r>
              <w:rPr>
                <w:rFonts w:eastAsia="Calibri" w:cs=""/>
                <w:kern w:val="0"/>
                <w:sz w:val="26"/>
                <w:szCs w:val="22"/>
                <w:lang w:val="ru-RU" w:eastAsia="en-US" w:bidi="ar-SA"/>
              </w:rPr>
              <w:t>подразделы</w:t>
            </w:r>
            <w:r>
              <w:rPr>
                <w:rFonts w:eastAsia="Calibri" w:cs=""/>
                <w:kern w:val="0"/>
                <w:sz w:val="26"/>
                <w:szCs w:val="22"/>
                <w:lang w:val="en-US" w:eastAsia="en-US" w:bidi="ar-SA"/>
              </w:rPr>
              <w:t> </w:t>
            </w:r>
            <w:r>
              <w:rPr>
                <w:rFonts w:eastAsia="Calibri" w:cs=""/>
                <w:kern w:val="0"/>
                <w:sz w:val="26"/>
                <w:szCs w:val="22"/>
                <w:lang w:val="en-US" w:eastAsia="en-US" w:bidi="ar-SA"/>
              </w:rPr>
              <w:fldChar w:fldCharType="begin"/>
            </w:r>
            <w:r>
              <w:rPr>
                <w:sz w:val="26"/>
                <w:kern w:val="0"/>
                <w:szCs w:val="22"/>
                <w:rFonts w:eastAsia="Calibri" w:cs=""/>
                <w:lang w:val="en-US" w:eastAsia="en-US" w:bidi="ar-SA"/>
              </w:rPr>
              <w:instrText xml:space="preserve"> REF _Ref130281199 \r \h </w:instrText>
            </w:r>
            <w:r>
              <w:rPr>
                <w:sz w:val="26"/>
                <w:kern w:val="0"/>
                <w:szCs w:val="22"/>
                <w:rFonts w:eastAsia="Calibri" w:cs=""/>
                <w:lang w:val="en-US" w:eastAsia="en-US" w:bidi="ar-SA"/>
              </w:rPr>
              <w:fldChar w:fldCharType="separate"/>
            </w:r>
            <w:r>
              <w:rPr>
                <w:sz w:val="26"/>
                <w:kern w:val="0"/>
                <w:szCs w:val="22"/>
                <w:rFonts w:eastAsia="Calibri" w:cs=""/>
                <w:lang w:val="en-US" w:eastAsia="en-US" w:bidi="ar-SA"/>
              </w:rPr>
              <w:t>3</w:t>
            </w:r>
            <w:r>
              <w:rPr>
                <w:sz w:val="26"/>
                <w:kern w:val="0"/>
                <w:szCs w:val="22"/>
                <w:rFonts w:eastAsia="Calibri" w:cs=""/>
                <w:lang w:val="en-US"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14</w:t>
            </w:r>
            <w:r>
              <w:rPr>
                <w:sz w:val="26"/>
                <w:kern w:val="0"/>
                <w:szCs w:val="22"/>
                <w:rFonts w:eastAsia="Calibri" w:cs=""/>
                <w:lang w:val="ru-RU" w:eastAsia="en-US" w:bidi="ar-SA"/>
              </w:rPr>
              <w:fldChar w:fldCharType="end"/>
            </w:r>
            <w:r>
              <w:rPr>
                <w:rFonts w:eastAsia="Calibri" w:cs=""/>
                <w:kern w:val="0"/>
                <w:sz w:val="26"/>
                <w:szCs w:val="22"/>
                <w:lang w:val="en-US"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00" w:type="dxa"/>
            <w:tcBorders/>
          </w:tcPr>
          <w:p>
            <w:pPr>
              <w:pStyle w:val="Style28"/>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94"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56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64"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3"/>
        <w:spacing w:before="360" w:after="120"/>
        <w:rPr>
          <w:rStyle w:val="Style8"/>
          <w:i w:val="false"/>
          <w:i w:val="false"/>
          <w:iCs w:val="false"/>
          <w:shd w:fill="auto" w:val="clear"/>
        </w:rPr>
      </w:pPr>
      <w:bookmarkStart w:id="367" w:name="_Toc228877729"/>
      <w:r>
        <w:rPr>
          <w:rStyle w:val="Style8"/>
          <w:i w:val="false"/>
          <w:iCs w:val="false"/>
          <w:shd w:fill="auto" w:val="clear"/>
        </w:rPr>
        <w:t>Отборочные критерии рассмотрения ценовых предложений</w:t>
      </w:r>
      <w:bookmarkEnd w:id="367"/>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 xml:space="preserve">Соответствие ценового предложения по составу требованиям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6</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Приложение №1,</w:t>
            </w:r>
          </w:p>
          <w:p>
            <w:pPr>
              <w:pStyle w:val="Style28"/>
              <w:widowControl w:val="false"/>
              <w:suppressAutoHyphens w:val="true"/>
              <w:spacing w:before="60" w:after="60"/>
              <w:jc w:val="center"/>
              <w:rPr>
                <w:rStyle w:val="Style11"/>
              </w:rPr>
            </w:pP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8"/>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_Ref132797154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11</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9918" w:type="dxa"/>
            <w:gridSpan w:val="2"/>
            <w:tcBorders/>
          </w:tcPr>
          <w:p>
            <w:pPr>
              <w:pStyle w:val="Style28"/>
              <w:keepNext w:val="true"/>
              <w:widowControl w:val="false"/>
              <w:suppressAutoHyphens w:val="true"/>
              <w:spacing w:before="60" w:after="60"/>
              <w:rPr>
                <w:b/>
                <w:bCs/>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8"/>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8"/>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_Ref132797154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11</w:t>
            </w:r>
            <w:r>
              <w:rPr>
                <w:sz w:val="26"/>
                <w:kern w:val="0"/>
                <w:szCs w:val="22"/>
                <w:rFonts w:eastAsia="Calibri" w:cs=""/>
                <w:lang w:val="ru-RU" w:eastAsia="en-US" w:bidi="ar-SA"/>
              </w:rPr>
              <w:fldChar w:fldCharType="end"/>
            </w:r>
          </w:p>
          <w:p>
            <w:pPr>
              <w:pStyle w:val="Style28"/>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_Ref186219943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_Ref130281199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14</w:t>
            </w:r>
            <w:r>
              <w:rPr>
                <w:sz w:val="26"/>
                <w:kern w:val="0"/>
                <w:szCs w:val="22"/>
                <w:rFonts w:eastAsia="Calibri" w:cs=""/>
                <w:lang w:val="ru-RU" w:eastAsia="en-US" w:bidi="ar-SA"/>
              </w:rPr>
              <w:fldChar w:fldCharType="end"/>
            </w:r>
          </w:p>
          <w:p>
            <w:pPr>
              <w:pStyle w:val="Style28"/>
              <w:widowControl w:val="false"/>
              <w:suppressAutoHyphens w:val="true"/>
              <w:spacing w:before="60" w:after="60"/>
              <w:jc w:val="center"/>
              <w:rPr/>
            </w:pP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8"/>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Коммерческому приложению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8"/>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1"/>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3"/>
        <w:rPr>
          <w:rStyle w:val="Style8"/>
          <w:i w:val="false"/>
          <w:i w:val="false"/>
          <w:iCs w:val="false"/>
          <w:shd w:fill="auto" w:val="clear"/>
        </w:rPr>
      </w:pPr>
      <w:bookmarkStart w:id="368" w:name="_Toc228877730"/>
      <w:r>
        <w:rPr>
          <w:rStyle w:val="Style8"/>
          <w:i w:val="false"/>
          <w:iCs w:val="false"/>
          <w:shd w:fill="auto" w:val="clear"/>
        </w:rPr>
        <w:t>Дополнительные критерии проверки заявок на соответствие условиям Документации о закупке</w:t>
      </w:r>
      <w:bookmarkEnd w:id="368"/>
    </w:p>
    <w:p>
      <w:pPr>
        <w:pStyle w:val="Style28"/>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9"/>
        <w:tblW w:w="15126"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8"/>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28"/>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28"/>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_Ref186219943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14</w:t>
            </w:r>
            <w:r>
              <w:rPr>
                <w:sz w:val="26"/>
                <w:kern w:val="0"/>
                <w:szCs w:val="22"/>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8"/>
              <w:widowControl w:val="false"/>
              <w:suppressAutoHyphens w:val="true"/>
              <w:spacing w:before="60" w:after="60"/>
              <w:jc w:val="center"/>
              <w:rPr>
                <w:rStyle w:val="Style11"/>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_Ref132816300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14</w:t>
            </w:r>
            <w:r>
              <w:rPr>
                <w:sz w:val="26"/>
                <w:kern w:val="0"/>
                <w:szCs w:val="22"/>
                <w:rFonts w:eastAsia="Calibri" w:cs=""/>
                <w:lang w:val="ru-RU" w:eastAsia="en-US" w:bidi="ar-SA"/>
              </w:rPr>
              <w:fldChar w:fldCharType="end"/>
            </w:r>
          </w:p>
        </w:tc>
        <w:tc>
          <w:tcPr>
            <w:tcW w:w="2090" w:type="dxa"/>
            <w:tcBorders/>
          </w:tcPr>
          <w:p>
            <w:pPr>
              <w:pStyle w:val="Style28"/>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8"/>
        <w:keepNext w:val="true"/>
        <w:tabs>
          <w:tab w:val="clear" w:pos="708"/>
          <w:tab w:val="left" w:pos="851" w:leader="none"/>
        </w:tabs>
        <w:spacing w:before="240" w:after="0"/>
        <w:rPr>
          <w:b/>
          <w:bCs/>
        </w:rPr>
      </w:pPr>
      <w:r>
        <w:rPr>
          <w:b/>
          <w:bCs/>
        </w:rPr>
        <w:t>* Направления оценки заявок:</w:t>
      </w:r>
    </w:p>
    <w:p>
      <w:pPr>
        <w:pStyle w:val="Style28"/>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w:t>
      </w:r>
      <w:r>
        <w:rPr>
          <w:lang w:val="en-US"/>
        </w:rPr>
        <w:t> </w:t>
      </w:r>
      <w:r>
        <w:rPr/>
        <w:t>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8"/>
        <w:tabs>
          <w:tab w:val="clear" w:pos="708"/>
          <w:tab w:val="left" w:pos="1134" w:leader="none"/>
        </w:tabs>
        <w:ind w:left="1701" w:hanging="1701"/>
        <w:rPr/>
      </w:pPr>
      <w:r>
        <w:rPr>
          <w:b/>
          <w:bCs/>
        </w:rPr>
        <w:t>Тех</w:t>
      </w:r>
      <w:r>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8"/>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8"/>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(сметная документация и т.п.),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непревышения ценового предложения участника установленного размера НМЦ.</w:t>
      </w:r>
    </w:p>
    <w:p>
      <w:pPr>
        <w:pStyle w:val="Style28"/>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pStyle w:val="Style28"/>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2"/>
        <w:rPr/>
      </w:pPr>
      <w:bookmarkStart w:id="369" w:name="_Toc228877731"/>
      <w:bookmarkStart w:id="370" w:name="_Ref125369438"/>
      <w:bookmarkStart w:id="371" w:name="_Ref125369021"/>
      <w:bookmarkStart w:id="372" w:name="_Ref125368331"/>
      <w:bookmarkStart w:id="373" w:name="_Ref125368313"/>
      <w:bookmarkStart w:id="374" w:name="_Ref125368302"/>
      <w:bookmarkStart w:id="375" w:name="_Ref125368291"/>
      <w:bookmarkStart w:id="376" w:name="_Ref125368283"/>
      <w:bookmarkStart w:id="377" w:name="_Ref125368184"/>
      <w:bookmarkStart w:id="378" w:name="_Ref125368172"/>
      <w:bookmarkStart w:id="379" w:name="_Ref125368165"/>
      <w:bookmarkStart w:id="380" w:name="_Ref125368150"/>
      <w:bookmarkStart w:id="381" w:name="_Ref125368140"/>
      <w:bookmarkStart w:id="382" w:name="_Ref125366285"/>
      <w:bookmarkStart w:id="383" w:name="_Ref125366280"/>
      <w:bookmarkStart w:id="384" w:name="_Ref125366013"/>
      <w:bookmarkStart w:id="385" w:name="_Ref125361951"/>
      <w:bookmarkStart w:id="386" w:name="_Ref125361648"/>
      <w:bookmarkStart w:id="387" w:name="Прил08_ПорядокОценки"/>
      <w:bookmarkEnd w:id="387"/>
      <w:r>
        <w:rPr/>
        <w:t>Приложение № 8 – Порядок и критерии оценки и сопоставления заявок</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pPr>
        <w:pStyle w:val="Style23"/>
        <w:rPr/>
      </w:pPr>
      <w:bookmarkStart w:id="388" w:name="_Toc228877732"/>
      <w:r>
        <w:rPr/>
        <w:t>Порядок и критерии оценки и сопоставления заявок</w:t>
      </w:r>
      <w:bookmarkEnd w:id="388"/>
    </w:p>
    <w:p>
      <w:pPr>
        <w:pStyle w:val="Style24"/>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осуществляется по следующим критериям оценки и в соответствии со следующим порядком оценки предпочтительности и сопоставления заявок:</w:t>
      </w:r>
    </w:p>
    <w:p>
      <w:pPr>
        <w:pStyle w:val="Style28"/>
        <w:spacing w:before="120" w:after="120"/>
        <w:ind w:left="1134" w:hanging="0"/>
        <w:rPr>
          <w:rStyle w:val="Style8"/>
        </w:rPr>
      </w:pPr>
      <w:r>
        <w:rPr/>
      </w:r>
    </w:p>
    <w:tbl>
      <w:tblPr>
        <w:tblW w:w="5000" w:type="pct"/>
        <w:jc w:val="left"/>
        <w:tblInd w:w="79" w:type="dxa"/>
        <w:tblLayout w:type="fixed"/>
        <w:tblCellMar>
          <w:top w:w="55" w:type="dxa"/>
          <w:left w:w="37" w:type="dxa"/>
          <w:bottom w:w="55" w:type="dxa"/>
          <w:right w:w="57" w:type="dxa"/>
        </w:tblCellMar>
        <w:tblLook w:val="04a0" w:noVBand="1" w:noHBand="0" w:lastColumn="0" w:firstColumn="1" w:lastRow="0" w:firstRow="1"/>
      </w:tblPr>
      <w:tblGrid>
        <w:gridCol w:w="1153"/>
        <w:gridCol w:w="1368"/>
        <w:gridCol w:w="2116"/>
        <w:gridCol w:w="1184"/>
        <w:gridCol w:w="1453"/>
        <w:gridCol w:w="1936"/>
        <w:gridCol w:w="5925"/>
      </w:tblGrid>
      <w:tr>
        <w:trPr/>
        <w:tc>
          <w:tcPr>
            <w:tcW w:w="1153" w:type="dxa"/>
            <w:vMerge w:val="restart"/>
            <w:tcBorders>
              <w:top w:val="single" w:sz="4" w:space="0" w:color="000001"/>
              <w:left w:val="single" w:sz="4" w:space="0" w:color="000001"/>
              <w:bottom w:val="single" w:sz="4" w:space="0" w:color="000001"/>
            </w:tcBorders>
            <w:shd w:color="auto" w:fill="auto" w:val="clear"/>
          </w:tcPr>
          <w:p>
            <w:pPr>
              <w:pStyle w:val="Style28"/>
              <w:keepNext w:val="true"/>
              <w:widowControl w:val="false"/>
              <w:spacing w:before="120" w:after="0"/>
              <w:jc w:val="center"/>
              <w:rPr>
                <w:sz w:val="22"/>
                <w:szCs w:val="22"/>
              </w:rPr>
            </w:pPr>
            <w:r>
              <w:rPr>
                <w:rFonts w:eastAsia="Calibri"/>
                <w:b/>
                <w:sz w:val="22"/>
                <w:szCs w:val="22"/>
                <w:lang w:eastAsia="en-US"/>
              </w:rPr>
              <w:t>Номер критерия оценки в</w:t>
            </w:r>
            <w:r>
              <w:rPr>
                <w:rFonts w:eastAsia="Calibri"/>
                <w:b/>
                <w:sz w:val="22"/>
                <w:szCs w:val="22"/>
                <w:lang w:val="en-US" w:eastAsia="en-US"/>
              </w:rPr>
              <w:t> </w:t>
            </w:r>
            <w:r>
              <w:rPr>
                <w:rFonts w:eastAsia="Calibri"/>
                <w:b/>
                <w:sz w:val="22"/>
                <w:szCs w:val="22"/>
                <w:lang w:eastAsia="en-US"/>
              </w:rPr>
              <w:t>структуре</w:t>
            </w:r>
          </w:p>
        </w:tc>
        <w:tc>
          <w:tcPr>
            <w:tcW w:w="1368" w:type="dxa"/>
            <w:vMerge w:val="restart"/>
            <w:tcBorders>
              <w:top w:val="single" w:sz="4" w:space="0" w:color="000001"/>
              <w:left w:val="single" w:sz="4" w:space="0" w:color="000001"/>
              <w:bottom w:val="single" w:sz="4" w:space="0" w:color="000001"/>
            </w:tcBorders>
            <w:shd w:color="auto" w:fill="auto" w:val="clear"/>
          </w:tcPr>
          <w:p>
            <w:pPr>
              <w:pStyle w:val="Style28"/>
              <w:keepNext w:val="true"/>
              <w:widowControl w:val="false"/>
              <w:spacing w:before="120" w:after="0"/>
              <w:jc w:val="center"/>
              <w:rPr>
                <w:sz w:val="22"/>
                <w:szCs w:val="22"/>
              </w:rPr>
            </w:pPr>
            <w:r>
              <w:rPr>
                <w:rFonts w:eastAsia="Calibri"/>
                <w:b/>
                <w:sz w:val="22"/>
                <w:szCs w:val="22"/>
                <w:lang w:eastAsia="en-US"/>
              </w:rPr>
              <w:t>Вид критерия оценки / направление оценки заявок</w:t>
            </w:r>
          </w:p>
        </w:tc>
        <w:tc>
          <w:tcPr>
            <w:tcW w:w="3300" w:type="dxa"/>
            <w:gridSpan w:val="2"/>
            <w:tcBorders>
              <w:top w:val="single" w:sz="4" w:space="0" w:color="000001"/>
              <w:left w:val="single" w:sz="4" w:space="0" w:color="000001"/>
              <w:bottom w:val="single" w:sz="4" w:space="0" w:color="000001"/>
            </w:tcBorders>
            <w:shd w:color="auto" w:fill="auto" w:val="clear"/>
          </w:tcPr>
          <w:p>
            <w:pPr>
              <w:pStyle w:val="Style28"/>
              <w:keepNext w:val="true"/>
              <w:widowControl w:val="false"/>
              <w:spacing w:before="120" w:after="0"/>
              <w:jc w:val="center"/>
              <w:rPr>
                <w:sz w:val="22"/>
                <w:szCs w:val="22"/>
              </w:rPr>
            </w:pPr>
            <w:r>
              <w:rPr>
                <w:rFonts w:eastAsia="Calibri"/>
                <w:b/>
                <w:sz w:val="22"/>
                <w:szCs w:val="22"/>
                <w:lang w:eastAsia="en-US"/>
              </w:rPr>
              <w:t>Наименование критерия оценки</w:t>
            </w:r>
          </w:p>
        </w:tc>
        <w:tc>
          <w:tcPr>
            <w:tcW w:w="1453" w:type="dxa"/>
            <w:vMerge w:val="restart"/>
            <w:tcBorders>
              <w:top w:val="single" w:sz="4" w:space="0" w:color="000001"/>
              <w:left w:val="single" w:sz="4" w:space="0" w:color="000001"/>
              <w:bottom w:val="single" w:sz="4" w:space="0" w:color="000001"/>
            </w:tcBorders>
            <w:shd w:color="auto" w:fill="auto" w:val="clear"/>
          </w:tcPr>
          <w:p>
            <w:pPr>
              <w:pStyle w:val="Style28"/>
              <w:keepNext w:val="true"/>
              <w:widowControl w:val="false"/>
              <w:spacing w:before="120" w:after="0"/>
              <w:jc w:val="center"/>
              <w:rPr>
                <w:sz w:val="22"/>
                <w:szCs w:val="22"/>
              </w:rPr>
            </w:pPr>
            <w:r>
              <w:rPr>
                <w:rFonts w:eastAsia="Calibri"/>
                <w:b/>
                <w:sz w:val="22"/>
                <w:szCs w:val="22"/>
                <w:lang w:eastAsia="en-US"/>
              </w:rPr>
              <w:t>Значимость</w:t>
              <w:br/>
              <w:t>критерия оценки</w:t>
            </w:r>
          </w:p>
        </w:tc>
        <w:tc>
          <w:tcPr>
            <w:tcW w:w="1936" w:type="dxa"/>
            <w:vMerge w:val="restart"/>
            <w:tcBorders>
              <w:top w:val="single" w:sz="4" w:space="0" w:color="000001"/>
              <w:left w:val="single" w:sz="4" w:space="0" w:color="000001"/>
              <w:bottom w:val="single" w:sz="4" w:space="0" w:color="000001"/>
            </w:tcBorders>
            <w:shd w:color="auto" w:fill="auto" w:val="clear"/>
          </w:tcPr>
          <w:p>
            <w:pPr>
              <w:pStyle w:val="Style28"/>
              <w:keepNext w:val="true"/>
              <w:widowControl w:val="false"/>
              <w:spacing w:before="120" w:after="0"/>
              <w:jc w:val="center"/>
              <w:rPr>
                <w:sz w:val="22"/>
                <w:szCs w:val="22"/>
              </w:rPr>
            </w:pPr>
            <w:r>
              <w:rPr>
                <w:rFonts w:eastAsia="Calibri"/>
                <w:b/>
                <w:sz w:val="22"/>
                <w:szCs w:val="22"/>
                <w:lang w:eastAsia="en-US"/>
              </w:rPr>
              <w:t>Содержание частного критерия оценки</w:t>
            </w:r>
          </w:p>
        </w:tc>
        <w:tc>
          <w:tcPr>
            <w:tcW w:w="5925" w:type="dxa"/>
            <w:vMerge w:val="restart"/>
            <w:tcBorders>
              <w:top w:val="single" w:sz="4" w:space="0" w:color="000001"/>
              <w:left w:val="single" w:sz="4" w:space="0" w:color="000001"/>
              <w:bottom w:val="single" w:sz="4" w:space="0" w:color="000001"/>
              <w:right w:val="single" w:sz="4" w:space="0" w:color="000001"/>
            </w:tcBorders>
            <w:shd w:color="auto" w:fill="auto" w:val="clear"/>
          </w:tcPr>
          <w:p>
            <w:pPr>
              <w:pStyle w:val="Style28"/>
              <w:keepNext w:val="true"/>
              <w:widowControl w:val="false"/>
              <w:spacing w:before="120" w:after="0"/>
              <w:jc w:val="center"/>
              <w:rPr>
                <w:sz w:val="22"/>
                <w:szCs w:val="22"/>
              </w:rPr>
            </w:pPr>
            <w:r>
              <w:rPr>
                <w:rFonts w:eastAsia="Calibri"/>
                <w:b/>
                <w:sz w:val="22"/>
                <w:szCs w:val="22"/>
                <w:lang w:eastAsia="en-US"/>
              </w:rPr>
              <w:t>Расчет оценки предпочтительности заявки</w:t>
            </w:r>
          </w:p>
        </w:tc>
      </w:tr>
      <w:tr>
        <w:trPr/>
        <w:tc>
          <w:tcPr>
            <w:tcW w:w="1153" w:type="dxa"/>
            <w:vMerge w:val="continue"/>
            <w:tcBorders>
              <w:top w:val="single" w:sz="4" w:space="0" w:color="000001"/>
              <w:left w:val="single" w:sz="4" w:space="0" w:color="000001"/>
              <w:bottom w:val="single" w:sz="4" w:space="0" w:color="000001"/>
            </w:tcBorders>
            <w:shd w:color="auto" w:fill="auto" w:val="clear"/>
          </w:tcPr>
          <w:p>
            <w:pPr>
              <w:pStyle w:val="Normal"/>
              <w:widowControl w:val="false"/>
              <w:spacing w:before="120" w:after="0"/>
              <w:rPr>
                <w:sz w:val="22"/>
                <w:szCs w:val="22"/>
              </w:rPr>
            </w:pPr>
            <w:r>
              <w:rPr>
                <w:sz w:val="22"/>
                <w:szCs w:val="22"/>
              </w:rPr>
            </w:r>
          </w:p>
        </w:tc>
        <w:tc>
          <w:tcPr>
            <w:tcW w:w="1368" w:type="dxa"/>
            <w:vMerge w:val="continue"/>
            <w:tcBorders>
              <w:top w:val="single" w:sz="4" w:space="0" w:color="000001"/>
              <w:left w:val="single" w:sz="4" w:space="0" w:color="000001"/>
              <w:bottom w:val="single" w:sz="4" w:space="0" w:color="000001"/>
            </w:tcBorders>
            <w:shd w:color="auto" w:fill="auto" w:val="clear"/>
          </w:tcPr>
          <w:p>
            <w:pPr>
              <w:pStyle w:val="Normal"/>
              <w:widowControl w:val="false"/>
              <w:spacing w:before="120" w:after="0"/>
              <w:rPr>
                <w:sz w:val="22"/>
                <w:szCs w:val="22"/>
              </w:rPr>
            </w:pPr>
            <w:r>
              <w:rPr>
                <w:sz w:val="22"/>
                <w:szCs w:val="22"/>
              </w:rPr>
            </w:r>
          </w:p>
        </w:tc>
        <w:tc>
          <w:tcPr>
            <w:tcW w:w="2116" w:type="dxa"/>
            <w:tcBorders>
              <w:top w:val="single" w:sz="4" w:space="0" w:color="000001"/>
              <w:left w:val="single" w:sz="4" w:space="0" w:color="000001"/>
              <w:bottom w:val="single" w:sz="4" w:space="0" w:color="000001"/>
            </w:tcBorders>
            <w:shd w:color="auto" w:fill="auto" w:val="clear"/>
          </w:tcPr>
          <w:p>
            <w:pPr>
              <w:pStyle w:val="Style28"/>
              <w:widowControl w:val="false"/>
              <w:spacing w:before="120" w:after="0"/>
              <w:jc w:val="center"/>
              <w:rPr>
                <w:sz w:val="22"/>
                <w:szCs w:val="22"/>
              </w:rPr>
            </w:pPr>
            <w:r>
              <w:rPr>
                <w:rFonts w:eastAsia="Calibri"/>
                <w:b/>
                <w:bCs/>
                <w:sz w:val="22"/>
                <w:szCs w:val="22"/>
                <w:lang w:eastAsia="en-US"/>
              </w:rPr>
              <w:t>критерий оценки первого уровня</w:t>
            </w:r>
          </w:p>
        </w:tc>
        <w:tc>
          <w:tcPr>
            <w:tcW w:w="1184" w:type="dxa"/>
            <w:tcBorders>
              <w:top w:val="single" w:sz="4" w:space="0" w:color="000001"/>
              <w:left w:val="single" w:sz="4" w:space="0" w:color="000001"/>
              <w:bottom w:val="single" w:sz="4" w:space="0" w:color="000001"/>
            </w:tcBorders>
            <w:shd w:color="auto" w:fill="auto" w:val="clear"/>
          </w:tcPr>
          <w:p>
            <w:pPr>
              <w:pStyle w:val="Style28"/>
              <w:widowControl w:val="false"/>
              <w:spacing w:before="120" w:after="0"/>
              <w:jc w:val="center"/>
              <w:rPr>
                <w:sz w:val="22"/>
                <w:szCs w:val="22"/>
              </w:rPr>
            </w:pPr>
            <w:r>
              <w:rPr>
                <w:rFonts w:eastAsia="Calibri"/>
                <w:b/>
                <w:bCs/>
                <w:sz w:val="22"/>
                <w:szCs w:val="22"/>
                <w:lang w:eastAsia="en-US"/>
              </w:rPr>
              <w:t>критерий оценки второго уровня</w:t>
            </w:r>
          </w:p>
        </w:tc>
        <w:tc>
          <w:tcPr>
            <w:tcW w:w="1453" w:type="dxa"/>
            <w:vMerge w:val="continue"/>
            <w:tcBorders>
              <w:top w:val="single" w:sz="4" w:space="0" w:color="000001"/>
              <w:left w:val="single" w:sz="4" w:space="0" w:color="000001"/>
              <w:bottom w:val="single" w:sz="4" w:space="0" w:color="000001"/>
            </w:tcBorders>
            <w:shd w:color="auto" w:fill="auto" w:val="clear"/>
          </w:tcPr>
          <w:p>
            <w:pPr>
              <w:pStyle w:val="Normal"/>
              <w:widowControl w:val="false"/>
              <w:spacing w:before="120" w:after="0"/>
              <w:rPr>
                <w:sz w:val="22"/>
                <w:szCs w:val="22"/>
              </w:rPr>
            </w:pPr>
            <w:r>
              <w:rPr>
                <w:sz w:val="22"/>
                <w:szCs w:val="22"/>
              </w:rPr>
            </w:r>
          </w:p>
        </w:tc>
        <w:tc>
          <w:tcPr>
            <w:tcW w:w="1936" w:type="dxa"/>
            <w:vMerge w:val="continue"/>
            <w:tcBorders>
              <w:top w:val="single" w:sz="4" w:space="0" w:color="000001"/>
              <w:left w:val="single" w:sz="4" w:space="0" w:color="000001"/>
              <w:bottom w:val="single" w:sz="4" w:space="0" w:color="000001"/>
            </w:tcBorders>
            <w:shd w:color="auto" w:fill="auto" w:val="clear"/>
          </w:tcPr>
          <w:p>
            <w:pPr>
              <w:pStyle w:val="Normal"/>
              <w:widowControl w:val="false"/>
              <w:spacing w:before="120" w:after="0"/>
              <w:rPr>
                <w:sz w:val="22"/>
                <w:szCs w:val="22"/>
              </w:rPr>
            </w:pPr>
            <w:r>
              <w:rPr>
                <w:sz w:val="22"/>
                <w:szCs w:val="22"/>
              </w:rPr>
            </w:r>
          </w:p>
        </w:tc>
        <w:tc>
          <w:tcPr>
            <w:tcW w:w="5925"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before="120" w:after="0"/>
              <w:rPr>
                <w:sz w:val="22"/>
                <w:szCs w:val="22"/>
              </w:rPr>
            </w:pPr>
            <w:r>
              <w:rPr>
                <w:sz w:val="22"/>
                <w:szCs w:val="22"/>
              </w:rPr>
            </w:r>
          </w:p>
        </w:tc>
      </w:tr>
      <w:tr>
        <w:trPr/>
        <w:tc>
          <w:tcPr>
            <w:tcW w:w="1153" w:type="dxa"/>
            <w:tcBorders>
              <w:top w:val="single" w:sz="4" w:space="0" w:color="000001"/>
              <w:left w:val="single" w:sz="4" w:space="0" w:color="000001"/>
              <w:bottom w:val="single" w:sz="4" w:space="0" w:color="000001"/>
            </w:tcBorders>
            <w:shd w:color="auto" w:fill="auto" w:val="clear"/>
          </w:tcPr>
          <w:p>
            <w:pPr>
              <w:pStyle w:val="Normal"/>
              <w:widowControl w:val="false"/>
              <w:spacing w:before="120" w:after="0"/>
              <w:rPr>
                <w:sz w:val="22"/>
                <w:szCs w:val="22"/>
              </w:rPr>
            </w:pPr>
            <w:r>
              <w:rPr>
                <w:rFonts w:eastAsia="Calibri"/>
                <w:sz w:val="22"/>
                <w:szCs w:val="22"/>
                <w:lang w:eastAsia="en-US"/>
              </w:rPr>
              <w:t>1.</w:t>
            </w:r>
          </w:p>
        </w:tc>
        <w:tc>
          <w:tcPr>
            <w:tcW w:w="1368" w:type="dxa"/>
            <w:tcBorders>
              <w:top w:val="single" w:sz="4" w:space="0" w:color="000001"/>
              <w:left w:val="single" w:sz="4" w:space="0" w:color="000001"/>
              <w:bottom w:val="single" w:sz="4" w:space="0" w:color="000001"/>
            </w:tcBorders>
            <w:shd w:color="auto" w:fill="auto" w:val="clear"/>
          </w:tcPr>
          <w:p>
            <w:pPr>
              <w:pStyle w:val="Normal"/>
              <w:widowControl w:val="false"/>
              <w:spacing w:before="120" w:after="0"/>
              <w:rPr>
                <w:sz w:val="22"/>
                <w:szCs w:val="22"/>
              </w:rPr>
            </w:pPr>
            <w:r>
              <w:rPr>
                <w:rFonts w:eastAsia="Calibri"/>
                <w:sz w:val="22"/>
                <w:szCs w:val="22"/>
                <w:lang w:eastAsia="en-US"/>
              </w:rPr>
              <w:t>«Ценовой критерий оценки первого уровня»/Цена</w:t>
            </w:r>
          </w:p>
        </w:tc>
        <w:tc>
          <w:tcPr>
            <w:tcW w:w="2116" w:type="dxa"/>
            <w:tcBorders>
              <w:top w:val="single" w:sz="4" w:space="0" w:color="000001"/>
              <w:left w:val="single" w:sz="4" w:space="0" w:color="000001"/>
              <w:bottom w:val="single" w:sz="4" w:space="0" w:color="000001"/>
            </w:tcBorders>
            <w:shd w:color="auto" w:fill="auto" w:val="clear"/>
          </w:tcPr>
          <w:p>
            <w:pPr>
              <w:pStyle w:val="Style28"/>
              <w:widowControl w:val="false"/>
              <w:spacing w:before="40" w:after="40"/>
              <w:jc w:val="center"/>
              <w:rPr/>
            </w:pPr>
            <w:r>
              <w:rPr>
                <w:rStyle w:val="Style8"/>
                <w:rFonts w:eastAsia="Calibri"/>
                <w:i w:val="false"/>
                <w:iCs w:val="false"/>
                <w:sz w:val="22"/>
                <w:szCs w:val="22"/>
                <w:shd w:fill="FFFFFF" w:val="clear"/>
                <w:lang w:eastAsia="en-US"/>
              </w:rPr>
              <w:t>Цена договора (стоимость заявки)</w:t>
            </w:r>
          </w:p>
        </w:tc>
        <w:tc>
          <w:tcPr>
            <w:tcW w:w="1184" w:type="dxa"/>
            <w:tcBorders>
              <w:top w:val="single" w:sz="4" w:space="0" w:color="000001"/>
              <w:left w:val="single" w:sz="4" w:space="0" w:color="000001"/>
              <w:bottom w:val="single" w:sz="4" w:space="0" w:color="000001"/>
            </w:tcBorders>
            <w:shd w:color="auto" w:fill="auto" w:val="clear"/>
          </w:tcPr>
          <w:p>
            <w:pPr>
              <w:pStyle w:val="Style28"/>
              <w:widowControl w:val="false"/>
              <w:spacing w:before="40" w:after="40"/>
              <w:jc w:val="center"/>
              <w:rPr/>
            </w:pPr>
            <w:r>
              <w:rPr>
                <w:rStyle w:val="Style8"/>
                <w:rFonts w:eastAsia="Calibri"/>
                <w:i w:val="false"/>
                <w:iCs w:val="false"/>
                <w:sz w:val="22"/>
                <w:szCs w:val="22"/>
                <w:shd w:fill="FFFFFF" w:val="clear"/>
                <w:lang w:eastAsia="en-US"/>
              </w:rPr>
              <w:t>отсутствует</w:t>
            </w:r>
          </w:p>
        </w:tc>
        <w:tc>
          <w:tcPr>
            <w:tcW w:w="1453" w:type="dxa"/>
            <w:tcBorders>
              <w:top w:val="single" w:sz="4" w:space="0" w:color="000001"/>
              <w:left w:val="single" w:sz="4" w:space="0" w:color="000001"/>
              <w:bottom w:val="single" w:sz="4" w:space="0" w:color="000001"/>
            </w:tcBorders>
            <w:shd w:color="auto" w:fill="auto" w:val="clear"/>
          </w:tcPr>
          <w:p>
            <w:pPr>
              <w:pStyle w:val="31"/>
              <w:widowControl w:val="false"/>
              <w:numPr>
                <w:ilvl w:val="0"/>
                <w:numId w:val="0"/>
              </w:numPr>
              <w:spacing w:lineRule="auto" w:line="240" w:before="40" w:after="40"/>
              <w:ind w:left="0" w:hanging="0"/>
              <w:contextualSpacing/>
              <w:jc w:val="center"/>
              <w:rPr>
                <w:sz w:val="22"/>
                <w:szCs w:val="22"/>
              </w:rPr>
            </w:pPr>
            <w:r>
              <w:rPr>
                <w:sz w:val="22"/>
                <w:szCs w:val="22"/>
                <w:lang w:eastAsia="ru-RU"/>
              </w:rPr>
              <w:t>90%</w:t>
              <w:br/>
              <w:t>(В</w:t>
            </w:r>
            <w:r>
              <w:rPr>
                <w:sz w:val="22"/>
                <w:szCs w:val="22"/>
                <w:vertAlign w:val="subscript"/>
                <w:lang w:eastAsia="ru-RU"/>
              </w:rPr>
              <w:t>1</w:t>
            </w:r>
            <w:r>
              <w:rPr>
                <w:sz w:val="22"/>
                <w:szCs w:val="22"/>
                <w:lang w:eastAsia="ru-RU"/>
              </w:rPr>
              <w:t xml:space="preserve"> = 0,90)</w:t>
            </w:r>
          </w:p>
        </w:tc>
        <w:tc>
          <w:tcPr>
            <w:tcW w:w="1936" w:type="dxa"/>
            <w:tcBorders>
              <w:top w:val="single" w:sz="4" w:space="0" w:color="000001"/>
              <w:left w:val="single" w:sz="4" w:space="0" w:color="000001"/>
              <w:bottom w:val="single" w:sz="4" w:space="0" w:color="000001"/>
            </w:tcBorders>
            <w:shd w:color="auto" w:fill="auto" w:val="clear"/>
          </w:tcPr>
          <w:p>
            <w:pPr>
              <w:pStyle w:val="Style28"/>
              <w:widowControl w:val="false"/>
              <w:spacing w:before="40" w:after="40"/>
              <w:jc w:val="left"/>
              <w:rPr/>
            </w:pPr>
            <w:r>
              <w:rPr>
                <w:rStyle w:val="Style8"/>
                <w:rFonts w:eastAsia="Calibri"/>
                <w:i w:val="false"/>
                <w:iCs w:val="false"/>
                <w:sz w:val="22"/>
                <w:szCs w:val="22"/>
                <w:shd w:fill="FFFFFF" w:val="clear"/>
                <w:lang w:eastAsia="en-US"/>
              </w:rPr>
              <w:t>Чем меньше стоимость заявки Участника, тем выше предпочтительность</w:t>
            </w:r>
          </w:p>
        </w:tc>
        <w:tc>
          <w:tcPr>
            <w:tcW w:w="5925" w:type="dxa"/>
            <w:tcBorders>
              <w:top w:val="single" w:sz="4" w:space="0" w:color="000001"/>
              <w:left w:val="single" w:sz="4" w:space="0" w:color="000001"/>
              <w:bottom w:val="single" w:sz="4" w:space="0" w:color="000001"/>
              <w:right w:val="single" w:sz="4" w:space="0" w:color="000001"/>
            </w:tcBorders>
            <w:shd w:color="auto" w:fill="auto" w:val="clear"/>
          </w:tcPr>
          <w:p>
            <w:pPr>
              <w:pStyle w:val="Style28"/>
              <w:widowControl w:val="false"/>
              <w:spacing w:before="40" w:after="40"/>
              <w:jc w:val="left"/>
              <w:rPr>
                <w:sz w:val="22"/>
                <w:szCs w:val="22"/>
              </w:rPr>
            </w:pPr>
            <w:r>
              <w:rPr>
                <w:rStyle w:val="Style8"/>
                <w:rFonts w:eastAsia="Calibri"/>
                <w:i w:val="false"/>
                <w:iCs w:val="false"/>
                <w:sz w:val="22"/>
                <w:szCs w:val="22"/>
                <w:shd w:fill="FFFFFF" w:val="clear"/>
                <w:lang w:eastAsia="en-US"/>
              </w:rPr>
              <w:t>Расчет оценки предпочтительности по частному критерию по методу «Математическая формула, задающая «функцию ценности»»:</w:t>
            </w:r>
          </w:p>
          <w:p>
            <w:pPr>
              <w:pStyle w:val="Style28"/>
              <w:widowControl w:val="false"/>
              <w:spacing w:before="40" w:after="40"/>
              <w:jc w:val="center"/>
              <w:rPr>
                <w:sz w:val="22"/>
                <w:szCs w:val="22"/>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ЦЕНА</m:t>
                        </m:r>
                      </m:e>
                      <m:sub>
                        <m:r>
                          <w:rPr>
                            <w:rFonts w:ascii="Cambria Math" w:hAnsi="Cambria Math"/>
                          </w:rPr>
                          <m:t xml:space="preserve">min</m:t>
                        </m:r>
                      </m:sub>
                    </m:sSub>
                  </m:num>
                  <m:den>
                    <m:sSub>
                      <m:e>
                        <m:r>
                          <w:rPr>
                            <w:rFonts w:ascii="Cambria Math" w:hAnsi="Cambria Math"/>
                          </w:rPr>
                          <m:t xml:space="preserve">ЦЕНА</m:t>
                        </m:r>
                      </m:e>
                      <m:sub>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Style28"/>
              <w:widowControl w:val="false"/>
              <w:spacing w:before="40" w:after="40"/>
              <w:jc w:val="left"/>
              <w:rPr/>
            </w:pPr>
            <w:r>
              <w:rPr>
                <w:rStyle w:val="Style8"/>
                <w:rFonts w:eastAsia="Calibri"/>
                <w:i w:val="false"/>
                <w:iCs w:val="false"/>
                <w:sz w:val="22"/>
                <w:szCs w:val="22"/>
                <w:shd w:fill="FFFFFF" w:val="clear"/>
                <w:lang w:eastAsia="en-US"/>
              </w:rPr>
              <w:t>где:</w:t>
            </w:r>
          </w:p>
          <w:p>
            <w:pPr>
              <w:pStyle w:val="Style28"/>
              <w:widowControl w:val="false"/>
              <w:spacing w:before="40" w:after="40"/>
              <w:jc w:val="left"/>
              <w:rPr>
                <w:rFonts w:ascii="Times New Roman" w:hAnsi="Times New Roman"/>
                <w:sz w:val="22"/>
                <w:szCs w:val="22"/>
              </w:rPr>
            </w:pPr>
            <w:r>
              <w:rPr>
                <w:sz w:val="22"/>
                <w:szCs w:val="22"/>
                <w:lang w:eastAsia="ru-RU"/>
              </w:rPr>
              <w:t>Б</w:t>
            </w:r>
            <w:r>
              <w:rPr>
                <w:sz w:val="22"/>
                <w:szCs w:val="22"/>
                <w:vertAlign w:val="subscript"/>
                <w:lang w:eastAsia="ru-RU"/>
              </w:rPr>
              <w:t>1</w:t>
            </w:r>
            <w:r>
              <w:rPr>
                <w:sz w:val="22"/>
                <w:szCs w:val="22"/>
                <w:lang w:eastAsia="ru-RU"/>
              </w:rPr>
              <w:tab/>
              <w:t>–</w:t>
              <w:tab/>
              <w:t>рассчитанная оценка предпочтительности по данному частному критерию оценки в баллах;</w:t>
            </w:r>
          </w:p>
          <w:p>
            <w:pPr>
              <w:pStyle w:val="Normal"/>
              <w:widowControl w:val="false"/>
              <w:spacing w:lineRule="auto" w:line="252"/>
              <w:rPr>
                <w:rFonts w:ascii="Times New Roman" w:hAnsi="Times New Roman"/>
                <w:sz w:val="22"/>
                <w:szCs w:val="22"/>
              </w:rPr>
            </w:pPr>
            <w:r>
              <w:rPr>
                <w:sz w:val="22"/>
                <w:szCs w:val="22"/>
              </w:rPr>
              <w:t>ЦЕНА</w:t>
            </w:r>
            <w:r>
              <w:rPr>
                <w:i/>
                <w:iCs/>
                <w:sz w:val="22"/>
                <w:szCs w:val="22"/>
                <w:vertAlign w:val="subscript"/>
                <w:lang w:val="en-US"/>
              </w:rPr>
              <w:t>i</w:t>
            </w:r>
            <w:r>
              <w:rPr>
                <w:sz w:val="22"/>
                <w:szCs w:val="22"/>
              </w:rPr>
              <w:t xml:space="preserve">  – </w:t>
            </w:r>
            <w:r>
              <w:rPr>
                <w:rFonts w:eastAsia="Calibri"/>
                <w:sz w:val="22"/>
                <w:szCs w:val="22"/>
              </w:rPr>
              <w:t xml:space="preserve">цена договора (стоимость заявки), указанная в </w:t>
            </w:r>
            <w:r>
              <w:rPr>
                <w:rFonts w:eastAsia="Calibri"/>
                <w:sz w:val="22"/>
                <w:szCs w:val="22"/>
                <w:lang w:val="en-US"/>
              </w:rPr>
              <w:t>i</w:t>
            </w:r>
            <w:r>
              <w:rPr>
                <w:rFonts w:eastAsia="Calibri"/>
                <w:sz w:val="22"/>
                <w:szCs w:val="22"/>
              </w:rPr>
              <w:t xml:space="preserve">-той заявке (в Коммерческом предложении по установленной в Документации о закупке форме) допущенного Участника, </w:t>
            </w:r>
            <w:r>
              <w:rPr>
                <w:sz w:val="22"/>
                <w:szCs w:val="22"/>
              </w:rPr>
              <w:t>руб. без учета НДС;</w:t>
            </w:r>
          </w:p>
          <w:p>
            <w:pPr>
              <w:pStyle w:val="Normal"/>
              <w:widowControl w:val="false"/>
              <w:spacing w:lineRule="auto" w:line="252"/>
              <w:rPr>
                <w:rFonts w:ascii="Times New Roman" w:hAnsi="Times New Roman"/>
                <w:sz w:val="22"/>
                <w:szCs w:val="22"/>
              </w:rPr>
            </w:pPr>
            <w:r>
              <w:rPr>
                <w:sz w:val="22"/>
                <w:szCs w:val="22"/>
              </w:rPr>
              <w:t>ЦЕНА</w:t>
            </w:r>
            <w:r>
              <w:rPr>
                <w:sz w:val="22"/>
                <w:szCs w:val="22"/>
                <w:vertAlign w:val="subscript"/>
                <w:lang w:val="en-US"/>
              </w:rPr>
              <w:t>min</w:t>
            </w:r>
            <w:r>
              <w:rPr>
                <w:sz w:val="22"/>
                <w:szCs w:val="22"/>
                <w:vertAlign w:val="subscript"/>
              </w:rPr>
              <w:t xml:space="preserve"> </w:t>
            </w:r>
            <w:r>
              <w:rPr>
                <w:sz w:val="22"/>
                <w:szCs w:val="22"/>
              </w:rPr>
              <w:t>– минимальная цена договора (стоимость заявки) среди всех допущенных заявок Участников, руб. без учета НДС;</w:t>
            </w:r>
          </w:p>
          <w:p>
            <w:pPr>
              <w:pStyle w:val="22"/>
              <w:widowControl w:val="false"/>
              <w:numPr>
                <w:ilvl w:val="6"/>
                <w:numId w:val="3"/>
              </w:numPr>
              <w:tabs>
                <w:tab w:val="left" w:pos="742" w:leader="none"/>
                <w:tab w:val="left" w:pos="1167" w:leader="none"/>
              </w:tabs>
              <w:spacing w:lineRule="auto" w:line="240" w:before="0" w:after="0"/>
              <w:ind w:left="0" w:right="0" w:hanging="0"/>
              <w:jc w:val="left"/>
              <w:rPr>
                <w:rFonts w:ascii="Times New Roman" w:hAnsi="Times New Roman"/>
                <w:sz w:val="22"/>
                <w:szCs w:val="22"/>
              </w:rPr>
            </w:pPr>
            <w:r>
              <w:rPr>
                <w:rFonts w:ascii="Times New Roman" w:hAnsi="Times New Roman"/>
                <w:sz w:val="22"/>
                <w:szCs w:val="22"/>
                <w:lang w:eastAsia="ru-RU"/>
              </w:rPr>
              <w:t>Ш</w:t>
              <w:tab/>
              <w:t>–</w:t>
              <w:tab/>
              <w:t>максимально возможный балл (максимальная возможная оценка предпочтительности) по шкале оценок (Ш = 5).</w:t>
            </w:r>
          </w:p>
          <w:p>
            <w:pPr>
              <w:pStyle w:val="31"/>
              <w:widowControl w:val="false"/>
              <w:numPr>
                <w:ilvl w:val="7"/>
                <w:numId w:val="3"/>
              </w:numPr>
              <w:spacing w:lineRule="auto" w:line="240" w:before="96" w:after="96"/>
              <w:ind w:left="0" w:hanging="0"/>
              <w:contextualSpacing/>
              <w:jc w:val="left"/>
              <w:rPr>
                <w:rFonts w:ascii="Times New Roman" w:hAnsi="Times New Roman"/>
                <w:sz w:val="22"/>
                <w:szCs w:val="22"/>
              </w:rPr>
            </w:pPr>
            <w:r>
              <w:rPr>
                <w:sz w:val="22"/>
                <w:szCs w:val="22"/>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color w:val="000000"/>
                <w:sz w:val="22"/>
                <w:szCs w:val="22"/>
              </w:rPr>
              <w:t>.</w:t>
            </w:r>
          </w:p>
          <w:p>
            <w:pPr>
              <w:pStyle w:val="Style28"/>
              <w:widowControl w:val="false"/>
              <w:spacing w:before="40" w:after="40"/>
              <w:jc w:val="left"/>
              <w:rPr/>
            </w:pPr>
            <w:r>
              <w:rPr>
                <w:rStyle w:val="Style8"/>
                <w:rFonts w:eastAsia="Calibri"/>
                <w:i w:val="false"/>
                <w:iCs w:val="false"/>
                <w:sz w:val="22"/>
                <w:szCs w:val="22"/>
                <w:shd w:fill="FFFFFF" w:val="clear"/>
                <w:lang w:eastAsia="ru-RU"/>
              </w:rPr>
              <w:t>Шкала оценок от 0 до 5 баллов.</w:t>
            </w:r>
          </w:p>
        </w:tc>
      </w:tr>
      <w:tr>
        <w:trPr/>
        <w:tc>
          <w:tcPr>
            <w:tcW w:w="1153" w:type="dxa"/>
            <w:tcBorders>
              <w:top w:val="single" w:sz="4" w:space="0" w:color="000001"/>
              <w:left w:val="single" w:sz="4" w:space="0" w:color="000001"/>
              <w:bottom w:val="single" w:sz="4" w:space="0" w:color="000001"/>
            </w:tcBorders>
            <w:shd w:color="auto" w:fill="auto" w:val="clear"/>
          </w:tcPr>
          <w:p>
            <w:pPr>
              <w:pStyle w:val="Style28"/>
              <w:widowControl w:val="false"/>
              <w:spacing w:before="120" w:after="0"/>
              <w:jc w:val="center"/>
              <w:rPr>
                <w:sz w:val="22"/>
                <w:szCs w:val="22"/>
              </w:rPr>
            </w:pPr>
            <w:r>
              <w:rPr>
                <w:rFonts w:eastAsia="Calibri"/>
                <w:sz w:val="22"/>
                <w:szCs w:val="22"/>
                <w:lang w:eastAsia="en-US"/>
              </w:rPr>
              <w:t>2.</w:t>
            </w:r>
          </w:p>
        </w:tc>
        <w:tc>
          <w:tcPr>
            <w:tcW w:w="1368" w:type="dxa"/>
            <w:tcBorders>
              <w:top w:val="single" w:sz="4" w:space="0" w:color="000001"/>
              <w:left w:val="single" w:sz="4" w:space="0" w:color="000001"/>
              <w:bottom w:val="single" w:sz="4" w:space="0" w:color="000001"/>
            </w:tcBorders>
            <w:shd w:color="auto" w:fill="auto" w:val="clear"/>
          </w:tcPr>
          <w:p>
            <w:pPr>
              <w:pStyle w:val="Normal"/>
              <w:widowControl w:val="false"/>
              <w:spacing w:before="120" w:after="0"/>
              <w:jc w:val="center"/>
              <w:rPr>
                <w:sz w:val="22"/>
                <w:szCs w:val="22"/>
              </w:rPr>
            </w:pPr>
            <w:r>
              <w:rPr>
                <w:rFonts w:eastAsia="Calibri"/>
                <w:sz w:val="22"/>
                <w:szCs w:val="22"/>
                <w:lang w:eastAsia="en-US"/>
              </w:rPr>
              <w:t>«Неценовой критерий оценки первого уровня;</w:t>
              <w:br/>
              <w:t>Тех</w:t>
            </w:r>
          </w:p>
        </w:tc>
        <w:tc>
          <w:tcPr>
            <w:tcW w:w="2116" w:type="dxa"/>
            <w:tcBorders>
              <w:top w:val="single" w:sz="4" w:space="0" w:color="000001"/>
              <w:left w:val="single" w:sz="4" w:space="0" w:color="000001"/>
              <w:bottom w:val="single" w:sz="4" w:space="0" w:color="000001"/>
            </w:tcBorders>
            <w:shd w:color="auto" w:fill="auto" w:val="clear"/>
          </w:tcPr>
          <w:p>
            <w:pPr>
              <w:pStyle w:val="Normal"/>
              <w:widowControl w:val="false"/>
              <w:suppressAutoHyphens w:val="true"/>
              <w:spacing w:lineRule="auto" w:line="240" w:before="0" w:after="0"/>
              <w:jc w:val="center"/>
              <w:rPr>
                <w:rFonts w:ascii="Times New Roman" w:hAnsi="Times New Roman"/>
              </w:rPr>
            </w:pPr>
            <w:r>
              <w:rPr>
                <w:rFonts w:eastAsia="Calibri"/>
                <w:b w:val="false"/>
                <w:bCs w:val="false"/>
                <w:i w:val="false"/>
                <w:iCs w:val="false"/>
                <w:kern w:val="0"/>
                <w:sz w:val="24"/>
                <w:szCs w:val="24"/>
                <w:lang w:val="ru-RU" w:eastAsia="en-US" w:bidi="ar-SA"/>
              </w:rPr>
              <w:t>Опыт Участника</w:t>
            </w:r>
          </w:p>
        </w:tc>
        <w:tc>
          <w:tcPr>
            <w:tcW w:w="1184" w:type="dxa"/>
            <w:tcBorders>
              <w:top w:val="single" w:sz="4" w:space="0" w:color="000001"/>
              <w:left w:val="single" w:sz="4" w:space="0" w:color="000001"/>
              <w:bottom w:val="single" w:sz="4" w:space="0" w:color="000001"/>
            </w:tcBorders>
            <w:shd w:color="auto" w:fill="auto" w:val="clear"/>
          </w:tcPr>
          <w:p>
            <w:pPr>
              <w:pStyle w:val="Style28"/>
              <w:widowControl w:val="false"/>
              <w:suppressAutoHyphens w:val="true"/>
              <w:spacing w:lineRule="auto" w:line="240" w:before="0" w:after="0"/>
              <w:jc w:val="center"/>
              <w:rPr>
                <w:rFonts w:ascii="Times New Roman" w:hAnsi="Times New Roman"/>
              </w:rPr>
            </w:pPr>
            <w:r>
              <w:rPr>
                <w:rFonts w:eastAsia="Calibri"/>
                <w:b w:val="false"/>
                <w:bCs w:val="false"/>
                <w:i w:val="false"/>
                <w:iCs w:val="false"/>
                <w:kern w:val="0"/>
                <w:sz w:val="24"/>
                <w:szCs w:val="24"/>
                <w:lang w:val="ru-RU" w:eastAsia="en-US" w:bidi="ar-SA"/>
              </w:rPr>
              <w:t>отсутствует</w:t>
            </w:r>
          </w:p>
        </w:tc>
        <w:tc>
          <w:tcPr>
            <w:tcW w:w="1453" w:type="dxa"/>
            <w:tcBorders>
              <w:top w:val="single" w:sz="4" w:space="0" w:color="000001"/>
              <w:left w:val="single" w:sz="4" w:space="0" w:color="000001"/>
              <w:bottom w:val="single" w:sz="4" w:space="0" w:color="000001"/>
            </w:tcBorders>
            <w:shd w:color="auto" w:fill="auto" w:val="clear"/>
          </w:tcPr>
          <w:p>
            <w:pPr>
              <w:pStyle w:val="Style28"/>
              <w:widowControl w:val="false"/>
              <w:suppressAutoHyphens w:val="true"/>
              <w:spacing w:lineRule="auto" w:line="240" w:before="0" w:after="0"/>
              <w:jc w:val="center"/>
              <w:rPr>
                <w:rFonts w:ascii="Times New Roman" w:hAnsi="Times New Roman"/>
              </w:rPr>
            </w:pPr>
            <w:r>
              <w:rPr/>
            </w:r>
            <m:oMathPara xmlns:m="http://schemas.openxmlformats.org/officeDocument/2006/math">
              <m:oMathParaPr>
                <m:jc m:val="center"/>
              </m:oMathParaPr>
              <m:oMath>
                <m:r>
                  <w:rPr>
                    <w:rFonts w:ascii="Cambria Math" w:hAnsi="Cambria Math"/>
                  </w:rPr>
                  <m:t xml:space="preserve">5</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2</m:t>
                        </m:r>
                      </m:sub>
                    </m:sSub>
                    <m:r>
                      <w:rPr>
                        <w:rFonts w:ascii="Cambria Math" w:hAnsi="Cambria Math"/>
                      </w:rPr>
                      <m:t xml:space="preserve">=</m:t>
                    </m:r>
                    <m:r>
                      <w:rPr>
                        <w:rFonts w:ascii="Cambria Math" w:hAnsi="Cambria Math"/>
                      </w:rPr>
                      <m:t xml:space="preserve">0,05</m:t>
                    </m:r>
                  </m:e>
                </m:d>
              </m:oMath>
            </m:oMathPara>
          </w:p>
          <w:p>
            <w:pPr>
              <w:pStyle w:val="Style28"/>
              <w:widowControl w:val="false"/>
              <w:suppressAutoHyphens w:val="true"/>
              <w:spacing w:lineRule="auto" w:line="240" w:before="0" w:after="0"/>
              <w:jc w:val="center"/>
              <w:rPr>
                <w:rFonts w:ascii="Times New Roman" w:hAnsi="Times New Roman"/>
              </w:rPr>
            </w:pPr>
            <w:r>
              <w:rPr>
                <w:rFonts w:eastAsia="Calibri"/>
                <w:b w:val="false"/>
                <w:bCs w:val="false"/>
                <w:i w:val="false"/>
                <w:iCs w:val="false"/>
                <w:kern w:val="0"/>
                <w:sz w:val="24"/>
                <w:szCs w:val="24"/>
                <w:lang w:val="ru-RU"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2</m:t>
                  </m:r>
                </m:sub>
              </m:sSub>
            </m:oMath>
            <w:r>
              <w:rPr>
                <w:rFonts w:eastAsia="Calibri"/>
                <w:b w:val="false"/>
                <w:bCs w:val="false"/>
                <w:i w:val="false"/>
                <w:iCs w:val="false"/>
                <w:kern w:val="0"/>
                <w:sz w:val="24"/>
                <w:szCs w:val="24"/>
                <w:lang w:val="ru-RU" w:eastAsia="en-US" w:bidi="ar-SA"/>
              </w:rPr>
              <w:t xml:space="preserve"> – значимость (вес) критерия оценки]</w:t>
            </w:r>
          </w:p>
        </w:tc>
        <w:tc>
          <w:tcPr>
            <w:tcW w:w="1936" w:type="dxa"/>
            <w:tcBorders>
              <w:top w:val="single" w:sz="4" w:space="0" w:color="000001"/>
              <w:left w:val="single" w:sz="4" w:space="0" w:color="000001"/>
              <w:bottom w:val="single" w:sz="4" w:space="0" w:color="000001"/>
            </w:tcBorders>
            <w:shd w:color="auto" w:fill="auto" w:val="clear"/>
          </w:tcPr>
          <w:p>
            <w:pPr>
              <w:pStyle w:val="Normal"/>
              <w:widowControl w:val="false"/>
              <w:suppressAutoHyphens w:val="true"/>
              <w:spacing w:lineRule="auto" w:line="240" w:before="0" w:after="0"/>
              <w:jc w:val="center"/>
              <w:rPr>
                <w:rFonts w:ascii="Times New Roman" w:hAnsi="Times New Roman"/>
              </w:rPr>
            </w:pPr>
            <w:r>
              <w:rPr>
                <w:rFonts w:eastAsia="Calibri" w:cs="Times New Roman"/>
                <w:b w:val="false"/>
                <w:bCs w:val="false"/>
                <w:i w:val="false"/>
                <w:iCs w:val="false"/>
                <w:color w:val="00000A"/>
                <w:spacing w:val="-2"/>
                <w:kern w:val="0"/>
                <w:sz w:val="24"/>
                <w:szCs w:val="24"/>
                <w:shd w:fill="FFFFFF" w:val="clear"/>
                <w:lang w:val="ru-RU" w:eastAsia="en-US" w:bidi="ar-SA"/>
              </w:rPr>
              <w:t>Чем</w:t>
            </w:r>
            <w:r>
              <w:rPr>
                <w:rFonts w:cs="Times New Roman"/>
                <w:b w:val="false"/>
                <w:bCs w:val="false"/>
                <w:i w:val="false"/>
                <w:iCs w:val="false"/>
                <w:color w:val="00000A"/>
                <w:kern w:val="0"/>
                <w:sz w:val="24"/>
                <w:szCs w:val="24"/>
                <w:lang w:val="ru-RU" w:bidi="ar-SA"/>
              </w:rPr>
              <w:t xml:space="preserve"> больше опыт по   оказанию услуг по  </w:t>
            </w:r>
            <w:r>
              <w:rPr>
                <w:rFonts w:cs="Times New Roman"/>
                <w:b w:val="false"/>
                <w:bCs w:val="false"/>
                <w:i w:val="false"/>
                <w:iCs w:val="false"/>
                <w:strike w:val="false"/>
                <w:dstrike w:val="false"/>
                <w:outline w:val="false"/>
                <w:shadow w:val="false"/>
                <w:color w:val="00000A"/>
                <w:kern w:val="0"/>
                <w:sz w:val="24"/>
                <w:szCs w:val="24"/>
                <w:u w:val="none"/>
                <w:em w:val="none"/>
                <w:lang w:val="ru-RU" w:bidi="ar-SA"/>
              </w:rPr>
              <w:t>в</w:t>
            </w:r>
            <w:r>
              <w:rPr>
                <w:b w:val="false"/>
                <w:i w:val="false"/>
                <w:strike w:val="false"/>
                <w:dstrike w:val="false"/>
                <w:outline w:val="false"/>
                <w:shadow w:val="false"/>
                <w:sz w:val="24"/>
                <w:u w:val="none"/>
                <w:em w:val="none"/>
              </w:rPr>
              <w:t xml:space="preserve">ыполнению </w:t>
            </w:r>
            <w:r>
              <w:rPr>
                <w:rFonts w:eastAsia="Calibri"/>
                <w:b w:val="false"/>
                <w:bCs w:val="false"/>
                <w:i w:val="false"/>
                <w:iCs w:val="false"/>
                <w:strike w:val="false"/>
                <w:dstrike w:val="false"/>
                <w:outline w:val="false"/>
                <w:shadow w:val="false"/>
                <w:spacing w:val="-2"/>
                <w:kern w:val="0"/>
                <w:sz w:val="24"/>
                <w:szCs w:val="24"/>
                <w:u w:val="none"/>
                <w:em w:val="none"/>
                <w:lang w:val="ru-RU" w:eastAsia="en-US" w:bidi="ar-SA"/>
              </w:rPr>
              <w:t>строительно-монтажных работ по реконструкции КЛ 6 кВ и выше,</w:t>
            </w:r>
            <w:r>
              <w:rPr>
                <w:rFonts w:cs="Times New Roman"/>
                <w:b w:val="false"/>
                <w:bCs w:val="false"/>
                <w:i w:val="false"/>
                <w:iCs w:val="false"/>
                <w:color w:val="00000A"/>
                <w:kern w:val="0"/>
                <w:sz w:val="24"/>
                <w:szCs w:val="24"/>
                <w:lang w:val="ru-RU" w:bidi="ar-SA"/>
              </w:rPr>
              <w:t xml:space="preserve">  тем выше предпочтительность</w:t>
            </w:r>
          </w:p>
        </w:tc>
        <w:tc>
          <w:tcPr>
            <w:tcW w:w="592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uppressAutoHyphens w:val="true"/>
              <w:spacing w:lineRule="auto" w:line="240" w:before="0" w:after="0"/>
              <w:ind w:left="57" w:right="57" w:hanging="0"/>
              <w:jc w:val="both"/>
              <w:rPr>
                <w:rFonts w:ascii="Times New Roman" w:hAnsi="Times New Roman"/>
              </w:rPr>
            </w:pPr>
            <w:r>
              <w:rPr>
                <w:rFonts w:eastAsia="Calibri" w:cs="Times New Roman"/>
                <w:b w:val="false"/>
                <w:bCs w:val="false"/>
                <w:i w:val="false"/>
                <w:iCs w:val="false"/>
                <w:kern w:val="0"/>
                <w:sz w:val="24"/>
                <w:szCs w:val="24"/>
                <w:lang w:val="ru-RU"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uppressAutoHyphens w:val="true"/>
              <w:spacing w:lineRule="auto" w:line="240" w:before="0" w:after="0"/>
              <w:ind w:left="57" w:right="57" w:hanging="0"/>
              <w:jc w:val="both"/>
              <w:rPr>
                <w:rFonts w:ascii="Times New Roman" w:hAnsi="Times New Roman"/>
              </w:rPr>
            </w:pPr>
            <w:r>
              <w:rPr>
                <w:rFonts w:eastAsia="Calibri"/>
                <w:b w:val="false"/>
                <w:bCs w:val="false"/>
                <w:i w:val="false"/>
                <w:iCs w:val="false"/>
                <w:spacing w:val="-2"/>
                <w:kern w:val="0"/>
                <w:sz w:val="24"/>
                <w:szCs w:val="24"/>
                <w:lang w:val="ru-RU" w:eastAsia="en-US" w:bidi="ar-SA"/>
              </w:rPr>
              <w:t>Порядок осуществления оценки (значение оцениваемого параметра), в зависимости от предоставленных в i-ой заявке сведений о ранее выполненных договорах в рамках одного или нескольких договоров на</w:t>
            </w:r>
            <w:r>
              <w:rPr>
                <w:rFonts w:eastAsia="Calibri" w:cs="Times New Roman"/>
                <w:b w:val="false"/>
                <w:bCs w:val="false"/>
                <w:i w:val="false"/>
                <w:iCs w:val="false"/>
                <w:color w:val="00000A"/>
                <w:spacing w:val="-2"/>
                <w:kern w:val="0"/>
                <w:sz w:val="24"/>
                <w:szCs w:val="24"/>
                <w:lang w:val="ru-RU" w:eastAsia="en-US" w:bidi="ar-SA"/>
              </w:rPr>
              <w:t xml:space="preserve"> оказание услуг по  </w:t>
            </w:r>
            <w:r>
              <w:rPr>
                <w:rFonts w:eastAsia="Calibri" w:cs="Times New Roman"/>
                <w:b w:val="false"/>
                <w:bCs w:val="false"/>
                <w:i w:val="false"/>
                <w:iCs w:val="false"/>
                <w:strike w:val="false"/>
                <w:dstrike w:val="false"/>
                <w:outline w:val="false"/>
                <w:shadow w:val="false"/>
                <w:color w:val="00000A"/>
                <w:spacing w:val="-2"/>
                <w:kern w:val="0"/>
                <w:sz w:val="24"/>
                <w:szCs w:val="24"/>
                <w:u w:val="none"/>
                <w:em w:val="none"/>
                <w:lang w:val="ru-RU" w:eastAsia="en-US" w:bidi="ar-SA"/>
              </w:rPr>
              <w:t>в</w:t>
            </w:r>
            <w:r>
              <w:rPr>
                <w:rFonts w:eastAsia="Calibri"/>
                <w:b w:val="false"/>
                <w:bCs w:val="false"/>
                <w:i w:val="false"/>
                <w:iCs w:val="false"/>
                <w:strike w:val="false"/>
                <w:dstrike w:val="false"/>
                <w:outline w:val="false"/>
                <w:shadow w:val="false"/>
                <w:spacing w:val="-2"/>
                <w:kern w:val="0"/>
                <w:sz w:val="24"/>
                <w:szCs w:val="24"/>
                <w:u w:val="none"/>
                <w:em w:val="none"/>
                <w:lang w:val="ru-RU" w:eastAsia="en-US" w:bidi="ar-SA"/>
              </w:rPr>
              <w:t xml:space="preserve">ыполнению строительно-монтажных работ по реконструкции КЛ 6 кВ, и выше </w:t>
            </w:r>
            <w:r>
              <w:rPr>
                <w:rFonts w:eastAsia="Calibri"/>
                <w:b w:val="false"/>
                <w:bCs w:val="false"/>
                <w:i w:val="false"/>
                <w:iCs w:val="false"/>
                <w:spacing w:val="-2"/>
                <w:kern w:val="0"/>
                <w:sz w:val="24"/>
                <w:szCs w:val="24"/>
                <w:lang w:val="ru-RU" w:eastAsia="en-US" w:bidi="ar-SA"/>
              </w:rPr>
              <w:t>за последние 5 (пять) лет, предшествующие дате подачи заявки, по форме «Справка об опыте участника», приведенной в Документации о закупке, на общую сумму:</w:t>
            </w:r>
          </w:p>
          <w:tbl>
            <w:tblPr>
              <w:tblW w:w="5000" w:type="pct"/>
              <w:jc w:val="left"/>
              <w:tblInd w:w="0" w:type="dxa"/>
              <w:tblLayout w:type="fixed"/>
              <w:tblCellMar>
                <w:top w:w="0" w:type="dxa"/>
                <w:left w:w="108" w:type="dxa"/>
                <w:bottom w:w="0" w:type="dxa"/>
                <w:right w:w="108" w:type="dxa"/>
              </w:tblCellMar>
            </w:tblPr>
            <w:tblGrid>
              <w:gridCol w:w="1206"/>
              <w:gridCol w:w="4625"/>
            </w:tblGrid>
            <w:tr>
              <w:trPr>
                <w:trHeight w:val="504" w:hRule="atLeast"/>
                <w:cantSplit w:val="true"/>
              </w:trPr>
              <w:tc>
                <w:tcPr>
                  <w:tcW w:w="1206"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uto" w:line="240"/>
                    <w:rPr>
                      <w:rFonts w:ascii="Times New Roman" w:hAnsi="Times New Roman"/>
                    </w:rPr>
                  </w:pPr>
                  <w:r>
                    <w:rPr>
                      <w:sz w:val="24"/>
                      <w:szCs w:val="24"/>
                    </w:rPr>
                    <w:t xml:space="preserve">                              </w:t>
                  </w:r>
                  <w:r>
                    <w:rPr>
                      <w:sz w:val="24"/>
                      <w:szCs w:val="24"/>
                    </w:rPr>
                    <w:t>Б</w:t>
                  </w:r>
                  <w:r>
                    <w:rPr>
                      <w:sz w:val="24"/>
                      <w:szCs w:val="24"/>
                      <w:vertAlign w:val="subscript"/>
                    </w:rPr>
                    <w:t xml:space="preserve">2. </w:t>
                  </w:r>
                  <w:r>
                    <w:rPr>
                      <w:sz w:val="24"/>
                      <w:szCs w:val="24"/>
                    </w:rPr>
                    <w:t>= 0</w:t>
                  </w:r>
                </w:p>
              </w:tc>
              <w:tc>
                <w:tcPr>
                  <w:tcW w:w="4625" w:type="dxa"/>
                  <w:tcBorders>
                    <w:top w:val="single" w:sz="4" w:space="0" w:color="000000"/>
                    <w:left w:val="single" w:sz="4" w:space="0" w:color="000000"/>
                    <w:bottom w:val="single" w:sz="4" w:space="0" w:color="000000"/>
                    <w:right w:val="single" w:sz="4" w:space="0" w:color="000000"/>
                  </w:tcBorders>
                </w:tcPr>
                <w:p>
                  <w:pPr>
                    <w:pStyle w:val="-2"/>
                    <w:widowControl w:val="false"/>
                    <w:numPr>
                      <w:ilvl w:val="0"/>
                      <w:numId w:val="1"/>
                    </w:numPr>
                    <w:spacing w:lineRule="auto" w:line="240" w:before="120" w:after="0"/>
                    <w:ind w:left="28" w:right="0" w:hanging="0"/>
                    <w:jc w:val="left"/>
                    <w:rPr>
                      <w:rFonts w:ascii="Times New Roman" w:hAnsi="Times New Roman"/>
                    </w:rPr>
                  </w:pPr>
                  <w:r>
                    <w:rPr>
                      <w:rFonts w:cs="Times New Roman" w:ascii="Times New Roman" w:hAnsi="Times New Roman"/>
                      <w:sz w:val="24"/>
                      <w:szCs w:val="24"/>
                    </w:rPr>
                    <w:t>До 30% НМЦ без учета НДС (включительно);</w:t>
                  </w:r>
                </w:p>
              </w:tc>
            </w:tr>
            <w:tr>
              <w:trPr>
                <w:cantSplit w:val="true"/>
              </w:trPr>
              <w:tc>
                <w:tcPr>
                  <w:tcW w:w="1206"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uto" w:line="240"/>
                    <w:rPr>
                      <w:rFonts w:ascii="Times New Roman" w:hAnsi="Times New Roman"/>
                    </w:rPr>
                  </w:pPr>
                  <w:r>
                    <w:rPr>
                      <w:sz w:val="24"/>
                      <w:szCs w:val="24"/>
                    </w:rPr>
                    <w:t xml:space="preserve">                                   </w:t>
                  </w:r>
                  <w:r>
                    <w:rPr>
                      <w:sz w:val="24"/>
                      <w:szCs w:val="24"/>
                    </w:rPr>
                    <w:t>Б</w:t>
                  </w:r>
                  <w:r>
                    <w:rPr>
                      <w:sz w:val="24"/>
                      <w:szCs w:val="24"/>
                      <w:vertAlign w:val="subscript"/>
                    </w:rPr>
                    <w:t>2.</w:t>
                  </w:r>
                  <w:r>
                    <w:rPr>
                      <w:sz w:val="24"/>
                      <w:szCs w:val="24"/>
                    </w:rPr>
                    <w:t xml:space="preserve"> = 1</w:t>
                  </w:r>
                </w:p>
              </w:tc>
              <w:tc>
                <w:tcPr>
                  <w:tcW w:w="4625" w:type="dxa"/>
                  <w:tcBorders>
                    <w:top w:val="single" w:sz="4" w:space="0" w:color="000000"/>
                    <w:left w:val="single" w:sz="4" w:space="0" w:color="000000"/>
                    <w:bottom w:val="single" w:sz="4" w:space="0" w:color="000000"/>
                    <w:right w:val="single" w:sz="4" w:space="0" w:color="000000"/>
                  </w:tcBorders>
                </w:tcPr>
                <w:p>
                  <w:pPr>
                    <w:pStyle w:val="-2"/>
                    <w:widowControl w:val="false"/>
                    <w:numPr>
                      <w:ilvl w:val="0"/>
                      <w:numId w:val="1"/>
                    </w:numPr>
                    <w:spacing w:lineRule="auto" w:line="240" w:before="120" w:after="0"/>
                    <w:ind w:left="0" w:right="113" w:hanging="0"/>
                    <w:jc w:val="left"/>
                    <w:rPr>
                      <w:rFonts w:ascii="Times New Roman" w:hAnsi="Times New Roman"/>
                    </w:rPr>
                  </w:pPr>
                  <w:r>
                    <w:rPr>
                      <w:rFonts w:cs="Times New Roman" w:ascii="Times New Roman" w:hAnsi="Times New Roman"/>
                      <w:sz w:val="24"/>
                      <w:szCs w:val="24"/>
                    </w:rPr>
                    <w:t>более 30% НМЦ «без учета НДС», но менее 40% НМЦ  без учета НДС (включительно);</w:t>
                  </w:r>
                </w:p>
              </w:tc>
            </w:tr>
            <w:tr>
              <w:trPr>
                <w:trHeight w:val="686" w:hRule="atLeast"/>
                <w:cantSplit w:val="true"/>
              </w:trPr>
              <w:tc>
                <w:tcPr>
                  <w:tcW w:w="1206" w:type="dxa"/>
                  <w:tcBorders>
                    <w:top w:val="single" w:sz="4" w:space="0" w:color="000000"/>
                    <w:left w:val="single" w:sz="4" w:space="0" w:color="000000"/>
                    <w:bottom w:val="single" w:sz="4" w:space="0" w:color="000000"/>
                    <w:right w:val="single" w:sz="4" w:space="0" w:color="000000"/>
                  </w:tcBorders>
                </w:tcPr>
                <w:p>
                  <w:pPr>
                    <w:pStyle w:val="Standard"/>
                    <w:widowControl w:val="false"/>
                    <w:spacing w:lineRule="auto" w:line="240"/>
                    <w:rPr>
                      <w:rFonts w:ascii="Times New Roman" w:hAnsi="Times New Roman"/>
                    </w:rPr>
                  </w:pPr>
                  <w:r>
                    <w:rPr>
                      <w:sz w:val="24"/>
                      <w:szCs w:val="24"/>
                    </w:rPr>
                    <w:t xml:space="preserve">                                   </w:t>
                  </w:r>
                  <w:r>
                    <w:rPr>
                      <w:sz w:val="24"/>
                      <w:szCs w:val="24"/>
                    </w:rPr>
                    <w:t>Б</w:t>
                  </w:r>
                  <w:r>
                    <w:rPr>
                      <w:sz w:val="24"/>
                      <w:szCs w:val="24"/>
                      <w:vertAlign w:val="subscript"/>
                    </w:rPr>
                    <w:t>2.</w:t>
                  </w:r>
                  <w:r>
                    <w:rPr>
                      <w:sz w:val="24"/>
                      <w:szCs w:val="24"/>
                    </w:rPr>
                    <w:t xml:space="preserve"> = 2</w:t>
                  </w:r>
                </w:p>
              </w:tc>
              <w:tc>
                <w:tcPr>
                  <w:tcW w:w="4625" w:type="dxa"/>
                  <w:tcBorders>
                    <w:top w:val="single" w:sz="4" w:space="0" w:color="000000"/>
                    <w:left w:val="single" w:sz="4" w:space="0" w:color="000000"/>
                    <w:bottom w:val="single" w:sz="4" w:space="0" w:color="000000"/>
                    <w:right w:val="single" w:sz="4" w:space="0" w:color="000000"/>
                  </w:tcBorders>
                </w:tcPr>
                <w:p>
                  <w:pPr>
                    <w:pStyle w:val="-2"/>
                    <w:widowControl w:val="false"/>
                    <w:numPr>
                      <w:ilvl w:val="0"/>
                      <w:numId w:val="1"/>
                    </w:numPr>
                    <w:spacing w:lineRule="auto" w:line="240" w:before="120" w:after="0"/>
                    <w:ind w:left="0" w:right="113" w:hanging="0"/>
                    <w:jc w:val="left"/>
                    <w:rPr>
                      <w:rFonts w:ascii="Times New Roman" w:hAnsi="Times New Roman"/>
                    </w:rPr>
                  </w:pPr>
                  <w:r>
                    <w:rPr>
                      <w:rFonts w:cs="Times New Roman" w:ascii="Times New Roman" w:hAnsi="Times New Roman"/>
                      <w:sz w:val="24"/>
                      <w:szCs w:val="24"/>
                    </w:rPr>
                    <w:t>более 40% НМЦ «без учета НДС», но менее 50% НМЦ  без учета НДС (включительно);</w:t>
                  </w:r>
                </w:p>
              </w:tc>
            </w:tr>
            <w:tr>
              <w:trPr>
                <w:trHeight w:val="686" w:hRule="atLeast"/>
                <w:cantSplit w:val="true"/>
              </w:trPr>
              <w:tc>
                <w:tcPr>
                  <w:tcW w:w="1206" w:type="dxa"/>
                  <w:tcBorders>
                    <w:left w:val="single" w:sz="4" w:space="0" w:color="000000"/>
                    <w:bottom w:val="single" w:sz="4" w:space="0" w:color="000000"/>
                    <w:right w:val="single" w:sz="4" w:space="0" w:color="000000"/>
                  </w:tcBorders>
                </w:tcPr>
                <w:p>
                  <w:pPr>
                    <w:pStyle w:val="Standard"/>
                    <w:widowControl w:val="false"/>
                    <w:spacing w:lineRule="auto" w:line="240"/>
                    <w:rPr>
                      <w:rFonts w:ascii="Times New Roman" w:hAnsi="Times New Roman"/>
                    </w:rPr>
                  </w:pPr>
                  <w:r>
                    <w:rPr>
                      <w:sz w:val="24"/>
                      <w:szCs w:val="24"/>
                    </w:rPr>
                    <w:t xml:space="preserve">                                   </w:t>
                  </w:r>
                  <w:r>
                    <w:rPr>
                      <w:sz w:val="24"/>
                      <w:szCs w:val="24"/>
                    </w:rPr>
                    <w:t>Б</w:t>
                  </w:r>
                  <w:r>
                    <w:rPr>
                      <w:sz w:val="24"/>
                      <w:szCs w:val="24"/>
                      <w:vertAlign w:val="subscript"/>
                    </w:rPr>
                    <w:t>2.</w:t>
                  </w:r>
                  <w:r>
                    <w:rPr>
                      <w:sz w:val="24"/>
                      <w:szCs w:val="24"/>
                    </w:rPr>
                    <w:t>  = 3</w:t>
                  </w:r>
                </w:p>
              </w:tc>
              <w:tc>
                <w:tcPr>
                  <w:tcW w:w="4625" w:type="dxa"/>
                  <w:tcBorders>
                    <w:left w:val="single" w:sz="4" w:space="0" w:color="000000"/>
                    <w:bottom w:val="single" w:sz="4" w:space="0" w:color="000000"/>
                    <w:right w:val="single" w:sz="4" w:space="0" w:color="000000"/>
                  </w:tcBorders>
                </w:tcPr>
                <w:p>
                  <w:pPr>
                    <w:pStyle w:val="-2"/>
                    <w:widowControl w:val="false"/>
                    <w:numPr>
                      <w:ilvl w:val="0"/>
                      <w:numId w:val="1"/>
                    </w:numPr>
                    <w:spacing w:lineRule="auto" w:line="240" w:before="120" w:after="0"/>
                    <w:ind w:left="0" w:right="113" w:hanging="0"/>
                    <w:jc w:val="left"/>
                    <w:rPr>
                      <w:rFonts w:ascii="Times New Roman" w:hAnsi="Times New Roman"/>
                    </w:rPr>
                  </w:pPr>
                  <w:r>
                    <w:rPr>
                      <w:rFonts w:cs="Times New Roman" w:ascii="Times New Roman" w:hAnsi="Times New Roman"/>
                      <w:sz w:val="24"/>
                      <w:szCs w:val="24"/>
                    </w:rPr>
                    <w:t>более 50% НМЦ «без учета НДС», но менее 60% НМЦ  без учета НДС (включительно);</w:t>
                  </w:r>
                </w:p>
              </w:tc>
            </w:tr>
            <w:tr>
              <w:trPr>
                <w:trHeight w:val="686" w:hRule="atLeast"/>
                <w:cantSplit w:val="true"/>
              </w:trPr>
              <w:tc>
                <w:tcPr>
                  <w:tcW w:w="1206" w:type="dxa"/>
                  <w:tcBorders>
                    <w:left w:val="single" w:sz="4" w:space="0" w:color="000000"/>
                    <w:bottom w:val="single" w:sz="4" w:space="0" w:color="000000"/>
                    <w:right w:val="single" w:sz="4" w:space="0" w:color="000000"/>
                  </w:tcBorders>
                </w:tcPr>
                <w:p>
                  <w:pPr>
                    <w:pStyle w:val="Standard"/>
                    <w:widowControl w:val="false"/>
                    <w:spacing w:lineRule="auto" w:line="240"/>
                    <w:rPr>
                      <w:rFonts w:ascii="Times New Roman" w:hAnsi="Times New Roman"/>
                    </w:rPr>
                  </w:pPr>
                  <w:r>
                    <w:rPr>
                      <w:sz w:val="24"/>
                      <w:szCs w:val="24"/>
                    </w:rPr>
                    <w:t>Б</w:t>
                  </w:r>
                  <w:r>
                    <w:rPr>
                      <w:sz w:val="24"/>
                      <w:szCs w:val="24"/>
                      <w:vertAlign w:val="subscript"/>
                    </w:rPr>
                    <w:t>2.</w:t>
                  </w:r>
                  <w:r>
                    <w:rPr>
                      <w:sz w:val="24"/>
                      <w:szCs w:val="24"/>
                    </w:rPr>
                    <w:t xml:space="preserve"> = 4</w:t>
                  </w:r>
                </w:p>
              </w:tc>
              <w:tc>
                <w:tcPr>
                  <w:tcW w:w="4625" w:type="dxa"/>
                  <w:tcBorders>
                    <w:left w:val="single" w:sz="4" w:space="0" w:color="000000"/>
                    <w:bottom w:val="single" w:sz="4" w:space="0" w:color="000000"/>
                    <w:right w:val="single" w:sz="4" w:space="0" w:color="000000"/>
                  </w:tcBorders>
                </w:tcPr>
                <w:p>
                  <w:pPr>
                    <w:pStyle w:val="-2"/>
                    <w:widowControl w:val="false"/>
                    <w:numPr>
                      <w:ilvl w:val="0"/>
                      <w:numId w:val="1"/>
                    </w:numPr>
                    <w:spacing w:lineRule="auto" w:line="240" w:before="120" w:after="0"/>
                    <w:ind w:left="0" w:right="113" w:hanging="0"/>
                    <w:jc w:val="left"/>
                    <w:rPr>
                      <w:rFonts w:ascii="Times New Roman" w:hAnsi="Times New Roman"/>
                    </w:rPr>
                  </w:pPr>
                  <w:r>
                    <w:rPr>
                      <w:rFonts w:cs="Times New Roman" w:ascii="Times New Roman" w:hAnsi="Times New Roman"/>
                      <w:sz w:val="24"/>
                      <w:szCs w:val="24"/>
                    </w:rPr>
                    <w:t>более 60% НМЦ «без учета НДС», но менее 70% НМЦ  без учета НДС (включительно);</w:t>
                  </w:r>
                </w:p>
              </w:tc>
            </w:tr>
            <w:tr>
              <w:trPr>
                <w:trHeight w:val="686" w:hRule="atLeast"/>
                <w:cantSplit w:val="true"/>
              </w:trPr>
              <w:tc>
                <w:tcPr>
                  <w:tcW w:w="1206" w:type="dxa"/>
                  <w:tcBorders>
                    <w:left w:val="single" w:sz="4" w:space="0" w:color="000000"/>
                    <w:bottom w:val="single" w:sz="4" w:space="0" w:color="000000"/>
                    <w:right w:val="single" w:sz="4" w:space="0" w:color="000000"/>
                  </w:tcBorders>
                </w:tcPr>
                <w:p>
                  <w:pPr>
                    <w:pStyle w:val="Standard"/>
                    <w:widowControl w:val="false"/>
                    <w:spacing w:lineRule="auto" w:line="240"/>
                    <w:rPr>
                      <w:rFonts w:ascii="Times New Roman" w:hAnsi="Times New Roman"/>
                    </w:rPr>
                  </w:pPr>
                  <w:r>
                    <w:rPr>
                      <w:sz w:val="24"/>
                      <w:szCs w:val="24"/>
                    </w:rPr>
                    <w:t xml:space="preserve"> </w:t>
                  </w:r>
                  <w:r>
                    <w:rPr>
                      <w:sz w:val="24"/>
                      <w:szCs w:val="24"/>
                    </w:rPr>
                    <w:t>Б</w:t>
                  </w:r>
                  <w:r>
                    <w:rPr>
                      <w:sz w:val="24"/>
                      <w:szCs w:val="24"/>
                      <w:vertAlign w:val="subscript"/>
                    </w:rPr>
                    <w:t xml:space="preserve">2. </w:t>
                  </w:r>
                  <w:r>
                    <w:rPr>
                      <w:sz w:val="24"/>
                      <w:szCs w:val="24"/>
                    </w:rPr>
                    <w:t>= 5</w:t>
                  </w:r>
                </w:p>
              </w:tc>
              <w:tc>
                <w:tcPr>
                  <w:tcW w:w="4625" w:type="dxa"/>
                  <w:tcBorders>
                    <w:left w:val="single" w:sz="4" w:space="0" w:color="000000"/>
                    <w:bottom w:val="single" w:sz="4" w:space="0" w:color="000000"/>
                    <w:right w:val="single" w:sz="4" w:space="0" w:color="000000"/>
                  </w:tcBorders>
                </w:tcPr>
                <w:p>
                  <w:pPr>
                    <w:pStyle w:val="-2"/>
                    <w:widowControl w:val="false"/>
                    <w:numPr>
                      <w:ilvl w:val="0"/>
                      <w:numId w:val="1"/>
                    </w:numPr>
                    <w:spacing w:lineRule="auto" w:line="240" w:before="120" w:after="0"/>
                    <w:ind w:left="28" w:right="0" w:hanging="0"/>
                    <w:jc w:val="left"/>
                    <w:rPr/>
                  </w:pPr>
                  <w:r>
                    <w:rPr>
                      <w:rFonts w:eastAsia="Arial Unicode MS" w:cs="Times New Roman" w:ascii="Times New Roman" w:hAnsi="Times New Roman"/>
                      <w:sz w:val="24"/>
                      <w:szCs w:val="24"/>
                    </w:rPr>
                    <w:t>с</w:t>
                  </w:r>
                  <w:r>
                    <w:rPr>
                      <w:rStyle w:val="Annotationreference"/>
                      <w:rFonts w:eastAsia="Arial Unicode MS" w:cs="Times New Roman" w:ascii="Times New Roman" w:hAnsi="Times New Roman"/>
                      <w:sz w:val="24"/>
                      <w:szCs w:val="24"/>
                    </w:rPr>
                    <w:t>выше 70% НМЦ без учета НДС;</w:t>
                  </w:r>
                </w:p>
              </w:tc>
            </w:tr>
          </w:tbl>
          <w:p>
            <w:pPr>
              <w:pStyle w:val="22"/>
              <w:keepNext w:val="true"/>
              <w:widowControl w:val="false"/>
              <w:spacing w:lineRule="auto" w:line="240" w:before="0" w:after="0"/>
              <w:ind w:left="720" w:right="0" w:hanging="0"/>
              <w:jc w:val="left"/>
              <w:rPr>
                <w:rFonts w:ascii="Times New Roman" w:hAnsi="Times New Roman"/>
              </w:rPr>
            </w:pPr>
            <w:r>
              <w:rPr>
                <w:rFonts w:cs="Times New Roman" w:ascii="Times New Roman" w:hAnsi="Times New Roman"/>
                <w:b w:val="false"/>
                <w:bCs w:val="false"/>
                <w:i w:val="false"/>
                <w:iCs w:val="false"/>
                <w:sz w:val="24"/>
                <w:szCs w:val="24"/>
              </w:rPr>
              <w:t>где:</w:t>
            </w:r>
          </w:p>
          <w:p>
            <w:pPr>
              <w:pStyle w:val="BodyText"/>
              <w:widowControl w:val="false"/>
              <w:suppressAutoHyphens w:val="true"/>
              <w:spacing w:lineRule="auto" w:line="240" w:before="0" w:after="0"/>
              <w:ind w:left="57" w:right="57" w:hanging="0"/>
              <w:jc w:val="both"/>
              <w:rPr>
                <w:rFonts w:ascii="Times New Roman" w:hAnsi="Times New Roman"/>
              </w:rPr>
            </w:pPr>
            <w:r>
              <w:rPr>
                <w:rFonts w:eastAsia="Calibri" w:cs="Times New Roman"/>
                <w:b w:val="false"/>
                <w:bCs w:val="false"/>
                <w:i w:val="false"/>
                <w:iCs w:val="false"/>
                <w:spacing w:val="-2"/>
                <w:kern w:val="0"/>
                <w:sz w:val="24"/>
                <w:szCs w:val="24"/>
                <w:lang w:val="ru-RU" w:eastAsia="en-US" w:bidi="ar-SA"/>
              </w:rPr>
              <w:t>Б</w:t>
            </w:r>
            <w:r>
              <w:rPr>
                <w:rFonts w:eastAsia="Calibri" w:cs="Times New Roman"/>
                <w:b w:val="false"/>
                <w:bCs w:val="false"/>
                <w:i w:val="false"/>
                <w:iCs w:val="false"/>
                <w:spacing w:val="-2"/>
                <w:kern w:val="0"/>
                <w:sz w:val="24"/>
                <w:szCs w:val="24"/>
                <w:vertAlign w:val="subscript"/>
                <w:lang w:val="ru-RU" w:eastAsia="en-US" w:bidi="ar-SA"/>
              </w:rPr>
              <w:t>2</w:t>
            </w:r>
            <w:r>
              <w:rPr>
                <w:rFonts w:eastAsia="Calibri" w:cs="Times New Roman"/>
                <w:b w:val="false"/>
                <w:bCs w:val="false"/>
                <w:i w:val="false"/>
                <w:iCs w:val="false"/>
                <w:spacing w:val="-2"/>
                <w:kern w:val="0"/>
                <w:sz w:val="24"/>
                <w:szCs w:val="24"/>
                <w:lang w:val="ru-RU" w:eastAsia="en-US" w:bidi="ar-SA"/>
              </w:rPr>
              <w:t>  - рассчитанная оценка предпочтительности по данному частному критерию оценки в баллах.</w:t>
            </w:r>
          </w:p>
          <w:p>
            <w:pPr>
              <w:pStyle w:val="BodyText"/>
              <w:widowControl w:val="false"/>
              <w:suppressAutoHyphens w:val="true"/>
              <w:spacing w:lineRule="auto" w:line="240" w:before="0" w:after="0"/>
              <w:ind w:left="57" w:right="57" w:hanging="0"/>
              <w:jc w:val="both"/>
              <w:rPr>
                <w:rFonts w:ascii="Times New Roman" w:hAnsi="Times New Roman"/>
              </w:rPr>
            </w:pPr>
            <w:r>
              <w:rPr>
                <w:rFonts w:eastAsia="Calibri" w:cs="Times New Roman"/>
                <w:b w:val="false"/>
                <w:bCs w:val="false"/>
                <w:i w:val="false"/>
                <w:iCs w:val="false"/>
                <w:spacing w:val="-2"/>
                <w:kern w:val="0"/>
                <w:sz w:val="24"/>
                <w:szCs w:val="24"/>
                <w:lang w:val="ru-RU" w:eastAsia="en-US" w:bidi="ar-SA"/>
              </w:rPr>
              <w:t>В составе заявки Участник должен представить сведения о ранее выполненных договорах по форме «Справка об опыте Участника», приведенной в Документации о закупке, с обязательным представлением подтверждающих наличие требуемого опыта документов, а именно:</w:t>
            </w:r>
          </w:p>
          <w:p>
            <w:pPr>
              <w:pStyle w:val="BodyText"/>
              <w:widowControl w:val="false"/>
              <w:suppressAutoHyphens w:val="true"/>
              <w:spacing w:lineRule="auto" w:line="240" w:before="0" w:after="0"/>
              <w:ind w:left="57" w:right="57" w:hanging="0"/>
              <w:jc w:val="both"/>
              <w:rPr>
                <w:rFonts w:ascii="Times New Roman" w:hAnsi="Times New Roman"/>
              </w:rPr>
            </w:pPr>
            <w:r>
              <w:rPr>
                <w:rFonts w:eastAsia="Calibri" w:cs="Times New Roman"/>
                <w:b w:val="false"/>
                <w:bCs w:val="false"/>
                <w:i w:val="false"/>
                <w:iCs w:val="false"/>
                <w:spacing w:val="-2"/>
                <w:kern w:val="0"/>
                <w:sz w:val="24"/>
                <w:szCs w:val="24"/>
                <w:lang w:val="ru-RU" w:eastAsia="en-US" w:bidi="ar-SA"/>
              </w:rPr>
              <w:t xml:space="preserve"> </w:t>
            </w:r>
            <w:r>
              <w:rPr>
                <w:rFonts w:eastAsia="Calibri" w:cs="Times New Roman"/>
                <w:b w:val="false"/>
                <w:bCs w:val="false"/>
                <w:i w:val="false"/>
                <w:iCs w:val="false"/>
                <w:spacing w:val="-2"/>
                <w:kern w:val="0"/>
                <w:sz w:val="24"/>
                <w:szCs w:val="24"/>
                <w:lang w:val="ru-RU" w:eastAsia="en-US" w:bidi="ar-SA"/>
              </w:rPr>
              <w:t>- копии договоров, подписанных с обеих сторон;</w:t>
            </w:r>
          </w:p>
          <w:p>
            <w:pPr>
              <w:pStyle w:val="BodyText"/>
              <w:widowControl w:val="false"/>
              <w:suppressAutoHyphens w:val="true"/>
              <w:spacing w:lineRule="auto" w:line="240" w:before="0" w:after="0"/>
              <w:ind w:left="57" w:right="57" w:hanging="0"/>
              <w:jc w:val="both"/>
              <w:rPr>
                <w:rFonts w:ascii="Times New Roman" w:hAnsi="Times New Roman"/>
              </w:rPr>
            </w:pPr>
            <w:r>
              <w:rPr>
                <w:rFonts w:eastAsia="Calibri" w:cs="Times New Roman"/>
                <w:b w:val="false"/>
                <w:bCs w:val="false"/>
                <w:i w:val="false"/>
                <w:iCs w:val="false"/>
                <w:spacing w:val="-2"/>
                <w:kern w:val="0"/>
                <w:sz w:val="24"/>
                <w:szCs w:val="24"/>
                <w:lang w:val="ru-RU" w:eastAsia="en-US" w:bidi="ar-SA"/>
              </w:rPr>
              <w:t>- копии Актов выполненных работ к договорам (формы КС-2 и/или КС-3), подписанных с обеих сторон, с указанием стоимости и наименования выполненных работ, аналогичных предмету закупки;</w:t>
            </w:r>
          </w:p>
          <w:p>
            <w:pPr>
              <w:pStyle w:val="BodyText"/>
              <w:widowControl w:val="false"/>
              <w:suppressAutoHyphens w:val="true"/>
              <w:spacing w:lineRule="auto" w:line="240" w:before="0" w:after="0"/>
              <w:ind w:left="57" w:right="57" w:hanging="0"/>
              <w:jc w:val="both"/>
              <w:rPr>
                <w:rFonts w:ascii="Times New Roman" w:hAnsi="Times New Roman"/>
              </w:rPr>
            </w:pPr>
            <w:r>
              <w:rPr>
                <w:rFonts w:eastAsia="Calibri" w:cs="Times New Roman"/>
                <w:b w:val="false"/>
                <w:bCs w:val="false"/>
                <w:i w:val="false"/>
                <w:iCs w:val="false"/>
                <w:spacing w:val="-2"/>
                <w:kern w:val="0"/>
                <w:sz w:val="24"/>
                <w:szCs w:val="24"/>
                <w:lang w:val="ru-RU" w:eastAsia="en-US" w:bidi="ar-SA"/>
              </w:rPr>
              <w:t>- 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pPr>
              <w:pStyle w:val="BodyText"/>
              <w:widowControl w:val="false"/>
              <w:suppressAutoHyphens w:val="true"/>
              <w:spacing w:lineRule="auto" w:line="240" w:before="0" w:after="0"/>
              <w:ind w:left="57" w:right="57" w:hanging="0"/>
              <w:jc w:val="both"/>
              <w:rPr>
                <w:rFonts w:ascii="Times New Roman" w:hAnsi="Times New Roman"/>
              </w:rPr>
            </w:pPr>
            <w:r>
              <w:rPr>
                <w:rFonts w:eastAsia="Calibri" w:cs="Times New Roman"/>
                <w:b w:val="false"/>
                <w:bCs w:val="false"/>
                <w:i w:val="false"/>
                <w:iCs w:val="false"/>
                <w:spacing w:val="-2"/>
                <w:kern w:val="0"/>
                <w:sz w:val="24"/>
                <w:szCs w:val="24"/>
                <w:lang w:val="ru-RU" w:eastAsia="en-US" w:bidi="ar-SA"/>
              </w:rPr>
              <w:t>К оценке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pPr>
              <w:pStyle w:val="22"/>
              <w:widowControl w:val="false"/>
              <w:suppressAutoHyphens w:val="true"/>
              <w:spacing w:lineRule="auto" w:line="240" w:before="0" w:after="0"/>
              <w:ind w:left="0" w:right="0" w:hanging="0"/>
              <w:rPr>
                <w:rFonts w:ascii="Times New Roman" w:hAnsi="Times New Roman"/>
              </w:rPr>
            </w:pPr>
            <w:r>
              <w:rPr>
                <w:rFonts w:eastAsia="Calibri" w:cs="Times New Roman" w:ascii="Times New Roman" w:hAnsi="Times New Roman"/>
                <w:b w:val="false"/>
                <w:bCs w:val="false"/>
                <w:i w:val="false"/>
                <w:iCs w:val="false"/>
                <w:kern w:val="0"/>
                <w:sz w:val="24"/>
                <w:szCs w:val="24"/>
                <w:lang w:val="ru-RU" w:eastAsia="en-US" w:bidi="ar-SA"/>
              </w:rPr>
              <w:t xml:space="preserve"> </w:t>
            </w:r>
            <w:r>
              <w:rPr>
                <w:rFonts w:eastAsia="Calibri" w:cs="Times New Roman" w:ascii="Times New Roman" w:hAnsi="Times New Roman"/>
                <w:b w:val="false"/>
                <w:bCs w:val="false"/>
                <w:i w:val="false"/>
                <w:iCs w:val="false"/>
                <w:kern w:val="0"/>
                <w:sz w:val="24"/>
                <w:szCs w:val="24"/>
                <w:lang w:val="ru-RU" w:eastAsia="en-US" w:bidi="ar-SA"/>
              </w:rPr>
              <w:t>Опыт, несоответствующий установленным в Документации о закупке требованиям не оценивается.</w:t>
            </w:r>
          </w:p>
          <w:p>
            <w:pPr>
              <w:pStyle w:val="22"/>
              <w:widowControl w:val="false"/>
              <w:suppressAutoHyphens w:val="true"/>
              <w:spacing w:lineRule="auto" w:line="240" w:before="0" w:after="0"/>
              <w:ind w:left="0" w:right="0" w:hanging="0"/>
              <w:rPr>
                <w:rFonts w:ascii="Times New Roman" w:hAnsi="Times New Roman"/>
              </w:rPr>
            </w:pPr>
            <w:r>
              <w:rPr>
                <w:rFonts w:eastAsia="Calibri" w:cs="Times New Roman" w:ascii="Times New Roman" w:hAnsi="Times New Roman"/>
                <w:b w:val="false"/>
                <w:bCs w:val="false"/>
                <w:i w:val="false"/>
                <w:iCs w:val="false"/>
                <w:kern w:val="0"/>
                <w:sz w:val="24"/>
                <w:szCs w:val="24"/>
                <w:lang w:val="ru-RU" w:eastAsia="en-US" w:bidi="ar-SA"/>
              </w:rPr>
              <w:t>Шкала оценок от 0 до 5 баллов.</w:t>
            </w:r>
          </w:p>
        </w:tc>
      </w:tr>
      <w:tr>
        <w:trPr/>
        <w:tc>
          <w:tcPr>
            <w:tcW w:w="1153" w:type="dxa"/>
            <w:tcBorders>
              <w:top w:val="single" w:sz="4" w:space="0" w:color="000001"/>
              <w:left w:val="single" w:sz="4" w:space="0" w:color="000001"/>
              <w:bottom w:val="single" w:sz="4" w:space="0" w:color="000001"/>
            </w:tcBorders>
            <w:shd w:color="auto" w:fill="auto" w:val="clear"/>
          </w:tcPr>
          <w:p>
            <w:pPr>
              <w:pStyle w:val="Style28"/>
              <w:widowControl w:val="false"/>
              <w:spacing w:before="120" w:after="0"/>
              <w:jc w:val="center"/>
              <w:rPr>
                <w:sz w:val="22"/>
                <w:szCs w:val="22"/>
              </w:rPr>
            </w:pPr>
            <w:r>
              <w:rPr>
                <w:rFonts w:eastAsia="Calibri"/>
                <w:sz w:val="22"/>
                <w:szCs w:val="22"/>
                <w:lang w:eastAsia="en-US"/>
              </w:rPr>
              <w:t>3.</w:t>
            </w:r>
          </w:p>
        </w:tc>
        <w:tc>
          <w:tcPr>
            <w:tcW w:w="1368" w:type="dxa"/>
            <w:tcBorders>
              <w:top w:val="single" w:sz="4" w:space="0" w:color="000001"/>
              <w:left w:val="single" w:sz="4" w:space="0" w:color="000001"/>
              <w:bottom w:val="single" w:sz="4" w:space="0" w:color="000001"/>
            </w:tcBorders>
            <w:shd w:color="auto" w:fill="auto" w:val="clear"/>
          </w:tcPr>
          <w:p>
            <w:pPr>
              <w:pStyle w:val="Style28"/>
              <w:widowControl w:val="false"/>
              <w:spacing w:before="120" w:after="0"/>
              <w:jc w:val="center"/>
              <w:rPr/>
            </w:pPr>
            <w:r>
              <w:rPr>
                <w:rStyle w:val="Style8"/>
                <w:rFonts w:eastAsia="Calibri"/>
                <w:i w:val="false"/>
                <w:iCs w:val="false"/>
                <w:sz w:val="22"/>
                <w:szCs w:val="22"/>
                <w:lang w:eastAsia="en-US"/>
              </w:rPr>
              <w:br/>
            </w:r>
            <w:r>
              <w:rPr>
                <w:rFonts w:eastAsia="Calibri"/>
                <w:sz w:val="22"/>
                <w:szCs w:val="22"/>
                <w:lang w:eastAsia="en-US"/>
              </w:rPr>
              <w:t>«Неценовой критерий оценки первого уровня;</w:t>
              <w:br/>
              <w:t>Орг»</w:t>
            </w:r>
          </w:p>
        </w:tc>
        <w:tc>
          <w:tcPr>
            <w:tcW w:w="2116" w:type="dxa"/>
            <w:tcBorders>
              <w:top w:val="single" w:sz="4" w:space="0" w:color="000001"/>
              <w:left w:val="single" w:sz="4" w:space="0" w:color="000001"/>
              <w:bottom w:val="single" w:sz="4" w:space="0" w:color="000001"/>
            </w:tcBorders>
            <w:shd w:color="auto" w:fill="auto" w:val="clear"/>
          </w:tcPr>
          <w:p>
            <w:pPr>
              <w:pStyle w:val="Style28"/>
              <w:widowControl w:val="false"/>
              <w:spacing w:before="120" w:after="0"/>
              <w:jc w:val="center"/>
              <w:rPr>
                <w:sz w:val="22"/>
                <w:szCs w:val="22"/>
              </w:rPr>
            </w:pPr>
            <w:r>
              <w:rPr>
                <w:rFonts w:eastAsia="Calibri"/>
                <w:sz w:val="22"/>
                <w:szCs w:val="22"/>
                <w:lang w:eastAsia="en-US"/>
              </w:rPr>
              <w:t>Финансовое состояние (устойчивость) Участника</w:t>
            </w:r>
          </w:p>
        </w:tc>
        <w:tc>
          <w:tcPr>
            <w:tcW w:w="1184" w:type="dxa"/>
            <w:tcBorders>
              <w:top w:val="single" w:sz="4" w:space="0" w:color="000001"/>
              <w:left w:val="single" w:sz="4" w:space="0" w:color="000001"/>
              <w:bottom w:val="single" w:sz="4" w:space="0" w:color="000001"/>
            </w:tcBorders>
            <w:shd w:color="auto" w:fill="auto" w:val="clear"/>
          </w:tcPr>
          <w:p>
            <w:pPr>
              <w:pStyle w:val="Style28"/>
              <w:widowControl w:val="false"/>
              <w:spacing w:before="120" w:after="0"/>
              <w:jc w:val="center"/>
              <w:rPr>
                <w:sz w:val="22"/>
                <w:szCs w:val="22"/>
              </w:rPr>
            </w:pPr>
            <w:r>
              <w:rPr>
                <w:rFonts w:eastAsia="Calibri"/>
                <w:sz w:val="22"/>
                <w:szCs w:val="22"/>
                <w:lang w:eastAsia="en-US"/>
              </w:rPr>
              <w:t>отсутствует</w:t>
            </w:r>
          </w:p>
        </w:tc>
        <w:tc>
          <w:tcPr>
            <w:tcW w:w="1453" w:type="dxa"/>
            <w:tcBorders>
              <w:top w:val="single" w:sz="4" w:space="0" w:color="000001"/>
              <w:left w:val="single" w:sz="4" w:space="0" w:color="000001"/>
              <w:bottom w:val="single" w:sz="4" w:space="0" w:color="000001"/>
            </w:tcBorders>
            <w:shd w:color="auto" w:fill="auto" w:val="clear"/>
          </w:tcPr>
          <w:p>
            <w:pPr>
              <w:pStyle w:val="31"/>
              <w:widowControl w:val="false"/>
              <w:numPr>
                <w:ilvl w:val="0"/>
                <w:numId w:val="0"/>
              </w:numPr>
              <w:spacing w:lineRule="auto" w:line="240" w:before="40" w:after="40"/>
              <w:ind w:left="0" w:hanging="0"/>
              <w:contextualSpacing/>
              <w:jc w:val="center"/>
              <w:rPr>
                <w:sz w:val="22"/>
                <w:szCs w:val="22"/>
              </w:rPr>
            </w:pPr>
            <w:r>
              <w:rPr>
                <w:sz w:val="22"/>
                <w:szCs w:val="22"/>
                <w:lang w:eastAsia="ru-RU"/>
              </w:rPr>
              <w:t>5%</w:t>
              <w:br/>
              <w:t>(В</w:t>
            </w:r>
            <w:r>
              <w:rPr>
                <w:sz w:val="22"/>
                <w:szCs w:val="22"/>
                <w:vertAlign w:val="subscript"/>
                <w:lang w:eastAsia="ru-RU"/>
              </w:rPr>
              <w:t>3</w:t>
            </w:r>
            <w:r>
              <w:rPr>
                <w:sz w:val="22"/>
                <w:szCs w:val="22"/>
                <w:lang w:eastAsia="ru-RU"/>
              </w:rPr>
              <w:t xml:space="preserve"> = 0,05)</w:t>
            </w:r>
          </w:p>
        </w:tc>
        <w:tc>
          <w:tcPr>
            <w:tcW w:w="1936" w:type="dxa"/>
            <w:tcBorders>
              <w:top w:val="single" w:sz="4" w:space="0" w:color="000001"/>
              <w:left w:val="single" w:sz="4" w:space="0" w:color="000001"/>
              <w:bottom w:val="single" w:sz="4" w:space="0" w:color="000001"/>
            </w:tcBorders>
            <w:shd w:color="auto" w:fill="auto" w:val="clear"/>
          </w:tcPr>
          <w:p>
            <w:pPr>
              <w:pStyle w:val="Style28"/>
              <w:widowControl w:val="false"/>
              <w:spacing w:before="120" w:after="0"/>
              <w:jc w:val="center"/>
              <w:rPr>
                <w:sz w:val="22"/>
                <w:szCs w:val="22"/>
              </w:rPr>
            </w:pPr>
            <w:r>
              <w:rPr>
                <w:rFonts w:eastAsia="Calibri"/>
                <w:sz w:val="22"/>
                <w:szCs w:val="22"/>
                <w:lang w:eastAsia="en-US"/>
              </w:rPr>
              <w:t>Чем выше оценка финансового состояния (устойчивости) Участника, тем выше предпочтительность</w:t>
            </w:r>
          </w:p>
        </w:tc>
        <w:tc>
          <w:tcPr>
            <w:tcW w:w="5925"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before="120" w:after="0"/>
              <w:rPr>
                <w:sz w:val="22"/>
                <w:szCs w:val="22"/>
              </w:rPr>
            </w:pPr>
            <w:r>
              <w:rPr>
                <w:rFonts w:eastAsia="Calibri"/>
                <w:sz w:val="22"/>
                <w:szCs w:val="22"/>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pacing w:before="120" w:after="0"/>
              <w:contextualSpacing/>
              <w:rPr>
                <w:sz w:val="22"/>
                <w:szCs w:val="22"/>
              </w:rPr>
            </w:pPr>
            <w:r>
              <w:rPr>
                <w:sz w:val="22"/>
                <w:szCs w:val="22"/>
              </w:rPr>
              <w:t xml:space="preserve">Порядок осуществления оценки (значение оцениваемого параметра), в зависимости от полученного Участником (с </w:t>
            </w:r>
            <w:r>
              <w:rPr>
                <w:i/>
                <w:sz w:val="22"/>
                <w:szCs w:val="22"/>
                <w:lang w:val="en-US"/>
              </w:rPr>
              <w:t>i</w:t>
            </w:r>
            <w:r>
              <w:rPr>
                <w:sz w:val="22"/>
                <w:szCs w:val="22"/>
              </w:rPr>
              <w:t xml:space="preserve">-ой заявкой) значения расчетного балла </w:t>
            </w:r>
            <w:bookmarkStart w:id="389" w:name="_Hlk140493522"/>
            <w:r>
              <w:rPr>
                <w:sz w:val="22"/>
                <w:szCs w:val="22"/>
              </w:rPr>
              <w:t>(интегрального показателя финансового состояния)</w:t>
            </w:r>
            <w:bookmarkEnd w:id="389"/>
            <w:r>
              <w:rPr>
                <w:sz w:val="22"/>
                <w:szCs w:val="22"/>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Normal"/>
              <w:widowControl w:val="false"/>
              <w:spacing w:before="120" w:after="0"/>
              <w:ind w:left="62" w:hanging="0"/>
              <w:contextualSpacing/>
              <w:rPr>
                <w:sz w:val="22"/>
                <w:szCs w:val="22"/>
              </w:rPr>
            </w:pPr>
            <w:r>
              <w:rPr>
                <w:rFonts w:eastAsia="Calibri"/>
                <w:sz w:val="22"/>
                <w:szCs w:val="22"/>
              </w:rPr>
              <w:t>- порядок проведения оценки финансового состояния (устойчивости) Участника</w:t>
            </w:r>
            <w:r>
              <w:rPr>
                <w:rStyle w:val="FootnoteReference"/>
                <w:rFonts w:eastAsia="Calibri"/>
                <w:sz w:val="22"/>
                <w:szCs w:val="22"/>
              </w:rPr>
              <w:footnoteReference w:id="15"/>
            </w:r>
            <w:r>
              <w:rPr>
                <w:rFonts w:eastAsia="Calibri"/>
                <w:sz w:val="22"/>
                <w:szCs w:val="22"/>
              </w:rPr>
              <w:t xml:space="preserve"> установлен Приложением №4 к Положению об аккредитации;</w:t>
            </w:r>
          </w:p>
          <w:p>
            <w:pPr>
              <w:pStyle w:val="Normal"/>
              <w:widowControl w:val="false"/>
              <w:spacing w:before="120" w:after="0"/>
              <w:ind w:left="62" w:hanging="0"/>
              <w:contextualSpacing/>
              <w:rPr/>
            </w:pPr>
            <w:r>
              <w:rPr>
                <w:rFonts w:eastAsia="Calibri"/>
                <w:sz w:val="22"/>
                <w:szCs w:val="22"/>
              </w:rPr>
              <w:t>- 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w:t>
            </w:r>
            <w:hyperlink r:id="rId31">
              <w:r>
                <w:rPr>
                  <w:rStyle w:val="11"/>
                  <w:rFonts w:eastAsia="Calibri"/>
                  <w:sz w:val="22"/>
                  <w:szCs w:val="22"/>
                </w:rPr>
                <w:t>https://bo.nalog.ru</w:t>
              </w:r>
            </w:hyperlink>
            <w:r>
              <w:rPr>
                <w:rFonts w:eastAsia="Calibri"/>
                <w:sz w:val="22"/>
                <w:szCs w:val="22"/>
              </w:rPr>
              <w:t xml:space="preserve">) за предыдущий отчетный период (год) </w:t>
            </w:r>
            <w:r>
              <w:rPr>
                <w:sz w:val="22"/>
                <w:szCs w:val="22"/>
              </w:rPr>
              <w:t>по состоянию на дату окончания срока подачи заявок</w:t>
            </w:r>
            <w:r>
              <w:rPr>
                <w:rFonts w:eastAsia="Calibri"/>
                <w:sz w:val="22"/>
                <w:szCs w:val="22"/>
              </w:rPr>
              <w:t>.</w:t>
            </w:r>
          </w:p>
          <w:p>
            <w:pPr>
              <w:pStyle w:val="Normal"/>
              <w:widowControl w:val="false"/>
              <w:spacing w:before="120" w:after="0"/>
              <w:contextualSpacing/>
              <w:rPr>
                <w:sz w:val="22"/>
                <w:szCs w:val="22"/>
              </w:rPr>
            </w:pPr>
            <w:r>
              <w:rPr>
                <w:rFonts w:eastAsia="Calibri"/>
                <w:sz w:val="22"/>
                <w:szCs w:val="22"/>
              </w:rPr>
              <w:t xml:space="preserve">Если Участник в соответствии с законодательством РФ не размещает сведения о своей бухгалтерской (финансовой) отчетности </w:t>
            </w:r>
            <w:r>
              <w:rPr>
                <w:sz w:val="22"/>
                <w:szCs w:val="22"/>
              </w:rPr>
              <w:t xml:space="preserve">(по формам ОКУД 0710001, 0710002) </w:t>
            </w:r>
            <w:r>
              <w:rPr>
                <w:rFonts w:eastAsia="Calibri"/>
                <w:sz w:val="22"/>
                <w:szCs w:val="22"/>
              </w:rPr>
              <w:t xml:space="preserve">в упомянутом государственном информационном ресурсе – оценка его финансового состояния производится на основании </w:t>
            </w:r>
            <w:r>
              <w:rPr>
                <w:sz w:val="22"/>
                <w:szCs w:val="22"/>
              </w:rPr>
              <w:t>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22"/>
                <w:szCs w:val="22"/>
              </w:rPr>
              <w:t>,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spacing w:before="120" w:after="0"/>
              <w:ind w:hanging="0"/>
              <w:contextualSpacing/>
              <w:rPr>
                <w:sz w:val="22"/>
                <w:szCs w:val="22"/>
              </w:rPr>
            </w:pPr>
            <w:r>
              <w:rPr>
                <w:sz w:val="22"/>
                <w:szCs w:val="22"/>
              </w:rPr>
              <w:t>Если Участник в соответствии с законодательством формирует отчетность по </w:t>
            </w:r>
            <w:r>
              <w:rPr>
                <w:rFonts w:eastAsia="Calibri"/>
                <w:sz w:val="22"/>
                <w:szCs w:val="22"/>
              </w:rPr>
              <w:t>формам</w:t>
            </w:r>
            <w:r>
              <w:rPr>
                <w:sz w:val="22"/>
                <w:szCs w:val="22"/>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pPr>
              <w:pStyle w:val="Style28"/>
              <w:keepNext w:val="true"/>
              <w:widowControl w:val="false"/>
              <w:spacing w:before="40" w:after="40"/>
              <w:ind w:left="344" w:hanging="0"/>
              <w:contextualSpacing/>
              <w:jc w:val="left"/>
              <w:rPr>
                <w:sz w:val="22"/>
                <w:szCs w:val="22"/>
              </w:rPr>
            </w:pPr>
            <w:r>
              <w:rPr>
                <w:sz w:val="22"/>
                <w:szCs w:val="22"/>
              </w:rPr>
              <w:t>- 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8"/>
              <w:keepNext w:val="true"/>
              <w:widowControl w:val="false"/>
              <w:spacing w:before="40" w:after="40"/>
              <w:ind w:left="344" w:hanging="0"/>
              <w:contextualSpacing/>
              <w:jc w:val="left"/>
              <w:rPr>
                <w:sz w:val="22"/>
                <w:szCs w:val="22"/>
              </w:rPr>
            </w:pPr>
            <w:r>
              <w:rPr>
                <w:sz w:val="22"/>
                <w:szCs w:val="22"/>
              </w:rPr>
              <w:t>- дополнительных сведений о размере всех требуемых показателей согласно данным бухгалтерской (финансовой) отчетности по установленной форме (Приложение № 4 к Документации о закупке).</w:t>
            </w:r>
          </w:p>
          <w:p>
            <w:pPr>
              <w:pStyle w:val="Normal"/>
              <w:widowControl w:val="false"/>
              <w:spacing w:before="120" w:after="120"/>
              <w:contextualSpacing/>
              <w:jc w:val="both"/>
              <w:rPr>
                <w:sz w:val="22"/>
                <w:szCs w:val="22"/>
              </w:rPr>
            </w:pPr>
            <w:r>
              <w:rPr>
                <w:rFonts w:eastAsia="Calibri"/>
                <w:color w:val="000000"/>
                <w:sz w:val="22"/>
                <w:szCs w:val="22"/>
              </w:rPr>
              <w:t>Оценка предпочтительности по частному критерию осуществляется в соответствии со следующей шкалой:</w:t>
            </w:r>
          </w:p>
          <w:tbl>
            <w:tblPr>
              <w:tblW w:w="6405"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849"/>
              <w:gridCol w:w="5555"/>
            </w:tblGrid>
            <w:tr>
              <w:trPr/>
              <w:tc>
                <w:tcPr>
                  <w:tcW w:w="849" w:type="dxa"/>
                  <w:tcBorders/>
                  <w:shd w:color="auto" w:fill="auto" w:val="clear"/>
                </w:tcPr>
                <w:p>
                  <w:pPr>
                    <w:pStyle w:val="Style28"/>
                    <w:widowControl w:val="false"/>
                    <w:spacing w:before="120" w:after="0"/>
                    <w:jc w:val="center"/>
                    <w:rPr>
                      <w:sz w:val="22"/>
                      <w:szCs w:val="22"/>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0</m:t>
                      </m:r>
                    </m:oMath>
                  </m:oMathPara>
                </w:p>
              </w:tc>
              <w:tc>
                <w:tcPr>
                  <w:tcW w:w="5555" w:type="dxa"/>
                  <w:tcBorders/>
                  <w:shd w:color="auto" w:fill="auto" w:val="clear"/>
                </w:tcPr>
                <w:p>
                  <w:pPr>
                    <w:pStyle w:val="Style28"/>
                    <w:keepNext w:val="true"/>
                    <w:widowControl w:val="false"/>
                    <w:tabs>
                      <w:tab w:val="clear" w:pos="708"/>
                      <w:tab w:val="left" w:pos="4364" w:leader="none"/>
                    </w:tabs>
                    <w:spacing w:before="120" w:after="0"/>
                    <w:ind w:left="57" w:right="1304" w:hanging="0"/>
                    <w:jc w:val="left"/>
                    <w:rPr>
                      <w:sz w:val="22"/>
                      <w:szCs w:val="22"/>
                    </w:rPr>
                  </w:pPr>
                  <w:r>
                    <w:rPr>
                      <w:rFonts w:eastAsia="Calibri"/>
                      <w:sz w:val="22"/>
                      <w:szCs w:val="22"/>
                      <w:lang w:eastAsia="en-US"/>
                    </w:rPr>
                    <w:t>результат оценки финансового состояния (устойчивости): менее 0,45 баллов – Кризисное финансовое состояние</w:t>
                  </w:r>
                </w:p>
                <w:p>
                  <w:pPr>
                    <w:pStyle w:val="Style28"/>
                    <w:keepNext w:val="true"/>
                    <w:widowControl w:val="false"/>
                    <w:jc w:val="left"/>
                    <w:rPr>
                      <w:sz w:val="22"/>
                      <w:szCs w:val="22"/>
                    </w:rPr>
                  </w:pPr>
                  <w:r>
                    <w:rPr>
                      <w:rFonts w:eastAsia="Calibri"/>
                      <w:sz w:val="22"/>
                      <w:szCs w:val="22"/>
                      <w:lang w:eastAsia="en-US"/>
                    </w:rPr>
                    <w:t>или</w:t>
                  </w:r>
                </w:p>
                <w:p>
                  <w:pPr>
                    <w:pStyle w:val="Style28"/>
                    <w:keepNext w:val="true"/>
                    <w:widowControl w:val="false"/>
                    <w:ind w:left="57" w:right="1247" w:hanging="0"/>
                    <w:jc w:val="left"/>
                    <w:rPr>
                      <w:sz w:val="22"/>
                      <w:szCs w:val="22"/>
                    </w:rPr>
                  </w:pPr>
                  <w:r>
                    <w:rPr>
                      <w:rFonts w:eastAsia="Calibri"/>
                      <w:sz w:val="22"/>
                      <w:szCs w:val="22"/>
                      <w:lang w:eastAsia="en-US"/>
                    </w:rPr>
                    <w:t>в случае отсутствия исходных данных для оценки финансового состояния Участника, в том числе если он является:</w:t>
                  </w:r>
                </w:p>
                <w:p>
                  <w:pPr>
                    <w:pStyle w:val="Style28"/>
                    <w:keepNext w:val="true"/>
                    <w:widowControl w:val="false"/>
                    <w:numPr>
                      <w:ilvl w:val="0"/>
                      <w:numId w:val="10"/>
                    </w:numPr>
                    <w:ind w:left="794" w:right="1191" w:hanging="340"/>
                    <w:jc w:val="left"/>
                    <w:rPr>
                      <w:sz w:val="22"/>
                      <w:szCs w:val="22"/>
                    </w:rPr>
                  </w:pPr>
                  <w:r>
                    <w:rPr>
                      <w:rFonts w:eastAsia="Calibri"/>
                      <w:sz w:val="22"/>
                      <w:szCs w:val="22"/>
                      <w:lang w:eastAsia="en-US"/>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yle28"/>
                    <w:widowControl w:val="false"/>
                    <w:numPr>
                      <w:ilvl w:val="0"/>
                      <w:numId w:val="10"/>
                    </w:numPr>
                    <w:ind w:left="794" w:right="1134" w:hanging="340"/>
                    <w:jc w:val="left"/>
                    <w:rPr>
                      <w:sz w:val="22"/>
                      <w:szCs w:val="22"/>
                    </w:rPr>
                  </w:pPr>
                  <w:r>
                    <w:rPr>
                      <w:rFonts w:eastAsia="Calibri"/>
                      <w:sz w:val="22"/>
                      <w:szCs w:val="22"/>
                      <w:lang w:eastAsia="en-US"/>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tc>
                <w:tcPr>
                  <w:tcW w:w="849" w:type="dxa"/>
                  <w:tcBorders/>
                  <w:shd w:color="auto" w:fill="auto" w:val="clear"/>
                </w:tcPr>
                <w:p>
                  <w:pPr>
                    <w:pStyle w:val="Style28"/>
                    <w:widowControl w:val="false"/>
                    <w:spacing w:before="120" w:after="0"/>
                    <w:jc w:val="center"/>
                    <w:rPr>
                      <w:sz w:val="22"/>
                      <w:szCs w:val="22"/>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3</m:t>
                      </m:r>
                    </m:oMath>
                  </m:oMathPara>
                </w:p>
              </w:tc>
              <w:tc>
                <w:tcPr>
                  <w:tcW w:w="5555" w:type="dxa"/>
                  <w:tcBorders/>
                  <w:shd w:color="auto" w:fill="auto" w:val="clear"/>
                </w:tcPr>
                <w:p>
                  <w:pPr>
                    <w:pStyle w:val="Style28"/>
                    <w:widowControl w:val="false"/>
                    <w:spacing w:before="120" w:after="0"/>
                    <w:ind w:left="57" w:right="1134" w:hanging="0"/>
                    <w:jc w:val="left"/>
                    <w:rPr>
                      <w:sz w:val="22"/>
                      <w:szCs w:val="22"/>
                    </w:rPr>
                  </w:pPr>
                  <w:r>
                    <w:rPr>
                      <w:rFonts w:eastAsia="Calibri"/>
                      <w:sz w:val="22"/>
                      <w:szCs w:val="22"/>
                      <w:lang w:eastAsia="en-US"/>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trPr/>
              <w:tc>
                <w:tcPr>
                  <w:tcW w:w="849" w:type="dxa"/>
                  <w:tcBorders/>
                  <w:shd w:color="auto" w:fill="auto" w:val="clear"/>
                </w:tcPr>
                <w:p>
                  <w:pPr>
                    <w:pStyle w:val="Style28"/>
                    <w:widowControl w:val="false"/>
                    <w:spacing w:before="120" w:after="0"/>
                    <w:jc w:val="center"/>
                    <w:rPr>
                      <w:sz w:val="22"/>
                      <w:szCs w:val="22"/>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5</m:t>
                      </m:r>
                    </m:oMath>
                  </m:oMathPara>
                </w:p>
              </w:tc>
              <w:tc>
                <w:tcPr>
                  <w:tcW w:w="5555" w:type="dxa"/>
                  <w:tcBorders/>
                  <w:shd w:color="auto" w:fill="auto" w:val="clear"/>
                </w:tcPr>
                <w:p>
                  <w:pPr>
                    <w:pStyle w:val="Style28"/>
                    <w:widowControl w:val="false"/>
                    <w:spacing w:before="120" w:after="0"/>
                    <w:ind w:left="57" w:right="1077" w:hanging="0"/>
                    <w:jc w:val="left"/>
                    <w:rPr>
                      <w:sz w:val="22"/>
                      <w:szCs w:val="22"/>
                    </w:rPr>
                  </w:pPr>
                  <w:r>
                    <w:rPr>
                      <w:rFonts w:eastAsia="Calibri"/>
                      <w:sz w:val="22"/>
                      <w:szCs w:val="22"/>
                      <w:lang w:eastAsia="en-US"/>
                    </w:rPr>
                    <w:t>результат оценки финансового состояния (устойчивости): более 0,90 баллов – Удовлетворительное финансовое состояние,</w:t>
                  </w:r>
                </w:p>
              </w:tc>
            </w:tr>
          </w:tbl>
          <w:p>
            <w:pPr>
              <w:pStyle w:val="Style28"/>
              <w:widowControl w:val="false"/>
              <w:jc w:val="left"/>
              <w:rPr>
                <w:sz w:val="22"/>
                <w:szCs w:val="22"/>
              </w:rPr>
            </w:pPr>
            <w:r>
              <w:rPr>
                <w:rFonts w:eastAsia="Calibri"/>
                <w:sz w:val="22"/>
                <w:szCs w:val="22"/>
                <w:lang w:eastAsia="en-US"/>
              </w:rPr>
              <w:t>где:</w:t>
            </w:r>
          </w:p>
          <w:p>
            <w:pPr>
              <w:pStyle w:val="Style28"/>
              <w:widowControl w:val="false"/>
              <w:jc w:val="left"/>
              <w:rPr>
                <w:sz w:val="22"/>
                <w:szCs w:val="22"/>
              </w:rPr>
            </w:pPr>
            <w:r>
              <w:rPr/>
            </w:r>
            <m:oMath xmlns:m="http://schemas.openxmlformats.org/officeDocument/2006/math">
              <m:sSub>
                <m:e>
                  <m:r>
                    <w:rPr>
                      <w:rFonts w:ascii="Cambria Math" w:hAnsi="Cambria Math"/>
                    </w:rPr>
                    <m:t xml:space="preserve">Б</m:t>
                  </m:r>
                </m:e>
                <m:sub>
                  <m:r>
                    <w:rPr>
                      <w:rFonts w:ascii="Cambria Math" w:hAnsi="Cambria Math"/>
                    </w:rPr>
                    <m:t xml:space="preserve">i</m:t>
                  </m:r>
                </m:sub>
              </m:sSub>
            </m:oMath>
            <w:r>
              <w:rPr>
                <w:rFonts w:eastAsia="Calibri"/>
                <w:sz w:val="22"/>
                <w:szCs w:val="22"/>
                <w:lang w:eastAsia="en-US"/>
              </w:rPr>
              <w:t xml:space="preserve"> – </w:t>
            </w:r>
            <w:r>
              <w:rPr>
                <w:rFonts w:eastAsia="Calibri"/>
                <w:sz w:val="22"/>
                <w:szCs w:val="22"/>
                <w:lang w:eastAsia="en-US"/>
              </w:rPr>
              <w:t>рассчитанная оценка предпочтительности по частному критерию оценки в баллах.</w:t>
            </w:r>
          </w:p>
          <w:p>
            <w:pPr>
              <w:pStyle w:val="Style28"/>
              <w:widowControl w:val="false"/>
              <w:jc w:val="left"/>
              <w:rPr>
                <w:sz w:val="22"/>
                <w:szCs w:val="22"/>
              </w:rPr>
            </w:pPr>
            <w:r>
              <w:rPr>
                <w:rFonts w:eastAsia="Calibri"/>
                <w:sz w:val="22"/>
                <w:szCs w:val="22"/>
                <w:lang w:eastAsia="en-US"/>
              </w:rPr>
              <w:t>Шкала оценок от 0 до 5 баллов.</w:t>
            </w:r>
          </w:p>
          <w:p>
            <w:pPr>
              <w:pStyle w:val="Style28"/>
              <w:widowControl w:val="false"/>
              <w:jc w:val="left"/>
              <w:rPr>
                <w:sz w:val="22"/>
                <w:szCs w:val="22"/>
              </w:rPr>
            </w:pPr>
            <w:r>
              <w:rPr>
                <w:rFonts w:eastAsia="Calibri"/>
                <w:sz w:val="22"/>
                <w:szCs w:val="22"/>
                <w:lang w:eastAsia="en-US"/>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Style28"/>
              <w:widowControl w:val="false"/>
              <w:jc w:val="left"/>
              <w:rPr/>
            </w:pPr>
            <w:r>
              <w:rPr>
                <w:rFonts w:eastAsia="Calibri"/>
                <w:sz w:val="22"/>
                <w:szCs w:val="22"/>
                <w:lang w:eastAsia="en-US"/>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4) (</w:t>
            </w:r>
            <w:hyperlink w:anchor="Прил04_ФормыЗаявки">
              <w:r>
                <w:rPr>
                  <w:rStyle w:val="Hyperlink"/>
                  <w:rFonts w:eastAsia="Calibri"/>
                  <w:sz w:val="22"/>
                  <w:szCs w:val="22"/>
                  <w:lang w:eastAsia="en-US"/>
                </w:rPr>
                <w:t>Приложение № 4</w:t>
              </w:r>
            </w:hyperlink>
            <w:r>
              <w:rPr>
                <w:rFonts w:eastAsia="Calibri"/>
                <w:sz w:val="22"/>
                <w:szCs w:val="22"/>
                <w:lang w:eastAsia="en-US"/>
              </w:rPr>
              <w:t>), представленному в заявке такого Коллективного участника на участие в закупке.)</w:t>
            </w:r>
          </w:p>
        </w:tc>
      </w:tr>
      <w:tr>
        <w:trPr/>
        <w:tc>
          <w:tcPr>
            <w:tcW w:w="5821" w:type="dxa"/>
            <w:gridSpan w:val="4"/>
            <w:tcBorders>
              <w:top w:val="single" w:sz="4" w:space="0" w:color="000001"/>
              <w:left w:val="single" w:sz="4" w:space="0" w:color="000001"/>
              <w:bottom w:val="single" w:sz="4" w:space="0" w:color="000001"/>
            </w:tcBorders>
            <w:shd w:color="auto" w:fill="auto" w:val="clear"/>
          </w:tcPr>
          <w:p>
            <w:pPr>
              <w:pStyle w:val="Style28"/>
              <w:widowControl w:val="false"/>
              <w:spacing w:before="120" w:after="0"/>
              <w:jc w:val="left"/>
              <w:rPr>
                <w:sz w:val="22"/>
                <w:szCs w:val="22"/>
              </w:rPr>
            </w:pPr>
            <w:r>
              <w:rPr>
                <w:rFonts w:eastAsia="Calibri"/>
                <w:sz w:val="22"/>
                <w:szCs w:val="22"/>
                <w:lang w:eastAsia="en-US"/>
              </w:rPr>
              <w:t>Итоговая оценка предпочтительности заявки:</w:t>
            </w:r>
          </w:p>
        </w:tc>
        <w:tc>
          <w:tcPr>
            <w:tcW w:w="9314" w:type="dxa"/>
            <w:gridSpan w:val="3"/>
            <w:tcBorders>
              <w:top w:val="single" w:sz="4" w:space="0" w:color="000001"/>
              <w:left w:val="single" w:sz="4" w:space="0" w:color="000001"/>
              <w:bottom w:val="single" w:sz="4" w:space="0" w:color="000001"/>
              <w:right w:val="single" w:sz="4" w:space="0" w:color="000001"/>
            </w:tcBorders>
            <w:shd w:color="auto" w:fill="auto" w:val="clear"/>
          </w:tcPr>
          <w:p>
            <w:pPr>
              <w:pStyle w:val="Style28"/>
              <w:widowControl w:val="false"/>
              <w:spacing w:before="120" w:after="0"/>
              <w:jc w:val="left"/>
              <w:rPr>
                <w:sz w:val="22"/>
                <w:szCs w:val="22"/>
              </w:rPr>
            </w:pPr>
            <w:r>
              <w:rPr>
                <w:rFonts w:eastAsia="Calibri"/>
                <w:sz w:val="22"/>
                <w:szCs w:val="22"/>
                <w:lang w:eastAsia="en-US"/>
              </w:rPr>
              <w:t xml:space="preserve">Расчет итоговой оценки предпочтительности </w:t>
            </w:r>
            <w:r>
              <w:rPr/>
            </w:r>
            <m:oMath xmlns:m="http://schemas.openxmlformats.org/officeDocument/2006/math">
              <m:r>
                <w:rPr>
                  <w:rFonts w:ascii="Cambria Math" w:hAnsi="Cambria Math"/>
                </w:rPr>
                <m:t xml:space="preserve">i</m:t>
              </m:r>
            </m:oMath>
            <w:r>
              <w:rPr>
                <w:rFonts w:eastAsia="Calibri"/>
                <w:sz w:val="22"/>
                <w:szCs w:val="22"/>
                <w:lang w:eastAsia="en-US"/>
              </w:rPr>
              <w:t>-ой заявки:</w:t>
            </w:r>
          </w:p>
          <w:p>
            <w:pPr>
              <w:pStyle w:val="Style28"/>
              <w:widowControl w:val="false"/>
              <w:jc w:val="center"/>
              <w:rPr>
                <w:sz w:val="22"/>
                <w:szCs w:val="22"/>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r>
                  <w:rPr>
                    <w:rFonts w:ascii="Cambria Math" w:hAnsi="Cambria Math"/>
                  </w:rPr>
                  <m:t xml:space="preserve">∑</m:t>
                </m:r>
                <m:d>
                  <m:dPr>
                    <m:begChr m:val="("/>
                    <m:endChr m:val=")"/>
                  </m:dPr>
                  <m:e>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r>
                      <w:rPr>
                        <w:rFonts w:ascii="Cambria Math" w:hAnsi="Cambria Math"/>
                      </w:rPr>
                      <m:t xml:space="preserve">×</m:t>
                    </m:r>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e>
                </m:d>
                <m:r>
                  <w:rPr>
                    <w:rFonts w:ascii="Cambria Math" w:hAnsi="Cambria Math"/>
                  </w:rPr>
                  <m:t xml:space="preserve">,</m:t>
                </m:r>
              </m:oMath>
            </m:oMathPara>
          </w:p>
          <w:p>
            <w:pPr>
              <w:pStyle w:val="Style28"/>
              <w:widowControl w:val="false"/>
              <w:jc w:val="left"/>
              <w:rPr>
                <w:sz w:val="22"/>
                <w:szCs w:val="22"/>
              </w:rPr>
            </w:pPr>
            <w:r>
              <w:rPr>
                <w:rFonts w:eastAsia="Calibri"/>
                <w:sz w:val="22"/>
                <w:szCs w:val="22"/>
                <w:lang w:eastAsia="en-US"/>
              </w:rPr>
              <w:t>где:</w:t>
            </w:r>
          </w:p>
          <w:p>
            <w:pPr>
              <w:pStyle w:val="Style28"/>
              <w:widowControl w:val="false"/>
              <w:jc w:val="left"/>
              <w:rPr>
                <w:sz w:val="22"/>
                <w:szCs w:val="22"/>
              </w:rPr>
            </w:pPr>
            <w:r>
              <w:rPr/>
            </w:r>
            <m:oMath xmlns:m="http://schemas.openxmlformats.org/officeDocument/2006/math">
              <m:sSub>
                <m:e>
                  <m:r>
                    <w:rPr>
                      <w:rFonts w:ascii="Cambria Math" w:hAnsi="Cambria Math"/>
                    </w:rPr>
                    <m:t xml:space="preserve">Б</m:t>
                  </m:r>
                </m:e>
                <m:sub>
                  <m:r>
                    <w:rPr>
                      <w:rFonts w:ascii="Cambria Math" w:hAnsi="Cambria Math"/>
                    </w:rPr>
                    <m:t xml:space="preserve">ИТОГ</m:t>
                  </m:r>
                </m:sub>
              </m:sSub>
            </m:oMath>
            <w:r>
              <w:rPr>
                <w:rFonts w:eastAsia="Calibri"/>
                <w:sz w:val="22"/>
                <w:szCs w:val="22"/>
                <w:lang w:eastAsia="en-US"/>
              </w:rPr>
              <w:t xml:space="preserve"> – </w:t>
            </w:r>
            <w:r>
              <w:rPr>
                <w:rFonts w:eastAsia="Calibri"/>
                <w:sz w:val="22"/>
                <w:szCs w:val="22"/>
                <w:lang w:eastAsia="en-US"/>
              </w:rPr>
              <w:t>рассчитанная итоговая оценка предпочтительности в баллах;</w:t>
            </w:r>
          </w:p>
          <w:p>
            <w:pPr>
              <w:pStyle w:val="Style28"/>
              <w:widowControl w:val="false"/>
              <w:jc w:val="left"/>
              <w:rPr>
                <w:sz w:val="22"/>
                <w:szCs w:val="22"/>
              </w:rPr>
            </w:pPr>
            <w:r>
              <w:rPr/>
            </w:r>
            <m:oMath xmlns:m="http://schemas.openxmlformats.org/officeDocument/2006/math">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sz w:val="22"/>
                <w:szCs w:val="22"/>
                <w:lang w:eastAsia="en-US"/>
              </w:rPr>
              <w:t xml:space="preserve"> – </w:t>
            </w:r>
            <w:r>
              <w:rPr>
                <w:rFonts w:eastAsia="Calibri"/>
                <w:sz w:val="22"/>
                <w:szCs w:val="22"/>
                <w:lang w:eastAsia="en-US"/>
              </w:rPr>
              <w:t xml:space="preserve">оценка предпочтительности по </w:t>
            </w:r>
            <w:r>
              <w:rPr/>
            </w:r>
            <m:oMath xmlns:m="http://schemas.openxmlformats.org/officeDocument/2006/math">
              <m:r>
                <w:rPr>
                  <w:rFonts w:ascii="Cambria Math" w:hAnsi="Cambria Math"/>
                </w:rPr>
                <m:t xml:space="preserve">k</m:t>
              </m:r>
            </m:oMath>
            <w:r>
              <w:rPr>
                <w:rFonts w:eastAsia="Calibri"/>
                <w:sz w:val="22"/>
                <w:szCs w:val="22"/>
                <w:lang w:eastAsia="en-US"/>
              </w:rPr>
              <w:t>-тому критерию оценки первого уровня в баллах;</w:t>
            </w:r>
          </w:p>
          <w:p>
            <w:pPr>
              <w:pStyle w:val="Style28"/>
              <w:widowControl w:val="false"/>
              <w:jc w:val="left"/>
              <w:rPr>
                <w:sz w:val="22"/>
                <w:szCs w:val="22"/>
              </w:rPr>
            </w:pPr>
            <w:r>
              <w:rPr/>
            </w:r>
            <m:oMath xmlns:m="http://schemas.openxmlformats.org/officeDocument/2006/math">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sz w:val="22"/>
                <w:szCs w:val="22"/>
                <w:lang w:eastAsia="en-US"/>
              </w:rPr>
              <w:t xml:space="preserve"> – </w:t>
            </w:r>
            <w:r>
              <w:rPr>
                <w:rFonts w:eastAsia="Calibri"/>
                <w:sz w:val="22"/>
                <w:szCs w:val="22"/>
                <w:lang w:eastAsia="en-US"/>
              </w:rPr>
              <w:t xml:space="preserve">значимость </w:t>
            </w:r>
            <w:r>
              <w:rPr/>
            </w:r>
            <m:oMath xmlns:m="http://schemas.openxmlformats.org/officeDocument/2006/math">
              <m:r>
                <w:rPr>
                  <w:rFonts w:ascii="Cambria Math" w:hAnsi="Cambria Math"/>
                </w:rPr>
                <m:t xml:space="preserve">k</m:t>
              </m:r>
            </m:oMath>
            <w:r>
              <w:rPr>
                <w:rFonts w:eastAsia="Calibri"/>
                <w:sz w:val="22"/>
                <w:szCs w:val="22"/>
                <w:lang w:eastAsia="en-US"/>
              </w:rPr>
              <w:t xml:space="preserve">-ого критерия оценки первого уровня, выраженная в диапазоне от 1% до 100% (или от 0,01 до 1,00) – вес </w:t>
            </w:r>
            <w:r>
              <w:rPr/>
            </w:r>
            <m:oMath xmlns:m="http://schemas.openxmlformats.org/officeDocument/2006/math">
              <m:r>
                <w:rPr>
                  <w:rFonts w:ascii="Cambria Math" w:hAnsi="Cambria Math"/>
                </w:rPr>
                <m:t xml:space="preserve">k</m:t>
              </m:r>
            </m:oMath>
            <w:r>
              <w:rPr>
                <w:rFonts w:eastAsia="Calibri"/>
                <w:sz w:val="22"/>
                <w:szCs w:val="22"/>
                <w:lang w:eastAsia="en-US"/>
              </w:rPr>
              <w:t>-ого критерия оценки первого уровня.</w:t>
            </w:r>
          </w:p>
          <w:p>
            <w:pPr>
              <w:pStyle w:val="Style28"/>
              <w:widowControl w:val="false"/>
              <w:jc w:val="left"/>
              <w:rPr>
                <w:sz w:val="22"/>
                <w:szCs w:val="22"/>
              </w:rPr>
            </w:pPr>
            <w:r>
              <w:rPr>
                <w:rFonts w:eastAsia="Calibri"/>
                <w:i/>
                <w:iCs/>
                <w:sz w:val="22"/>
                <w:szCs w:val="22"/>
                <w:lang w:eastAsia="en-US"/>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4"/>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4"/>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14</w:t>
      </w:r>
      <w:r>
        <w:rPr/>
        <w:fldChar w:fldCharType="end"/>
      </w:r>
      <w:r>
        <w:rPr/>
        <w:t>.</w:t>
      </w:r>
    </w:p>
    <w:p>
      <w:pPr>
        <w:sectPr>
          <w:headerReference w:type="default" r:id="rId32"/>
          <w:headerReference w:type="first" r:id="rId33"/>
          <w:footerReference w:type="default" r:id="rId34"/>
          <w:footerReference w:type="first" r:id="rId35"/>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4"/>
        <w:rPr/>
      </w:pPr>
      <w:r>
        <w:rPr/>
        <w:t>Заявки участников (из числа успешно прошедших отборочную стадию рассмотрения вторых частей заявок и ценовых предложений) ранжируются по количеству набранных баллов (от наибольшего к наименьшему), присвоенных заявкам по результатам оценки.</w:t>
      </w:r>
    </w:p>
    <w:p>
      <w:pPr>
        <w:pStyle w:val="Style22"/>
        <w:rPr/>
      </w:pPr>
      <w:bookmarkStart w:id="390" w:name="_Toc228877733"/>
      <w:bookmarkStart w:id="391" w:name="_Ref125360420"/>
      <w:bookmarkStart w:id="392" w:name="Прил09_ОбоснованиеНМЦ"/>
      <w:bookmarkEnd w:id="392"/>
      <w:r>
        <w:rPr/>
        <w:t>Приложение № 9 – Обоснование НМЦ</w:t>
      </w:r>
      <w:bookmarkEnd w:id="390"/>
      <w:bookmarkEnd w:id="391"/>
    </w:p>
    <w:p>
      <w:pPr>
        <w:pStyle w:val="Style23"/>
        <w:rPr/>
      </w:pPr>
      <w:bookmarkStart w:id="393" w:name="_Toc228877734"/>
      <w:r>
        <w:rPr/>
        <w:t>Пояснения к Обоснованию НМЦ</w:t>
      </w:r>
      <w:bookmarkEnd w:id="393"/>
    </w:p>
    <w:p>
      <w:pPr>
        <w:pStyle w:val="Style24"/>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2"/>
        <w:rPr/>
      </w:pPr>
      <w:bookmarkStart w:id="394" w:name="_Toc228877735"/>
      <w:bookmarkStart w:id="395" w:name="Прил10_ФормаЗаявкиНаАккредитацию"/>
      <w:bookmarkEnd w:id="395"/>
      <w:r>
        <w:rPr/>
        <w:t>Приложение № 10 – Форма Заявки на аккредитацию</w:t>
      </w:r>
      <w:bookmarkEnd w:id="394"/>
    </w:p>
    <w:p>
      <w:pPr>
        <w:pStyle w:val="Style23"/>
        <w:rPr/>
      </w:pPr>
      <w:bookmarkStart w:id="396" w:name="_Toc228877736"/>
      <w:r>
        <w:rPr/>
        <w:t>Пояснения к форме Заявки на аккредитацию</w:t>
      </w:r>
      <w:bookmarkEnd w:id="396"/>
    </w:p>
    <w:p>
      <w:pPr>
        <w:pStyle w:val="Style24"/>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4"/>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397"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397"/>
      <w:r>
        <w:rPr/>
        <w:t>.</w:t>
      </w:r>
    </w:p>
    <w:p>
      <w:pPr>
        <w:pStyle w:val="Style28"/>
        <w:jc w:val="center"/>
        <w:rPr/>
      </w:pPr>
      <w:r>
        <w:rPr/>
        <w:object>
          <v:shapetype id="_x0000_tole_rId36" coordsize="21600,21600" o:spt="ole_rId36"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6" type="_x0000_tole_rId36" style="width:75.65pt;height:52.05pt;mso-wrap-distance-right:0pt" filled="f" o:ole="">
            <v:imagedata r:id="rId37" o:title=""/>
          </v:shape>
          <o:OLEObject Type="Embed" ProgID="Excel.Sheet.12" ShapeID="ole_rId36" DrawAspect="Icon" ObjectID="_306820375" r:id="rId36"/>
        </w:object>
      </w:r>
    </w:p>
    <w:p>
      <w:pPr>
        <w:pStyle w:val="Style22"/>
        <w:rPr/>
      </w:pPr>
      <w:bookmarkStart w:id="398" w:name="_Toc228877737"/>
      <w:bookmarkStart w:id="399" w:name="Прил11_Данные_бухотчетность"/>
      <w:r>
        <w:rPr/>
        <w:t xml:space="preserve">Приложение № 11 </w:t>
      </w:r>
      <w:bookmarkEnd w:id="399"/>
      <w:r>
        <w:rPr/>
        <w:t>– форма Данных бухгалтерской (финансовой) отчетности</w:t>
      </w:r>
      <w:bookmarkEnd w:id="398"/>
    </w:p>
    <w:p>
      <w:pPr>
        <w:pStyle w:val="Style23"/>
        <w:rPr/>
      </w:pPr>
      <w:bookmarkStart w:id="400" w:name="_Toc228877738"/>
      <w:r>
        <w:rPr/>
        <w:t>Пояснения к форме Данных бухгалтерской (финансовой) отчетности</w:t>
      </w:r>
      <w:bookmarkEnd w:id="400"/>
      <w:r>
        <w:rPr/>
        <w:t xml:space="preserve"> </w:t>
      </w:r>
    </w:p>
    <w:p>
      <w:pPr>
        <w:pStyle w:val="Style24"/>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01" w:name="_MON_1821256687"/>
      <w:bookmarkStart w:id="402" w:name="_MON_1821256687"/>
      <w:bookmarkEnd w:id="402"/>
    </w:p>
    <w:p>
      <w:pPr>
        <w:pStyle w:val="Normal"/>
        <w:jc w:val="center"/>
        <w:rPr/>
      </w:pPr>
      <w:bookmarkStart w:id="403" w:name="_Hlk210644436"/>
      <w:bookmarkStart w:id="404" w:name="_MON_1821256687_Копия_1"/>
      <w:bookmarkEnd w:id="404"/>
      <w:r>
        <w:rPr/>
        <w:object>
          <v:shapetype id="_x0000_tole_rId38" coordsize="21600,21600" o:spt="ole_rId38"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8" type="_x0000_tole_rId38" style="width:76.85pt;height:50.2pt;mso-wrap-distance-right:0pt" filled="f" o:ole="">
            <v:imagedata r:id="rId39" o:title=""/>
          </v:shape>
          <o:OLEObject Type="Embed" ProgID="Word.Document.12" ShapeID="ole_rId38" DrawAspect="Icon" ObjectID="_1994134820" r:id="rId38"/>
        </w:object>
      </w:r>
      <w:bookmarkEnd w:id="403"/>
    </w:p>
    <w:p>
      <w:pPr>
        <w:pStyle w:val="Normal"/>
        <w:jc w:val="center"/>
        <w:rPr/>
      </w:pPr>
      <w:r>
        <w:rPr/>
      </w:r>
    </w:p>
    <w:sectPr>
      <w:headerReference w:type="default" r:id="rId40"/>
      <w:headerReference w:type="first" r:id="rId41"/>
      <w:footerReference w:type="default" r:id="rId42"/>
      <w:footerReference w:type="first" r:id="rId43"/>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29666888"/>
    </w:sdtPr>
    <w:sdtContent>
      <w:p>
        <w:pPr>
          <w:pStyle w:val="Footer"/>
          <w:spacing w:before="120" w:after="0"/>
          <w:rPr/>
        </w:pPr>
        <w:r>
          <w:rPr/>
          <w:fldChar w:fldCharType="begin"/>
        </w:r>
        <w:r>
          <w:rPr/>
          <w:instrText xml:space="preserve"> PAGE </w:instrText>
        </w:r>
        <w:r>
          <w:rPr/>
          <w:fldChar w:fldCharType="separate"/>
        </w:r>
        <w:r>
          <w:rPr/>
          <w:t>14</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55676312"/>
    </w:sdtPr>
    <w:sdtContent>
      <w:p>
        <w:pPr>
          <w:pStyle w:val="Footer"/>
          <w:spacing w:before="120" w:after="0"/>
          <w:rPr/>
        </w:pPr>
        <w:r>
          <w:rPr/>
          <w:fldChar w:fldCharType="begin"/>
        </w:r>
        <w:r>
          <w:rPr/>
          <w:instrText xml:space="preserve"> PAGE </w:instrText>
        </w:r>
        <w:r>
          <w:rPr/>
          <w:fldChar w:fldCharType="separate"/>
        </w:r>
        <w:r>
          <w:rPr/>
          <w:t>77</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11795767"/>
    </w:sdtPr>
    <w:sdtContent>
      <w:p>
        <w:pPr>
          <w:pStyle w:val="Footer"/>
          <w:spacing w:before="120" w:after="0"/>
          <w:rPr/>
        </w:pPr>
        <w:r>
          <w:rPr/>
          <w:fldChar w:fldCharType="begin"/>
        </w:r>
        <w:r>
          <w:rPr/>
          <w:instrText xml:space="preserve"> PAGE </w:instrText>
        </w:r>
        <w:r>
          <w:rPr/>
          <w:fldChar w:fldCharType="separate"/>
        </w:r>
        <w:r>
          <w:rPr/>
          <w:t>80</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70852426"/>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15290140"/>
    </w:sdtPr>
    <w:sdtContent>
      <w:p>
        <w:pPr>
          <w:pStyle w:val="Footer"/>
          <w:spacing w:before="120" w:after="0"/>
          <w:rPr/>
        </w:pPr>
        <w:r>
          <w:rPr/>
          <w:fldChar w:fldCharType="begin"/>
        </w:r>
        <w:r>
          <w:rPr/>
          <w:instrText xml:space="preserve"> PAGE </w:instrText>
        </w:r>
        <w:r>
          <w:rPr/>
          <w:fldChar w:fldCharType="separate"/>
        </w:r>
        <w:r>
          <w:rPr/>
          <w:t>50</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38606469"/>
    </w:sdtPr>
    <w:sdtContent>
      <w:p>
        <w:pPr>
          <w:pStyle w:val="Footer"/>
          <w:spacing w:before="120" w:after="0"/>
          <w:rPr/>
        </w:pPr>
        <w:r>
          <w:rPr/>
          <w:fldChar w:fldCharType="begin"/>
        </w:r>
        <w:r>
          <w:rPr/>
          <w:instrText xml:space="preserve"> PAGE </w:instrText>
        </w:r>
        <w:r>
          <w:rPr/>
          <w:fldChar w:fldCharType="separate"/>
        </w:r>
        <w:r>
          <w:rPr/>
          <w:t>56</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77799190"/>
    </w:sdtPr>
    <w:sdtContent>
      <w:p>
        <w:pPr>
          <w:pStyle w:val="Footer"/>
          <w:spacing w:before="120" w:after="0"/>
          <w:rPr/>
        </w:pPr>
        <w:r>
          <w:rPr/>
          <w:fldChar w:fldCharType="begin"/>
        </w:r>
        <w:r>
          <w:rPr/>
          <w:instrText xml:space="preserve"> PAGE </w:instrText>
        </w:r>
        <w:r>
          <w:rPr/>
          <w:fldChar w:fldCharType="separate"/>
        </w:r>
        <w:r>
          <w:rPr/>
          <w:t>62</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spacing w:before="80" w:after="0"/>
        <w:ind w:left="567" w:hanging="567"/>
        <w:jc w:val="both"/>
        <w:rPr/>
      </w:pPr>
      <w:r>
        <w:rPr>
          <w:rStyle w:val="Style10"/>
        </w:rPr>
        <w:footnoteRef/>
      </w:r>
      <w:r>
        <w:rPr/>
        <w:tab/>
        <w:t>Определенные в соответствии с Законом 422-ФЗ.</w:t>
      </w:r>
    </w:p>
  </w:footnote>
  <w:footnote w:id="3">
    <w:p>
      <w:pPr>
        <w:pStyle w:val="Style30"/>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13</w:t>
      </w:r>
      <w:r>
        <w:rPr/>
        <w:fldChar w:fldCharType="end"/>
      </w:r>
      <w:r>
        <w:rPr/>
        <w:t>), не допускается.</w:t>
      </w:r>
    </w:p>
  </w:footnote>
  <w:footnote w:id="4">
    <w:p>
      <w:pPr>
        <w:pStyle w:val="Style30"/>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0"/>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13</w:t>
      </w:r>
      <w:r>
        <w:rPr/>
        <w:fldChar w:fldCharType="end"/>
      </w:r>
      <w:r>
        <w:rPr/>
        <w:t>), не допускается.</w:t>
      </w:r>
    </w:p>
  </w:footnote>
  <w:footnote w:id="6">
    <w:p>
      <w:pPr>
        <w:pStyle w:val="Style30"/>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7">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8">
    <w:p>
      <w:pPr>
        <w:pStyle w:val="Style30"/>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pPr>
        <w:pStyle w:val="Style30"/>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0">
    <w:p>
      <w:pPr>
        <w:pStyle w:val="Style30"/>
        <w:spacing w:before="80" w:after="0"/>
        <w:ind w:left="567" w:hanging="567"/>
        <w:jc w:val="both"/>
        <w:rPr/>
      </w:pPr>
      <w:r>
        <w:rPr>
          <w:rStyle w:val="Style10"/>
        </w:rPr>
        <w:footnoteRef/>
      </w:r>
      <w:r>
        <w:rPr/>
        <w:tab/>
        <w:t>https://minfin.gov.ru/ru/perfomance/tax_relations/policy/bankwarranty/</w:t>
      </w:r>
    </w:p>
  </w:footnote>
  <w:footnote w:id="11">
    <w:p>
      <w:pPr>
        <w:pStyle w:val="Style30"/>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2">
    <w:p>
      <w:pPr>
        <w:pStyle w:val="Style30"/>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3">
    <w:p>
      <w:pPr>
        <w:pStyle w:val="ListParagraph"/>
        <w:widowControl w:val="false"/>
        <w:tabs>
          <w:tab w:val="clear" w:pos="708"/>
          <w:tab w:val="left" w:pos="284" w:leader="none"/>
        </w:tabs>
        <w:spacing w:before="20" w:after="20"/>
        <w:ind w:left="142" w:hanging="142"/>
        <w:contextualSpacing w:val="false"/>
        <w:jc w:val="both"/>
        <w:rPr>
          <w:rStyle w:val="Style18"/>
          <w:b w:val="false"/>
          <w:sz w:val="20"/>
          <w:szCs w:val="20"/>
        </w:rPr>
      </w:pPr>
      <w:r>
        <w:rPr>
          <w:rStyle w:val="Style10"/>
        </w:rPr>
        <w:footnoteRef/>
      </w:r>
      <w:r>
        <w:rPr>
          <w:rFonts w:eastAsia="Times New Roman"/>
          <w:sz w:val="20"/>
          <w:szCs w:val="20"/>
          <w:vertAlign w:val="superscript"/>
        </w:rPr>
        <w:tab/>
        <w:t xml:space="preserve">. </w:t>
      </w:r>
      <w:r>
        <w:rPr>
          <w:rFonts w:eastAsia="Times New Roman"/>
          <w:sz w:val="20"/>
          <w:szCs w:val="20"/>
        </w:rPr>
        <w:t>Не требуется членство в СРО в области инженерных изысканий Участникам закупки, перечисленным в ч. 2.1 ст. 47 ГрК РФ;</w:t>
      </w:r>
    </w:p>
  </w:footnote>
  <w:footnote w:id="14">
    <w:p>
      <w:pPr>
        <w:pStyle w:val="ListParagraph"/>
        <w:widowControl w:val="false"/>
        <w:tabs>
          <w:tab w:val="clear" w:pos="708"/>
          <w:tab w:val="left" w:pos="142" w:leader="none"/>
        </w:tabs>
        <w:spacing w:before="20" w:after="20"/>
        <w:ind w:left="142" w:hanging="142"/>
        <w:contextualSpacing w:val="false"/>
        <w:jc w:val="both"/>
        <w:rPr>
          <w:sz w:val="16"/>
          <w:szCs w:val="16"/>
        </w:rPr>
      </w:pPr>
      <w:r>
        <w:rPr>
          <w:rStyle w:val="Style10"/>
        </w:rPr>
        <w:footnoteRef/>
      </w:r>
      <w:r>
        <w:rPr>
          <w:rFonts w:eastAsia="Times New Roman"/>
          <w:sz w:val="20"/>
          <w:szCs w:val="20"/>
          <w:vertAlign w:val="superscript"/>
        </w:rPr>
        <w:tab/>
        <w:t>.</w:t>
      </w:r>
      <w:r>
        <w:rPr>
          <w:rFonts w:eastAsia="Times New Roman"/>
          <w:sz w:val="20"/>
          <w:szCs w:val="20"/>
        </w:rPr>
        <w:t xml:space="preserve"> Не требуется членство в СРО в области архитектурно-строительного проектирования Участникам закупки, перечисленным в ч. 4.1 ст. 48 ГрК РФ.</w:t>
      </w:r>
    </w:p>
  </w:footnote>
  <w:footnote w:id="15">
    <w:p>
      <w:pPr>
        <w:pStyle w:val="FootnoteText"/>
        <w:widowControl w:val="false"/>
        <w:rPr/>
      </w:pPr>
      <w:r>
        <w:rPr>
          <w:rStyle w:val="Style10"/>
        </w:rPr>
        <w:footnoteRef/>
      </w:r>
      <w:r>
        <w:rPr>
          <w:rStyle w:val="Style10"/>
        </w:rPr>
        <w:tab/>
      </w:r>
      <w:r>
        <w:rPr/>
        <w:t xml:space="preserve"> 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2"/>
      <w:numFmt w:val="none"/>
      <w:suff w:val="nothing"/>
      <w:lvlText w:val="%1."/>
      <w:lvlJc w:val="left"/>
      <w:pPr>
        <w:tabs>
          <w:tab w:val="num" w:pos="0"/>
        </w:tabs>
        <w:ind w:left="1134" w:hanging="1134"/>
      </w:pPr>
      <w:rPr/>
    </w:lvl>
    <w:lvl w:ilvl="1">
      <w:start w:val="1"/>
      <w:pStyle w:val="Style23"/>
      <w:numFmt w:val="decimal"/>
      <w:lvlText w:val="%1.%2"/>
      <w:lvlJc w:val="left"/>
      <w:pPr>
        <w:tabs>
          <w:tab w:val="num" w:pos="1134"/>
        </w:tabs>
        <w:ind w:left="1134" w:hanging="1134"/>
      </w:pPr>
      <w:rPr/>
    </w:lvl>
    <w:lvl w:ilvl="2">
      <w:start w:val="1"/>
      <w:pStyle w:val="Style24"/>
      <w:numFmt w:val="decimal"/>
      <w:lvlText w:val="%1.%2.%3"/>
      <w:lvlJc w:val="left"/>
      <w:pPr>
        <w:tabs>
          <w:tab w:val="num" w:pos="1134"/>
        </w:tabs>
        <w:ind w:left="1134" w:hanging="1134"/>
      </w:pPr>
      <w:rPr/>
    </w:lvl>
    <w:lvl w:ilvl="3">
      <w:start w:val="1"/>
      <w:pStyle w:val="Style25"/>
      <w:numFmt w:val="russianLower"/>
      <w:lvlText w:val="%4)"/>
      <w:lvlJc w:val="left"/>
      <w:pPr>
        <w:tabs>
          <w:tab w:val="num" w:pos="1701"/>
        </w:tabs>
        <w:ind w:left="1701" w:hanging="567"/>
      </w:pPr>
      <w:rPr/>
    </w:lvl>
    <w:lvl w:ilvl="4">
      <w:start w:val="1"/>
      <w:pStyle w:val="-2"/>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7">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08"/>
        <w:tab w:val="left" w:pos="1134" w:leader="none"/>
      </w:tabs>
      <w:suppressAutoHyphens w:val="true"/>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08"/>
        <w:tab w:val="left" w:pos="2694" w:leader="none"/>
      </w:tabs>
      <w:suppressAutoHyphens w:val="true"/>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sid w:val="00c95e18"/>
    <w:rPr/>
  </w:style>
  <w:style w:type="character" w:styleId="Style7" w:customStyle="1">
    <w:name w:val="Нижний колонтитул Знак"/>
    <w:basedOn w:val="DefaultParagraphFont"/>
    <w:uiPriority w:val="99"/>
    <w:qFormat/>
    <w:rsid w:val="008364e8"/>
    <w:rPr/>
  </w:style>
  <w:style w:type="character" w:styleId="Style8" w:customStyle="1">
    <w:name w:val="[РГ] Инструкция для организатора"/>
    <w:basedOn w:val="DefaultParagraphFont"/>
    <w:uiPriority w:val="1"/>
    <w:qFormat/>
    <w:rsid w:val="00277346"/>
    <w:rPr>
      <w:i/>
      <w:iCs/>
      <w:shd w:fill="FFFF99" w:val="clear"/>
      <w:lang w:val="ru-RU"/>
    </w:rPr>
  </w:style>
  <w:style w:type="character" w:styleId="Style9" w:customStyle="1">
    <w:name w:val="Текст сноски Знак"/>
    <w:basedOn w:val="DefaultParagraphFont"/>
    <w:uiPriority w:val="99"/>
    <w:semiHidden/>
    <w:qFormat/>
    <w:rsid w:val="006608d1"/>
    <w:rPr>
      <w:sz w:val="20"/>
      <w:szCs w:val="20"/>
    </w:rPr>
  </w:style>
  <w:style w:type="character" w:styleId="Style10">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1"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2" w:customStyle="1">
    <w:name w:val="Текст примечания Знак"/>
    <w:basedOn w:val="DefaultParagraphFont"/>
    <w:link w:val="Annotationtext"/>
    <w:uiPriority w:val="99"/>
    <w:qFormat/>
    <w:rsid w:val="007e365e"/>
    <w:rPr>
      <w:sz w:val="20"/>
      <w:szCs w:val="20"/>
    </w:rPr>
  </w:style>
  <w:style w:type="character" w:styleId="Style13" w:customStyle="1">
    <w:name w:val="Тема примечания Знак"/>
    <w:basedOn w:val="Style12"/>
    <w:link w:val="Annotationsubject"/>
    <w:uiPriority w:val="99"/>
    <w:semiHidden/>
    <w:qFormat/>
    <w:rsid w:val="007e365e"/>
    <w:rPr>
      <w:b/>
      <w:bCs/>
      <w:sz w:val="20"/>
      <w:szCs w:val="20"/>
    </w:rPr>
  </w:style>
  <w:style w:type="character" w:styleId="Style14"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32"/>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5" w:customStyle="1">
    <w:name w:val="Текст выноски Знак"/>
    <w:basedOn w:val="DefaultParagraphFont"/>
    <w:link w:val="BalloonText"/>
    <w:uiPriority w:val="99"/>
    <w:semiHidden/>
    <w:qFormat/>
    <w:rsid w:val="00ea697c"/>
    <w:rPr>
      <w:rFonts w:ascii="Segoe UI" w:hAnsi="Segoe UI" w:cs="Segoe UI"/>
      <w:sz w:val="18"/>
      <w:szCs w:val="18"/>
    </w:rPr>
  </w:style>
  <w:style w:type="character" w:styleId="Style16" w:customStyle="1">
    <w:name w:val="РГ_ЕПоЗ_а) Знак"/>
    <w:basedOn w:val="DefaultParagraphFont"/>
    <w:link w:val="Style35"/>
    <w:qFormat/>
    <w:rsid w:val="005537c2"/>
    <w:rPr>
      <w:rFonts w:eastAsia="Calibri" w:cs="Times New Roman"/>
      <w:sz w:val="28"/>
      <w:szCs w:val="28"/>
    </w:rPr>
  </w:style>
  <w:style w:type="character" w:styleId="-" w:customStyle="1">
    <w:name w:val="РГ_ЕПоЗ_- Знак"/>
    <w:basedOn w:val="DefaultParagraphFont"/>
    <w:link w:val="-1"/>
    <w:qFormat/>
    <w:rsid w:val="005537c2"/>
    <w:rPr>
      <w:rFonts w:eastAsia="Times New Roman" w:cs="Times New Roman"/>
      <w:sz w:val="28"/>
      <w:szCs w:val="20"/>
      <w:lang w:eastAsia="ru-RU"/>
    </w:rPr>
  </w:style>
  <w:style w:type="character" w:styleId="Style17">
    <w:name w:val="Ссылка указателя"/>
    <w:qFormat/>
    <w:rPr/>
  </w:style>
  <w:style w:type="character" w:styleId="Style18">
    <w:name w:val="комментарий"/>
    <w:qFormat/>
    <w:rPr>
      <w:b/>
      <w:i/>
      <w:shd w:fill="FFFF99" w:val="clear"/>
    </w:rPr>
  </w:style>
  <w:style w:type="character" w:styleId="11">
    <w:name w:val="Гиперссылка1"/>
    <w:qFormat/>
    <w:rPr>
      <w:color w:val="000080"/>
      <w:u w:val="single"/>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Style22" w:customStyle="1">
    <w:name w:val="[РГ] Раздел"/>
    <w:basedOn w:val="Normal"/>
    <w:next w:val="Style23"/>
    <w:qFormat/>
    <w:rsid w:val="00c95e18"/>
    <w:pPr>
      <w:keepNext w:val="true"/>
      <w:pageBreakBefore/>
      <w:numPr>
        <w:ilvl w:val="0"/>
        <w:numId w:val="1"/>
      </w:numPr>
      <w:spacing w:before="0" w:after="360"/>
      <w:jc w:val="both"/>
      <w:outlineLvl w:val="0"/>
    </w:pPr>
    <w:rPr>
      <w:b/>
      <w:bCs/>
      <w:caps/>
    </w:rPr>
  </w:style>
  <w:style w:type="paragraph" w:styleId="Style23" w:customStyle="1">
    <w:name w:val="[РГ] Подраздел"/>
    <w:basedOn w:val="Normal"/>
    <w:next w:val="Style24"/>
    <w:qFormat/>
    <w:rsid w:val="00891546"/>
    <w:pPr>
      <w:keepNext w:val="true"/>
      <w:numPr>
        <w:ilvl w:val="1"/>
        <w:numId w:val="1"/>
      </w:numPr>
      <w:spacing w:before="360" w:after="0"/>
      <w:jc w:val="both"/>
      <w:outlineLvl w:val="1"/>
    </w:pPr>
    <w:rPr>
      <w:b/>
      <w:bCs/>
    </w:rPr>
  </w:style>
  <w:style w:type="paragraph" w:styleId="Style24" w:customStyle="1">
    <w:name w:val="[РГ] Пункт"/>
    <w:basedOn w:val="Normal"/>
    <w:qFormat/>
    <w:rsid w:val="00891546"/>
    <w:pPr>
      <w:numPr>
        <w:ilvl w:val="2"/>
        <w:numId w:val="1"/>
      </w:numPr>
      <w:jc w:val="both"/>
      <w:outlineLvl w:val="2"/>
    </w:pPr>
    <w:rPr/>
  </w:style>
  <w:style w:type="paragraph" w:styleId="Style25" w:customStyle="1">
    <w:name w:val="[РГ] Подпункт"/>
    <w:basedOn w:val="Normal"/>
    <w:qFormat/>
    <w:rsid w:val="00891546"/>
    <w:pPr>
      <w:numPr>
        <w:ilvl w:val="3"/>
        <w:numId w:val="1"/>
      </w:numPr>
      <w:jc w:val="both"/>
      <w:outlineLvl w:val="3"/>
    </w:pPr>
    <w:rPr/>
  </w:style>
  <w:style w:type="paragraph" w:styleId="Style26" w:customStyle="1">
    <w:name w:val="[РГ] Перечисление"/>
    <w:basedOn w:val="Normal"/>
    <w:qFormat/>
    <w:rsid w:val="00891546"/>
    <w:pPr>
      <w:numPr>
        <w:ilvl w:val="4"/>
        <w:numId w:val="1"/>
      </w:numPr>
      <w:jc w:val="both"/>
      <w:outlineLvl w:val="4"/>
    </w:pPr>
    <w:rPr/>
  </w:style>
  <w:style w:type="paragraph" w:styleId="Style27" w:customStyle="1">
    <w:name w:val="[РГ] Заголовок"/>
    <w:basedOn w:val="Normal"/>
    <w:next w:val="Style28"/>
    <w:qFormat/>
    <w:rsid w:val="00f87384"/>
    <w:pPr>
      <w:keepNext w:val="true"/>
      <w:pageBreakBefore/>
      <w:spacing w:before="0" w:after="360"/>
      <w:jc w:val="both"/>
    </w:pPr>
    <w:rPr>
      <w:b/>
      <w:bCs/>
      <w:caps/>
    </w:rPr>
  </w:style>
  <w:style w:type="paragraph" w:styleId="Style28" w:customStyle="1">
    <w:name w:val="[РГ] Текст"/>
    <w:basedOn w:val="Normal"/>
    <w:qFormat/>
    <w:rsid w:val="00891546"/>
    <w:pPr>
      <w:jc w:val="both"/>
    </w:pPr>
    <w:rPr/>
  </w:style>
  <w:style w:type="paragraph" w:styleId="Style29">
    <w:name w:val="Колонтитул"/>
    <w:basedOn w:val="Normal"/>
    <w:qFormat/>
    <w:pPr/>
    <w:rPr/>
  </w:style>
  <w:style w:type="paragraph" w:styleId="Header">
    <w:name w:val="Header"/>
    <w:basedOn w:val="Normal"/>
    <w:link w:val="Style6"/>
    <w:uiPriority w:val="99"/>
    <w:unhideWhenUsed/>
    <w:rsid w:val="00c95e18"/>
    <w:pPr>
      <w:spacing w:before="0" w:after="120"/>
      <w:jc w:val="center"/>
    </w:pPr>
    <w:rPr/>
  </w:style>
  <w:style w:type="paragraph" w:styleId="Footer">
    <w:name w:val="Footer"/>
    <w:basedOn w:val="Normal"/>
    <w:link w:val="Style7"/>
    <w:unhideWhenUsed/>
    <w:rsid w:val="008364e8"/>
    <w:pPr>
      <w:jc w:val="right"/>
    </w:pPr>
    <w:rPr/>
  </w:style>
  <w:style w:type="paragraph" w:styleId="FootnoteText">
    <w:name w:val="Footnote Text"/>
    <w:basedOn w:val="Normal"/>
    <w:link w:val="Style9"/>
    <w:uiPriority w:val="99"/>
    <w:semiHidden/>
    <w:unhideWhenUsed/>
    <w:rsid w:val="006608d1"/>
    <w:pPr>
      <w:spacing w:before="0" w:after="0"/>
    </w:pPr>
    <w:rPr>
      <w:sz w:val="20"/>
      <w:szCs w:val="20"/>
    </w:rPr>
  </w:style>
  <w:style w:type="paragraph" w:styleId="Style30"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2"/>
    <w:uiPriority w:val="99"/>
    <w:unhideWhenUsed/>
    <w:qFormat/>
    <w:rsid w:val="007e365e"/>
    <w:pPr/>
    <w:rPr>
      <w:sz w:val="20"/>
      <w:szCs w:val="20"/>
    </w:rPr>
  </w:style>
  <w:style w:type="paragraph" w:styleId="Annotationsubject">
    <w:name w:val="annotation subject"/>
    <w:basedOn w:val="Annotationtext"/>
    <w:next w:val="Annotationtext"/>
    <w:link w:val="Style13"/>
    <w:uiPriority w:val="99"/>
    <w:semiHidden/>
    <w:unhideWhenUsed/>
    <w:qFormat/>
    <w:rsid w:val="007e365e"/>
    <w:pPr/>
    <w:rPr>
      <w:b/>
      <w:bCs/>
    </w:rPr>
  </w:style>
  <w:style w:type="paragraph" w:styleId="Style31" w:customStyle="1">
    <w:name w:val="[РГ] Альтернатива / Дополнение"/>
    <w:basedOn w:val="Style28"/>
    <w:next w:val="Style28"/>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32" w:customStyle="1">
    <w:name w:val="Пункт"/>
    <w:basedOn w:val="Normal"/>
    <w:link w:val="2"/>
    <w:qFormat/>
    <w:rsid w:val="00493761"/>
    <w:pPr>
      <w:numPr>
        <w:ilvl w:val="2"/>
        <w:numId w:val="9"/>
      </w:numPr>
      <w:jc w:val="both"/>
    </w:pPr>
    <w:rPr>
      <w:rFonts w:eastAsia="Times New Roman" w:cs="Times New Roman"/>
      <w:szCs w:val="26"/>
      <w:lang w:eastAsia="ru-RU"/>
    </w:rPr>
  </w:style>
  <w:style w:type="paragraph" w:styleId="Style33" w:customStyle="1">
    <w:name w:val="Подпункт"/>
    <w:basedOn w:val="Style32"/>
    <w:qFormat/>
    <w:rsid w:val="00493761"/>
    <w:pPr>
      <w:numPr>
        <w:ilvl w:val="3"/>
      </w:numPr>
      <w:tabs>
        <w:tab w:val="clear" w:pos="708"/>
      </w:tabs>
      <w:ind w:left="2880" w:hanging="360"/>
    </w:pPr>
    <w:rPr/>
  </w:style>
  <w:style w:type="paragraph" w:styleId="Style34" w:customStyle="1">
    <w:name w:val="Подподпункт"/>
    <w:basedOn w:val="Style33"/>
    <w:qFormat/>
    <w:rsid w:val="00493761"/>
    <w:pPr>
      <w:numPr>
        <w:ilvl w:val="4"/>
      </w:numPr>
      <w:ind w:left="3600" w:hanging="360"/>
    </w:pPr>
    <w:rPr/>
  </w:style>
  <w:style w:type="paragraph" w:styleId="BalloonText">
    <w:name w:val="Balloon Text"/>
    <w:basedOn w:val="Normal"/>
    <w:link w:val="Style15"/>
    <w:uiPriority w:val="99"/>
    <w:semiHidden/>
    <w:unhideWhenUsed/>
    <w:qFormat/>
    <w:rsid w:val="00ea697c"/>
    <w:pPr>
      <w:spacing w:before="0" w:after="0"/>
    </w:pPr>
    <w:rPr>
      <w:rFonts w:ascii="Segoe UI" w:hAnsi="Segoe UI" w:cs="Segoe UI"/>
      <w:sz w:val="18"/>
      <w:szCs w:val="18"/>
    </w:rPr>
  </w:style>
  <w:style w:type="paragraph" w:styleId="12" w:customStyle="1">
    <w:name w:val="РГ_ЕПоЗ_1."/>
    <w:basedOn w:val="Normal"/>
    <w:qFormat/>
    <w:rsid w:val="005537c2"/>
    <w:pPr>
      <w:keepNext w:val="true"/>
      <w:numPr>
        <w:ilvl w:val="0"/>
        <w:numId w:val="15"/>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1" w:customStyle="1">
    <w:name w:val="РГ_ЕПоЗ_1.1"/>
    <w:basedOn w:val="Normal"/>
    <w:qFormat/>
    <w:rsid w:val="005537c2"/>
    <w:pPr>
      <w:keepNext w:val="true"/>
      <w:numPr>
        <w:ilvl w:val="1"/>
        <w:numId w:val="15"/>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5" w:customStyle="1">
    <w:name w:val="РГ_ЕПоЗ_а)"/>
    <w:basedOn w:val="ListParagraph"/>
    <w:link w:val="Style16"/>
    <w:qFormat/>
    <w:rsid w:val="005537c2"/>
    <w:pPr>
      <w:numPr>
        <w:ilvl w:val="4"/>
        <w:numId w:val="15"/>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5537c2"/>
    <w:pPr>
      <w:numPr>
        <w:ilvl w:val="3"/>
        <w:numId w:val="15"/>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rsid w:val="005537c2"/>
    <w:pPr>
      <w:numPr>
        <w:ilvl w:val="5"/>
        <w:numId w:val="15"/>
      </w:numPr>
      <w:tabs>
        <w:tab w:val="clear" w:pos="708"/>
        <w:tab w:val="left" w:pos="2552" w:leader="none"/>
      </w:tabs>
      <w:spacing w:before="0" w:after="0"/>
      <w:jc w:val="both"/>
    </w:pPr>
    <w:rPr>
      <w:rFonts w:eastAsia="Times New Roman" w:cs="Times New Roman"/>
      <w:sz w:val="28"/>
      <w:szCs w:val="20"/>
      <w:lang w:eastAsia="ru-RU"/>
    </w:rPr>
  </w:style>
  <w:style w:type="paragraph" w:styleId="1112" w:customStyle="1">
    <w:name w:val="РГ_ЕПоЗ_1.1.1"/>
    <w:basedOn w:val="Normal"/>
    <w:qFormat/>
    <w:rsid w:val="005537c2"/>
    <w:pPr>
      <w:numPr>
        <w:ilvl w:val="2"/>
        <w:numId w:val="15"/>
      </w:numPr>
      <w:tabs>
        <w:tab w:val="clear" w:pos="708"/>
        <w:tab w:val="left" w:pos="1134" w:leader="none"/>
      </w:tabs>
      <w:jc w:val="both"/>
    </w:pPr>
    <w:rPr>
      <w:rFonts w:eastAsia="Times New Roman" w:cs="Times New Roman"/>
      <w:sz w:val="28"/>
      <w:szCs w:val="28"/>
      <w:lang w:eastAsia="ru-RU"/>
    </w:rPr>
  </w:style>
  <w:style w:type="paragraph" w:styleId="Tableheader">
    <w:name w:val="Table_header"/>
    <w:basedOn w:val="Normal"/>
    <w:qFormat/>
    <w:pPr/>
    <w:rPr>
      <w:b/>
      <w:sz w:val="20"/>
      <w:szCs w:val="24"/>
    </w:rPr>
  </w:style>
  <w:style w:type="paragraph" w:styleId="31">
    <w:name w:val="УРОВЕНЬ_Абзац_тип3"/>
    <w:basedOn w:val="ListParagraph"/>
    <w:qFormat/>
    <w:pPr>
      <w:spacing w:lineRule="exact" w:line="360"/>
      <w:jc w:val="both"/>
    </w:pPr>
    <w:rPr>
      <w:rFonts w:eastAsia="Calibri" w:eastAsiaTheme="minorHAnsi"/>
      <w:sz w:val="26"/>
      <w:szCs w:val="28"/>
    </w:rPr>
  </w:style>
  <w:style w:type="paragraph" w:styleId="Style36">
    <w:name w:val="Абзац списка"/>
    <w:basedOn w:val="Normal"/>
    <w:qFormat/>
    <w:pPr>
      <w:tabs>
        <w:tab w:val="clear" w:pos="708"/>
      </w:tabs>
      <w:suppressAutoHyphens w:val="true"/>
      <w:ind w:left="720" w:right="0" w:hanging="0"/>
    </w:pPr>
    <w:rPr/>
  </w:style>
  <w:style w:type="paragraph" w:styleId="22">
    <w:name w:val="УРОВЕНЬ_Абзац_тип2"/>
    <w:basedOn w:val="Style36"/>
    <w:qFormat/>
    <w:pPr>
      <w:suppressAutoHyphens w:val="true"/>
      <w:spacing w:lineRule="exact" w:line="360" w:before="120" w:after="0"/>
      <w:jc w:val="both"/>
    </w:pPr>
    <w:rPr>
      <w:rFonts w:ascii="Calibri" w:hAnsi="Calibri" w:eastAsia="Calibri" w:cs="Calibri"/>
      <w:sz w:val="26"/>
      <w:szCs w:val="28"/>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00000A"/>
      <w:kern w:val="0"/>
      <w:sz w:val="28"/>
      <w:szCs w:val="20"/>
      <w:lang w:val="ru-RU" w:eastAsia="ru-RU" w:bidi="ar-SA"/>
    </w:rPr>
  </w:style>
  <w:style w:type="paragraph" w:styleId="-2">
    <w:name w:val="УРОВЕНЬ_-"/>
    <w:basedOn w:val="Style36"/>
    <w:qFormat/>
    <w:pPr>
      <w:numPr>
        <w:ilvl w:val="4"/>
        <w:numId w:val="1"/>
      </w:numPr>
      <w:suppressAutoHyphens w:val="true"/>
      <w:spacing w:lineRule="exact" w:line="360" w:before="120" w:after="0"/>
      <w:jc w:val="both"/>
      <w:outlineLvl w:val="4"/>
    </w:pPr>
    <w:rPr>
      <w:rFonts w:ascii="Calibri" w:hAnsi="Calibri" w:eastAsia="Calibri" w:cs="Calibri"/>
      <w:sz w:val="26"/>
      <w:szCs w:val="28"/>
    </w:rPr>
  </w:style>
  <w:style w:type="paragraph" w:styleId="Textbody">
    <w:name w:val="Text body"/>
    <w:basedOn w:val="Standard"/>
    <w:qFormat/>
    <w:pPr>
      <w:spacing w:lineRule="auto" w:line="276" w:before="0" w:after="140"/>
    </w:pPr>
    <w:rPr>
      <w:rFonts w:ascii="Liberation Serif" w:hAnsi="Liberation Serif" w:eastAsia="WenQuanYi Zen Hei Sharp" w:cs="Lohit Devanagari"/>
      <w:sz w:val="24"/>
      <w:szCs w:val="24"/>
      <w:lang w:eastAsia="zh-CN" w:bidi="hi-IN"/>
    </w:rPr>
  </w:style>
  <w:style w:type="numbering" w:styleId="NoList" w:default="1">
    <w:name w:val="No List"/>
    <w:uiPriority w:val="99"/>
    <w:semiHidden/>
    <w:unhideWhenUsed/>
    <w:qFormat/>
  </w:style>
  <w:style w:type="table" w:default="1" w:styleId="aa">
    <w:name w:val="Normal Table"/>
    <w:uiPriority w:val="99"/>
    <w:semiHidden/>
    <w:unhideWhenUsed/>
    <w:tblPr>
      <w:tblCellMar>
        <w:top w:w="0" w:type="dxa"/>
        <w:left w:w="108" w:type="dxa"/>
        <w:bottom w:w="0" w:type="dxa"/>
        <w:right w:w="108" w:type="dxa"/>
      </w:tblCellMar>
    </w:tblPr>
  </w:style>
  <w:style w:type="table" w:customStyle="1" w:styleId="af9">
    <w:name w:val="[РГ] Таблица"/>
    <w:basedOn w:val="aa"/>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a">
    <w:name w:val="Table Grid"/>
    <w:basedOn w:val="aa"/>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tender.lot-online.ru/" TargetMode="External"/><Relationship Id="rId4" Type="http://schemas.openxmlformats.org/officeDocument/2006/relationships/hyperlink" Target="https://tender.lot-online.ru/app/EtpDocList/page" TargetMode="External"/><Relationship Id="rId5" Type="http://schemas.openxmlformats.org/officeDocument/2006/relationships/hyperlink" Target="mailto:ignatova-ta@drsk.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package" Target="embeddings/oleObject1.docx"/><Relationship Id="rId13" Type="http://schemas.openxmlformats.org/officeDocument/2006/relationships/image" Target="media/image2.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yperlink" Target="http://nopriz.ru/nreesters/elektronnyy-reestr/" TargetMode="External"/><Relationship Id="rId19" Type="http://schemas.openxmlformats.org/officeDocument/2006/relationships/header" Target="header6.xml"/><Relationship Id="rId20" Type="http://schemas.openxmlformats.org/officeDocument/2006/relationships/header" Target="header7.xml"/><Relationship Id="rId21" Type="http://schemas.openxmlformats.org/officeDocument/2006/relationships/footer" Target="footer6.xml"/><Relationship Id="rId22" Type="http://schemas.openxmlformats.org/officeDocument/2006/relationships/footer" Target="footer7.xml"/><Relationship Id="rId23" Type="http://schemas.openxmlformats.org/officeDocument/2006/relationships/package" Target="embeddings/oleObject2.docx"/><Relationship Id="rId24" Type="http://schemas.openxmlformats.org/officeDocument/2006/relationships/image" Target="media/image3.wmf"/><Relationship Id="rId25" Type="http://schemas.openxmlformats.org/officeDocument/2006/relationships/package" Target="embeddings/oleObject3.docx"/><Relationship Id="rId26" Type="http://schemas.openxmlformats.org/officeDocument/2006/relationships/image" Target="media/image4.wmf"/><Relationship Id="rId27" Type="http://schemas.openxmlformats.org/officeDocument/2006/relationships/header" Target="header8.xml"/><Relationship Id="rId28" Type="http://schemas.openxmlformats.org/officeDocument/2006/relationships/header" Target="header9.xml"/><Relationship Id="rId29" Type="http://schemas.openxmlformats.org/officeDocument/2006/relationships/footer" Target="footer8.xml"/><Relationship Id="rId30" Type="http://schemas.openxmlformats.org/officeDocument/2006/relationships/footer" Target="footer9.xml"/><Relationship Id="rId31" Type="http://schemas.openxmlformats.org/officeDocument/2006/relationships/hyperlink" Target="https://bo.nalog.ru/" TargetMode="External"/><Relationship Id="rId32" Type="http://schemas.openxmlformats.org/officeDocument/2006/relationships/header" Target="header10.xml"/><Relationship Id="rId33" Type="http://schemas.openxmlformats.org/officeDocument/2006/relationships/header" Target="header11.xml"/><Relationship Id="rId34" Type="http://schemas.openxmlformats.org/officeDocument/2006/relationships/footer" Target="footer10.xml"/><Relationship Id="rId35" Type="http://schemas.openxmlformats.org/officeDocument/2006/relationships/footer" Target="footer11.xml"/><Relationship Id="rId36" Type="http://schemas.openxmlformats.org/officeDocument/2006/relationships/package" Target="embeddings/oleObject4.xlsx"/><Relationship Id="rId37" Type="http://schemas.openxmlformats.org/officeDocument/2006/relationships/image" Target="media/image5.wmf"/><Relationship Id="rId38" Type="http://schemas.openxmlformats.org/officeDocument/2006/relationships/package" Target="embeddings/oleObject5.docx"/><Relationship Id="rId39" Type="http://schemas.openxmlformats.org/officeDocument/2006/relationships/image" Target="media/image6.wmf"/><Relationship Id="rId40" Type="http://schemas.openxmlformats.org/officeDocument/2006/relationships/header" Target="header12.xml"/><Relationship Id="rId41" Type="http://schemas.openxmlformats.org/officeDocument/2006/relationships/header" Target="header13.xml"/><Relationship Id="rId42" Type="http://schemas.openxmlformats.org/officeDocument/2006/relationships/footer" Target="footer12.xml"/><Relationship Id="rId43" Type="http://schemas.openxmlformats.org/officeDocument/2006/relationships/footer" Target="footer13.xml"/><Relationship Id="rId44" Type="http://schemas.openxmlformats.org/officeDocument/2006/relationships/footnotes" Target="footnotes.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2C762-423D-4F68-A8A6-C6563AA15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Application>AlterOffice/3.3.1.3$Linux_X86_64 LibreOffice_project/90d829a0d92d6015ad4fa014ce4f460a7fe6c0ba</Application>
  <AppVersion>15.0000</AppVersion>
  <Pages>80</Pages>
  <Words>19341</Words>
  <Characters>132593</Characters>
  <CharactersWithSpaces>148492</CharactersWithSpaces>
  <Paragraphs>1117</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ignatova_ta</cp:lastModifiedBy>
  <dcterms:modified xsi:type="dcterms:W3CDTF">2026-08-13T14:13:50Z</dcterms:modified>
  <cp:revision>157</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