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odyText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4"/>
          <w:szCs w:val="26"/>
        </w:rPr>
        <w:t xml:space="preserve">ОКПД2 27.11.61.120 Поставка сегментов подпятника генератор-двигателя для пополнения аварийного запаса </w:t>
      </w:r>
      <w:r>
        <w:rPr>
          <w:rFonts w:eastAsia="Calibri"/>
          <w:sz w:val="26"/>
          <w:szCs w:val="26"/>
        </w:rPr>
        <w:t xml:space="preserve">для нужд филиала ПАО «РусГидро»-«Загорская ГАЭС»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5"/>
              <w:vanish w:val="false"/>
            </w:rPr>
            <w:instrText xml:space="preserve"> TOC \o "1-2" \h</w:instrText>
          </w:r>
          <w:r>
            <w:rPr>
              <w:rStyle w:val="Style15"/>
              <w:vanish w:val="false"/>
            </w:rPr>
            <w:fldChar w:fldCharType="separate"/>
          </w:r>
          <w:hyperlink w:anchor="__RefHeading___Toc18259_2731959919">
            <w:r>
              <w:rPr>
                <w:rStyle w:val="Style15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1_2731959919">
            <w:r>
              <w:rPr>
                <w:rStyle w:val="Style15"/>
                <w:vanish w:val="false"/>
              </w:rPr>
              <w:t xml:space="preserve">2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3_2731959919">
            <w:r>
              <w:rPr>
                <w:rStyle w:val="Style15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5_2731959919">
            <w:r>
              <w:rPr>
                <w:rStyle w:val="Style15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7_2731959919">
            <w:r>
              <w:rPr>
                <w:rStyle w:val="Style15"/>
                <w:vanish w:val="false"/>
              </w:rPr>
              <w:t xml:space="preserve"> </w:t>
            </w:r>
            <w:r>
              <w:rPr>
                <w:rStyle w:val="Style15"/>
              </w:rPr>
              <w:t>Таблица 3. Требования к продукции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91_2731959919">
            <w:r>
              <w:rPr>
                <w:rStyle w:val="Style15"/>
                <w:vanish w:val="false"/>
              </w:rPr>
              <w:t>3 Требования к документации по ценообразованию на этапе закупки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8269_2731959919">
            <w:r>
              <w:rPr>
                <w:rStyle w:val="Style15"/>
                <w:vanish w:val="false"/>
              </w:rPr>
              <w:t>4 Приложения</w:t>
              <w:tab/>
              <w:t>12</w:t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rFonts w:eastAsia="Times New Roman"/>
          <w:b w:val="false"/>
          <w:i/>
          <w:i/>
          <w:lang w:val="ru-RU" w:eastAsia="ru-RU"/>
        </w:rPr>
      </w:pPr>
      <w:r>
        <w:rPr>
          <w:rFonts w:eastAsia="Times New Roman"/>
          <w:b w:val="false"/>
          <w:i/>
          <w:lang w:val="ru-RU" w:eastAsia="ru-RU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0" w:right="0" w:hanging="0"/>
        <w:jc w:val="center"/>
        <w:rPr>
          <w:caps/>
          <w:sz w:val="24"/>
          <w:szCs w:val="24"/>
          <w:lang w:val="ru-RU"/>
        </w:rPr>
      </w:pPr>
      <w:bookmarkStart w:id="0" w:name="__RefHeading___Toc18259_2731959919"/>
      <w:bookmarkStart w:id="1" w:name="_Toc178673678"/>
      <w:bookmarkEnd w:id="0"/>
      <w:r>
        <w:rPr>
          <w:sz w:val="24"/>
          <w:szCs w:val="24"/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r>
        <w:rPr/>
        <w:t>Обозначения и сокращения</w:t>
      </w:r>
    </w:p>
    <w:p>
      <w:pPr>
        <w:pStyle w:val="Normal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bookmarkStart w:id="2" w:name="_GoBack_Копия_1"/>
            <w:r>
              <w:rPr>
                <w:sz w:val="24"/>
                <w:szCs w:val="24"/>
              </w:rPr>
              <w:t>материально-технические ресурсы</w:t>
            </w:r>
            <w:bookmarkEnd w:id="2"/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термометр конденсационный показывающий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ТСМ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термометр сопротивления медный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УХЛ4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 и категория размещения: объединение умеренного и холодного макроклиматических районов, эксплуатация в крытых помещениях с отоплением и с искусственной вентиляцией (регулирование температурных условий, нет низких температур, низкая концентрация пыли)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эластичное металлопластмассовое (фторопластовое)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right="0" w:hanging="0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ОКПД2 27.11.61.120 Поставка сегментов </w:t>
      </w:r>
      <w:r>
        <w:rPr>
          <w:rFonts w:eastAsia="Calibri"/>
          <w:sz w:val="24"/>
          <w:szCs w:val="26"/>
        </w:rPr>
        <w:t>подпятника генератор-двигателя</w:t>
      </w:r>
      <w:r>
        <w:rPr>
          <w:sz w:val="24"/>
          <w:szCs w:val="24"/>
        </w:rPr>
        <w:t xml:space="preserve"> для пополнения аварийного запаса для нужд филиала ПАО «РусГидро»-«Загорская ГАЭС».</w:t>
      </w:r>
    </w:p>
    <w:p>
      <w:pPr>
        <w:pStyle w:val="Normal"/>
        <w:widowControl w:val="false"/>
        <w:ind w:left="-142" w:right="0" w:firstLine="851"/>
        <w:rPr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60"/>
        <w:ind w:left="0" w:right="0" w:hanging="0"/>
        <w:rPr/>
      </w:pPr>
      <w:r>
        <w:rPr/>
        <w:t xml:space="preserve">Цель </w:t>
      </w:r>
      <w:r>
        <w:rPr>
          <w:lang w:val="ru-RU"/>
        </w:rPr>
        <w:t>использования закупаемой продукции</w:t>
      </w:r>
    </w:p>
    <w:p>
      <w:pPr>
        <w:pStyle w:val="Normal"/>
        <w:keepNext w:val="true"/>
        <w:keepLines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аварийным запасом оборудования филиала ПАО «РусГидро»- «Загорская ГАЭС».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1"/>
          <w:numId w:val="7"/>
        </w:numPr>
        <w:spacing w:before="0" w:after="60"/>
        <w:ind w:left="0" w:right="0" w:hanging="0"/>
        <w:rPr/>
      </w:pPr>
      <w:r>
        <w:rPr/>
        <w:t>Существующее положение</w:t>
      </w:r>
    </w:p>
    <w:p>
      <w:pPr>
        <w:pStyle w:val="Normal"/>
        <w:keepNext w:val="true"/>
        <w:keepLines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Настоящие технические требования к поставке продукции для пополнения аварийного  запаса формировались на основе характеристик существующего оборудования.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iCs/>
          <w:caps/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7"/>
        </w:numPr>
        <w:ind w:left="0" w:right="0" w:hanging="0"/>
        <w:jc w:val="center"/>
        <w:rPr>
          <w:iCs/>
          <w:caps/>
          <w:sz w:val="24"/>
          <w:szCs w:val="24"/>
          <w:lang w:val="ru-RU"/>
        </w:rPr>
      </w:pPr>
      <w:bookmarkStart w:id="3" w:name="__RefHeading___Toc18261_2731959919"/>
      <w:bookmarkStart w:id="4" w:name="_Toc178673679"/>
      <w:bookmarkEnd w:id="3"/>
      <w:r>
        <w:rPr>
          <w:iCs/>
          <w:sz w:val="24"/>
          <w:szCs w:val="24"/>
        </w:rPr>
        <w:t>Требования к продукции</w:t>
      </w:r>
      <w:bookmarkEnd w:id="4"/>
    </w:p>
    <w:p>
      <w:pPr>
        <w:pStyle w:val="Heading4"/>
        <w:numPr>
          <w:ilvl w:val="1"/>
          <w:numId w:val="8"/>
        </w:numPr>
        <w:ind w:left="0" w:right="0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8"/>
        </w:numPr>
        <w:ind w:left="0" w:right="0" w:hanging="0"/>
        <w:rPr>
          <w:lang w:val="ru-RU"/>
        </w:rPr>
      </w:pPr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ind w:left="0" w:right="0" w:hanging="0"/>
        <w:rPr>
          <w:sz w:val="24"/>
          <w:szCs w:val="24"/>
          <w:lang w:val="ru-RU"/>
        </w:rPr>
      </w:pPr>
      <w:bookmarkStart w:id="5" w:name="__RefHeading___Toc18263_2731959919"/>
      <w:bookmarkStart w:id="6" w:name="_Toc178673680"/>
      <w:bookmarkEnd w:id="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6"/>
    </w:p>
    <w:tbl>
      <w:tblPr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2336"/>
        <w:gridCol w:w="1591"/>
        <w:gridCol w:w="2555"/>
        <w:gridCol w:w="1354"/>
        <w:gridCol w:w="1475"/>
      </w:tblGrid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Сегмент подпятника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27.11.61.120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Сегмент подпятника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27.11.61.120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lang w:val="en-US"/>
              </w:rPr>
              <w:t>3</w:t>
            </w:r>
          </w:p>
        </w:tc>
      </w:tr>
    </w:tbl>
    <w:p>
      <w:pPr>
        <w:pStyle w:val="Heading3"/>
        <w:numPr>
          <w:ilvl w:val="0"/>
          <w:numId w:val="0"/>
        </w:numPr>
        <w:ind w:left="0" w:right="0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8"/>
        </w:numPr>
        <w:ind w:left="0" w:right="0" w:hanging="0"/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4"/>
          <w:szCs w:val="24"/>
        </w:rPr>
      </w:pPr>
      <w:bookmarkStart w:id="7" w:name="__RefHeading___Toc18265_2731959919"/>
      <w:bookmarkStart w:id="8" w:name="_Toc178673681"/>
      <w:bookmarkEnd w:id="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8"/>
      <w:r>
        <w:rPr>
          <w:sz w:val="24"/>
          <w:szCs w:val="24"/>
          <w:lang w:val="ru-RU"/>
        </w:rPr>
        <w:t xml:space="preserve"> 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338"/>
        <w:gridCol w:w="4710"/>
      </w:tblGrid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поставки продукции</w:t>
            </w:r>
          </w:p>
        </w:tc>
      </w:tr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ind w:left="0" w:right="0" w:hanging="0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Сегменты подпятника генератор-двигателя для пополнения аварийного запаса для нужд филиала ПАО «РусГидро»-«Загорская ГАЭС» (Позиции 1-2  таблицы 1.1 настоящих Технических требований)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180-ый календарный день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4"/>
        <w:numPr>
          <w:ilvl w:val="1"/>
          <w:numId w:val="8"/>
        </w:numPr>
        <w:ind w:left="0" w:right="0" w:hanging="0"/>
        <w:rPr/>
      </w:pPr>
      <w:r>
        <w:rPr/>
        <w:t xml:space="preserve">Требования к </w:t>
      </w:r>
      <w:r>
        <w:rPr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b/>
          <w:i w:val="false"/>
          <w:i w:val="false"/>
          <w:sz w:val="24"/>
          <w:szCs w:val="24"/>
          <w:shd w:fill="auto" w:val="clear"/>
        </w:rPr>
      </w:pPr>
      <w:bookmarkStart w:id="9" w:name="__RefHeading___Toc18267_2731959919"/>
      <w:bookmarkEnd w:id="9"/>
      <w:r>
        <w:rPr>
          <w:sz w:val="24"/>
          <w:szCs w:val="24"/>
        </w:rPr>
        <w:t xml:space="preserve"> </w:t>
      </w:r>
      <w:bookmarkStart w:id="10" w:name="_Toc1786736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10"/>
      <w:r>
        <w:rPr>
          <w:sz w:val="24"/>
          <w:szCs w:val="24"/>
        </w:rPr>
        <w:t xml:space="preserve"> </w:t>
      </w:r>
    </w:p>
    <w:p>
      <w:pPr>
        <w:pStyle w:val="Normal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 ОКПД2 27.11.61.120 Поставка сегментов подпятника генератор-двигателя для пополнения аварийного запаса для нужд филиала ПАО «РусГидро»-«Загорская ГАЭС»</w:t>
      </w:r>
      <w:r>
        <w:rPr>
          <w:rFonts w:eastAsia="Calibri"/>
          <w:b/>
          <w:bCs/>
          <w:i/>
          <w:iCs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(поз. 1-2) Таблицы 1.1 настоящих Технических требований)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1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0"/>
        <w:gridCol w:w="4755"/>
        <w:gridCol w:w="1876"/>
        <w:gridCol w:w="3630"/>
        <w:gridCol w:w="2129"/>
      </w:tblGrid>
      <w:tr>
        <w:trPr/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18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  <w:t>Параметры эквивалентности</w:t>
            </w:r>
          </w:p>
        </w:tc>
        <w:tc>
          <w:tcPr>
            <w:tcW w:w="5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35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12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12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отдельных позиций продукции представлены в Таблице 3.1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настоящих Технических требований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в отношении отдельных позиций продукции представлены в Таблице 3.1</w:t>
            </w: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 xml:space="preserve"> настоящих Технических требований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и условияпоставки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670" w:leader="none"/>
              </w:tabs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/>
              <w:t>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Упаковка должна обеспечивать полную сохранность и защиту от повреждения продукции на весь срок его транспортировки любым средством транспорта с учетом перегрузок и длительного хранения в течение гарантийного срока хранения (не менее 12 месяцев с даты подписания товарной накладной по форме ТОРГ-12 на поставленную продукцию). Продукция поставляется в таре завода-изготовителя. Тара и упаковка Поставщику не возвращаются. Маркировка МТР должна быть достоверной, читаемой и доступной для осмотра и идентификации, обладать износостойкостью.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Комплектность поставки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перечнем и объемами закупаемой продукции (Таблица 1.1 настоящих Технических требований).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righ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2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12 (двенадцати) месяцев с даты подписания ТОРГ-12 / УПД.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Передаваемые документы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Поставляется МТР в комплектации с предоставлением пакета документации: паспорт, в состав которого входит сборочный чертеж и сертификат соответствия (предоставляются единовременно с поставкой МТР).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Иные требования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каждом изделии должен быть нанесен заводской номер и номер чертежа сегмента ударным способом.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040" w:leader="none"/>
              </w:tabs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даты подписания накладной по форме ТОРГ-12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/ УПД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7.2.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Меры национального режима,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указаны в таблице 1.1  настоящих Технических требований.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составе заявки необходимо представить:</w:t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 3.1 Требования к техническим характеристикам и конструктивным особенностям продукции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1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861"/>
        <w:gridCol w:w="6014"/>
        <w:gridCol w:w="1861"/>
        <w:gridCol w:w="2669"/>
        <w:gridCol w:w="2145"/>
      </w:tblGrid>
      <w:tr>
        <w:trPr>
          <w:trHeight w:val="306" w:hRule="atLeast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70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05" w:hRule="atLeast"/>
        </w:trPr>
        <w:tc>
          <w:tcPr>
            <w:tcW w:w="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15" w:leader="none"/>
                <w:tab w:val="left" w:pos="2955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right="0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4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1.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Сегмент подпятника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Сегменты поставляются с возможностью установки трех датчиков типа ТСМ (чертеж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5БП.192.780 М рис.1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Покрытие сегментов – эластичное металлопластмассовое покрытие.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Толщина фторопластового слоя над поверхностью бронзовой проволоки не менее 1,5 мм и не более 2,5 мм.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Марка фторопластового слоя – Ф-4.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2.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Сегмент подпятника</w:t>
            </w:r>
          </w:p>
        </w:tc>
        <w:tc>
          <w:tcPr>
            <w:tcW w:w="6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Сегменты поставляются с возможностью установки 1 датчика типа ТСМ и 1 датчика типа ТКП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(чертеж 5БП.192.780 М рис.2).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Покрытие сегментов – эластичное металлопластмассовое покрытие.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Толщина фторопластового слоя над поверхностью бронзовой проволоки не менее 1,5 мм и не более 2,5 мм.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75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Марка фторопластового слоя – Ф-4.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right="0" w:hanging="0"/>
              <w:contextualSpacing/>
              <w:jc w:val="center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0"/>
        </w:numPr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8"/>
        </w:numPr>
        <w:ind w:left="357" w:right="0" w:hanging="0"/>
        <w:jc w:val="center"/>
        <w:rPr>
          <w:sz w:val="24"/>
          <w:szCs w:val="24"/>
          <w:lang w:val="ru-RU"/>
        </w:rPr>
      </w:pPr>
      <w:bookmarkStart w:id="11" w:name="__RefHeading___Toc18291_2731959919"/>
      <w:bookmarkEnd w:id="11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</w:p>
    <w:p>
      <w:pPr>
        <w:pStyle w:val="Normal"/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Normal"/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8"/>
        </w:numPr>
        <w:ind w:left="357" w:right="0" w:hanging="357"/>
        <w:jc w:val="center"/>
        <w:rPr>
          <w:sz w:val="24"/>
          <w:szCs w:val="24"/>
          <w:lang w:val="ru-RU"/>
        </w:rPr>
      </w:pPr>
      <w:bookmarkStart w:id="12" w:name="__RefHeading___Toc18269_2731959919"/>
      <w:bookmarkStart w:id="13" w:name="_Toc178673684"/>
      <w:bookmarkEnd w:id="12"/>
      <w:r>
        <w:rPr>
          <w:sz w:val="24"/>
          <w:szCs w:val="24"/>
          <w:lang w:val="ru-RU"/>
        </w:rPr>
        <w:t>Приложения</w:t>
      </w:r>
      <w:bookmarkEnd w:id="13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</w:t>
      </w:r>
      <w:r>
        <w:rPr>
          <w:bCs/>
          <w:iCs/>
          <w:sz w:val="24"/>
          <w:szCs w:val="24"/>
        </w:rPr>
        <w:t>Приложение № 1: Форма спецификации поставляемого оборудования и материалов.</w:t>
      </w:r>
    </w:p>
    <w:p>
      <w:pPr>
        <w:pStyle w:val="Normal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 </w:t>
      </w:r>
      <w:r>
        <w:rPr>
          <w:bCs/>
          <w:iCs/>
          <w:sz w:val="24"/>
          <w:szCs w:val="24"/>
        </w:rPr>
        <w:t xml:space="preserve">Приложение № 2: Чертеж </w:t>
      </w:r>
      <w:r>
        <w:rPr>
          <w:bCs/>
          <w:iCs/>
          <w:color w:val="000000"/>
          <w:sz w:val="24"/>
          <w:szCs w:val="24"/>
          <w:shd w:fill="auto" w:val="clear"/>
        </w:rPr>
        <w:t>5</w:t>
      </w:r>
      <w:r>
        <w:rPr>
          <w:rFonts w:eastAsia="Times New Roman" w:cs="Times New Roman"/>
          <w:bCs/>
          <w:iCs/>
          <w:color w:val="000000"/>
          <w:kern w:val="0"/>
          <w:sz w:val="24"/>
          <w:szCs w:val="24"/>
          <w:shd w:fill="auto" w:val="clear"/>
          <w:lang w:val="en-US" w:eastAsia="ru-RU" w:bidi="ar-SA"/>
        </w:rPr>
        <w:t>БП.192.780 М</w:t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jc w:val="center"/>
        <w:rPr>
          <w:sz w:val="24"/>
          <w:szCs w:val="24"/>
        </w:rPr>
      </w:pPr>
      <w:r>
        <w:rPr/>
      </w:r>
    </w:p>
    <w:p>
      <w:pPr>
        <w:pStyle w:val="Normal"/>
        <w:spacing w:before="0" w:after="120"/>
        <w:jc w:val="center"/>
        <w:rPr>
          <w:sz w:val="24"/>
          <w:szCs w:val="24"/>
        </w:rPr>
      </w:pPr>
      <w:r>
        <w:rPr>
          <w:rFonts w:eastAsia="Calibri"/>
          <w:b/>
        </w:rPr>
        <w:t>Форма спецификации поставляемого оборудования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Страна происхождения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Общая стоимость (руб. без НДС)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right="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b/>
          <w:u w:val="single"/>
        </w:rPr>
        <w:t>Примечание</w:t>
      </w:r>
      <w:r>
        <w:rPr/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sz w:val="24"/>
          <w:szCs w:val="24"/>
        </w:rPr>
      </w:pPr>
      <w:r>
        <w:rPr>
          <w:b/>
        </w:rPr>
        <w:t>*</w:t>
      </w:r>
      <w:r>
        <w:rPr/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widowControl/>
        <w:suppressAutoHyphens w:val="true"/>
        <w:overflowPunct w:val="false"/>
        <w:bidi w:val="0"/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1"/>
        <w:numId w:val="3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6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8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6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10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A11yhidden">
    <w:name w:val="a11yhidden"/>
    <w:basedOn w:val="DefaultParagraphFont"/>
    <w:qFormat/>
    <w:rPr/>
  </w:style>
  <w:style w:type="character" w:styleId="Organictitlecontentspan">
    <w:name w:val="organictitlecontentspan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>
      <w:sz w:val="28"/>
      <w:szCs w:val="28"/>
    </w:rPr>
  </w:style>
  <w:style w:type="character" w:styleId="Style15">
    <w:name w:val="Ссылка указателя"/>
    <w:qFormat/>
    <w:rPr/>
  </w:style>
  <w:style w:type="character" w:styleId="LineNumber">
    <w:name w:val="Line Number"/>
    <w:rPr/>
  </w:style>
  <w:style w:type="character" w:styleId="Strong">
    <w:name w:val="Strong"/>
    <w:qFormat/>
    <w:rPr>
      <w:b/>
      <w:bCs/>
    </w:rPr>
  </w:style>
  <w:style w:type="character" w:styleId="Style16">
    <w:name w:val="РГ_номер текста табл Знак"/>
    <w:basedOn w:val="14"/>
    <w:qFormat/>
    <w:rPr>
      <w:rFonts w:ascii="Calibri" w:hAnsi="Calibri" w:eastAsia="Calibri" w:cs="Calibri"/>
      <w:sz w:val="24"/>
      <w:szCs w:val="22"/>
      <w:lang w:eastAsia="en-US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14">
    <w:name w:val="Абзац списка Знак1"/>
    <w:basedOn w:val="DefaultParagraphFont"/>
    <w:qFormat/>
    <w:rPr>
      <w:rFonts w:ascii="Calibri" w:hAnsi="Calibri"/>
      <w:sz w:val="22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Style17">
    <w:name w:val="Колонтитул_"/>
    <w:basedOn w:val="DefaultParagraphFont"/>
    <w:qFormat/>
    <w:rPr>
      <w:rFonts w:ascii="Times New Roman" w:hAnsi="Times New Roman"/>
      <w:shd w:fill="FFFFFF" w:val="clear"/>
    </w:rPr>
  </w:style>
  <w:style w:type="character" w:styleId="61">
    <w:name w:val="Основной текст (6)_"/>
    <w:basedOn w:val="DefaultParagraphFont"/>
    <w:qFormat/>
    <w:rPr>
      <w:rFonts w:ascii="Times New Roman" w:hAnsi="Times New Roman"/>
      <w:shd w:fill="FFFFFF" w:val="clear"/>
    </w:rPr>
  </w:style>
  <w:style w:type="character" w:styleId="FollowedHyperlink">
    <w:name w:val="FollowedHyperlink"/>
    <w:rPr>
      <w:color w:val="954F72"/>
      <w:u w:val="single"/>
    </w:rPr>
  </w:style>
  <w:style w:type="character" w:styleId="Style18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9">
    <w:name w:val="Тема примечания Знак"/>
    <w:qFormat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20">
    <w:name w:val="Схема документа Знак"/>
    <w:qFormat/>
    <w:rPr>
      <w:rFonts w:ascii="Tahoma" w:hAnsi="Tahoma" w:cs="Tahoma"/>
      <w:sz w:val="16"/>
      <w:szCs w:val="16"/>
    </w:rPr>
  </w:style>
  <w:style w:type="character" w:styleId="Linenumber1">
    <w:name w:val="line number1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Apple-style-span">
    <w:name w:val="apple-style-span"/>
    <w:basedOn w:val="DefaultParagraphFont"/>
    <w:qFormat/>
    <w:rPr/>
  </w:style>
  <w:style w:type="character" w:styleId="Style21">
    <w:name w:val="Текст выноски Знак"/>
    <w:qFormat/>
    <w:rPr>
      <w:rFonts w:ascii="Tahoma" w:hAnsi="Tahoma" w:cs="Tahoma"/>
      <w:sz w:val="16"/>
      <w:szCs w:val="16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/>
  </w:style>
  <w:style w:type="paragraph" w:styleId="Style24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5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6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5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7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8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tabs>
        <w:tab w:val="clear" w:pos="708"/>
        <w:tab w:val="left" w:pos="1120" w:leader="none"/>
        <w:tab w:val="right" w:pos="9911" w:leader="dot"/>
      </w:tabs>
      <w:ind w:left="567" w:right="0" w:hanging="0"/>
    </w:pPr>
    <w:rPr>
      <w:rFonts w:cs="Calibri"/>
      <w:sz w:val="20"/>
      <w:szCs w:val="20"/>
    </w:rPr>
  </w:style>
  <w:style w:type="paragraph" w:styleId="Style29">
    <w:name w:val="Раздел регламента"/>
    <w:basedOn w:val="Normal"/>
    <w:qFormat/>
    <w:pPr/>
    <w:rPr/>
  </w:style>
  <w:style w:type="paragraph" w:styleId="Style30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7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3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numPr>
        <w:ilvl w:val="0"/>
        <w:numId w:val="0"/>
      </w:num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2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1">
    <w:name w:val="List Bullet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3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4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5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6">
    <w:name w:val="Подподпункт"/>
    <w:basedOn w:val="Style28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7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8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9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0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Верхний колонтитул1"/>
    <w:basedOn w:val="Normal"/>
    <w:qFormat/>
    <w:pPr>
      <w:spacing w:before="280" w:after="280"/>
    </w:pPr>
    <w:rPr>
      <w:sz w:val="24"/>
      <w:szCs w:val="24"/>
    </w:rPr>
  </w:style>
  <w:style w:type="paragraph" w:styleId="Style40">
    <w:name w:val="Содержимое врезки"/>
    <w:basedOn w:val="Normal"/>
    <w:qFormat/>
    <w:pPr/>
    <w:rPr/>
  </w:style>
  <w:style w:type="paragraph" w:styleId="Style4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>
    <w:name w:val="Заголовок таблицы"/>
    <w:basedOn w:val="Style41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Xmsolistparagraph">
    <w:name w:val="x_msolistparagraph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112">
    <w:name w:val="1.1. таблица"/>
    <w:basedOn w:val="Style43"/>
    <w:qFormat/>
    <w:pPr>
      <w:numPr>
        <w:ilvl w:val="1"/>
        <w:numId w:val="11"/>
      </w:numPr>
      <w:tabs>
        <w:tab w:val="clear" w:pos="708"/>
      </w:tabs>
      <w:ind w:left="1440" w:right="0" w:hanging="360"/>
    </w:pPr>
    <w:rPr/>
  </w:style>
  <w:style w:type="paragraph" w:styleId="Style43">
    <w:name w:val="РГ_номер текста табл"/>
    <w:basedOn w:val="ListParagraph"/>
    <w:qFormat/>
    <w:pPr>
      <w:numPr>
        <w:ilvl w:val="0"/>
        <w:numId w:val="11"/>
      </w:numPr>
      <w:spacing w:lineRule="auto" w:line="240" w:before="0" w:after="0"/>
      <w:contextualSpacing/>
      <w:jc w:val="both"/>
    </w:pPr>
    <w:rPr>
      <w:rFonts w:ascii="Calibri" w:hAnsi="Calibri" w:eastAsia="Calibri" w:cs="Calibri"/>
      <w:sz w:val="24"/>
      <w:lang w:eastAsia="en-US"/>
    </w:rPr>
  </w:style>
  <w:style w:type="paragraph" w:styleId="Dt-p">
    <w:name w:val="dt-p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ConsPlusNonformat">
    <w:name w:val="ConsPlusNonformat"/>
    <w:basedOn w:val="Normal"/>
    <w:qFormat/>
    <w:pPr>
      <w:spacing w:lineRule="auto" w:line="240" w:before="0" w:after="0"/>
    </w:pPr>
    <w:rPr>
      <w:rFonts w:ascii="Courier New" w:hAnsi="Courier New" w:eastAsia="Calibri" w:cs="Courier New"/>
      <w:sz w:val="20"/>
      <w:szCs w:val="20"/>
    </w:rPr>
  </w:style>
  <w:style w:type="paragraph" w:styleId="TableListParagraph">
    <w:name w:val="Table List Paragraph"/>
    <w:basedOn w:val="Normal"/>
    <w:qFormat/>
    <w:pPr>
      <w:numPr>
        <w:ilvl w:val="0"/>
        <w:numId w:val="10"/>
      </w:numPr>
      <w:tabs>
        <w:tab w:val="clear" w:pos="708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62">
    <w:name w:val="Основной текст (6)"/>
    <w:basedOn w:val="Normal"/>
    <w:qFormat/>
    <w:pPr>
      <w:widowControl w:val="false"/>
      <w:shd w:val="clear" w:fill="FFFFFF"/>
      <w:spacing w:lineRule="auto" w:line="240" w:before="0" w:after="0"/>
      <w:ind w:left="0" w:right="0" w:firstLine="720"/>
      <w:jc w:val="both"/>
    </w:pPr>
    <w:rPr>
      <w:rFonts w:ascii="Times New Roman" w:hAnsi="Times New Roman"/>
      <w:sz w:val="20"/>
      <w:szCs w:val="20"/>
    </w:rPr>
  </w:style>
  <w:style w:type="paragraph" w:styleId="Style44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9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ListBullet4">
    <w:name w:val="List Bullet 4"/>
    <w:basedOn w:val="Normal"/>
    <w:qFormat/>
    <w:pPr>
      <w:numPr>
        <w:ilvl w:val="0"/>
        <w:numId w:val="5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Caption2">
    <w:name w:val="caption2"/>
    <w:basedOn w:val="Normal"/>
    <w:next w:val="Normal"/>
    <w:qFormat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DocumentMap">
    <w:name w:val="Document Map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7">
    <w:name w:val="Пункт_3"/>
    <w:basedOn w:val="Normal"/>
    <w:qFormat/>
    <w:pPr>
      <w:tabs>
        <w:tab w:val="clear" w:pos="708"/>
        <w:tab w:val="left" w:pos="1134" w:leader="none"/>
      </w:tabs>
      <w:spacing w:lineRule="auto" w:line="360" w:before="0" w:after="0"/>
      <w:ind w:left="1134" w:right="0" w:hanging="1133"/>
      <w:jc w:val="both"/>
    </w:pPr>
    <w:rPr>
      <w:rFonts w:ascii="Times New Roman" w:hAnsi="Times New Roman"/>
      <w:sz w:val="28"/>
      <w:szCs w:val="20"/>
    </w:rPr>
  </w:style>
  <w:style w:type="paragraph" w:styleId="113">
    <w:name w:val="Пункт1"/>
    <w:basedOn w:val="Normal"/>
    <w:qFormat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Style45">
    <w:name w:val="Подподподпункт"/>
    <w:basedOn w:val="Normal"/>
    <w:qFormat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Style46">
    <w:name w:val="Пункт Знак"/>
    <w:basedOn w:val="Normal"/>
    <w:qFormat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47">
    <w:name w:val="Текст таблицы"/>
    <w:basedOn w:val="Normal"/>
    <w:qFormat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48">
    <w:name w:val="Обычный+ без отступа"/>
    <w:basedOn w:val="Normal"/>
    <w:qFormat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numbering" w:styleId="114">
    <w:name w:val="Стиль1"/>
    <w:qFormat/>
  </w:style>
  <w:style w:type="numbering" w:styleId="210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Application>AlterOffice/3.4.0.9$Linux_X86_64 LibreOffice_project/b8daf9e823b1a5463a2f48435ddc2e8696e7d4fc</Application>
  <AppVersion>15.0000</AppVersion>
  <Pages>10</Pages>
  <Words>1220</Words>
  <Characters>8425</Characters>
  <CharactersWithSpaces>9431</CharactersWithSpaces>
  <Paragraphs>269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2024-09-26T10:53:00Z</dcterms:created>
  <dc:creator>Быстров Олег Геннадьевич</dc:creator>
  <dc:description/>
  <dc:language>ru-RU</dc:language>
  <cp:lastModifiedBy>Александр Алексеевич Зайцев</cp:lastModifiedBy>
  <cp:lastPrinted>2006-07-26T14:04:00Z</cp:lastPrinted>
  <dcterms:modified xsi:type="dcterms:W3CDTF">2026-08-12T14:14:14Z</dcterms:modified>
  <cp:revision>72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