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«УТВЕРЖДАЮ»</w:t>
      </w:r>
    </w:p>
    <w:p>
      <w:pPr>
        <w:pStyle w:val="Style27"/>
        <w:spacing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Директор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Саяно-Шушенского филиала 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АО «ТК РусГидро»</w:t>
      </w:r>
    </w:p>
    <w:p>
      <w:pPr>
        <w:pStyle w:val="ListParagraph"/>
        <w:spacing w:before="240" w:after="0"/>
        <w:contextualSpacing/>
        <w:jc w:val="right"/>
        <w:rPr/>
      </w:pPr>
      <w:r>
        <w:rPr/>
        <w:t xml:space="preserve">        </w:t>
      </w:r>
      <w:r>
        <w:rPr/>
        <w:t>_______________В.А. Кяри</w:t>
      </w:r>
    </w:p>
    <w:p>
      <w:pPr>
        <w:pStyle w:val="ListParagraph"/>
        <w:spacing w:before="240" w:after="0"/>
        <w:contextualSpacing/>
        <w:jc w:val="right"/>
        <w:rPr/>
      </w:pPr>
      <w:r>
        <w:rPr/>
        <w:t>«____»________________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45.20.11.</w:t>
      </w:r>
      <w:r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00. Оказание услуг по техническому обслуживанию и текущему ремонту негарантийн</w:t>
      </w:r>
      <w:r>
        <w:rPr>
          <w:rFonts w:eastAsia="Calibri"/>
          <w:sz w:val="24"/>
          <w:szCs w:val="24"/>
        </w:rPr>
        <w:t>ого</w:t>
      </w:r>
      <w:r>
        <w:rPr>
          <w:rFonts w:eastAsia="Calibri"/>
          <w:sz w:val="24"/>
          <w:szCs w:val="24"/>
        </w:rPr>
        <w:t xml:space="preserve"> автомобил</w:t>
      </w:r>
      <w:r>
        <w:rPr>
          <w:rFonts w:eastAsia="Calibri"/>
          <w:sz w:val="24"/>
          <w:szCs w:val="24"/>
        </w:rPr>
        <w:t>я</w:t>
      </w:r>
      <w:r>
        <w:rPr>
          <w:rFonts w:eastAsia="Calibri"/>
          <w:sz w:val="24"/>
          <w:szCs w:val="24"/>
        </w:rPr>
        <w:t xml:space="preserve"> марки Toyota  </w:t>
      </w:r>
      <w:r>
        <w:rPr>
          <w:rFonts w:eastAsia="Calibri"/>
          <w:sz w:val="24"/>
          <w:szCs w:val="24"/>
        </w:rPr>
        <w:t xml:space="preserve">Land Cruiser-300 </w:t>
      </w:r>
      <w:r>
        <w:rPr>
          <w:rFonts w:eastAsia="Calibri"/>
          <w:sz w:val="24"/>
          <w:szCs w:val="24"/>
        </w:rPr>
        <w:t>для нужд Красноярского представительства Саяно-Шушенского филиала АО "ТК РусГидро»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Лот № 40</w:t>
      </w:r>
      <w:r>
        <w:rPr>
          <w:rFonts w:eastAsia="Calibri"/>
          <w:sz w:val="24"/>
          <w:szCs w:val="24"/>
        </w:rPr>
        <w:t>63</w:t>
      </w:r>
      <w:r>
        <w:rPr>
          <w:rFonts w:eastAsia="Calibri"/>
          <w:sz w:val="24"/>
          <w:szCs w:val="24"/>
        </w:rPr>
        <w:t>-ТО ПРОД-202</w:t>
      </w:r>
      <w:r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2"/>
              <w:vanish w:val="false"/>
              <w:rFonts w:eastAsia="Calibri"/>
            </w:rPr>
            <w:instrText xml:space="preserve"> TOC \o "1-4" \h</w:instrText>
          </w:r>
          <w:r>
            <w:rPr>
              <w:rStyle w:val="Style12"/>
              <w:vanish w:val="false"/>
              <w:rFonts w:eastAsia="Calibri"/>
            </w:rPr>
            <w:fldChar w:fldCharType="separate"/>
          </w:r>
          <w:hyperlink w:anchor="_Toc181254691">
            <w:r>
              <w:rPr>
                <w:rStyle w:val="Style12"/>
                <w:rFonts w:eastAsia="Calibri"/>
                <w:vanish w:val="false"/>
              </w:rPr>
              <w:t>1.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2">
            <w:r>
              <w:rPr>
                <w:rStyle w:val="Style12"/>
                <w:rFonts w:eastAsia="Calibri"/>
                <w:iCs/>
                <w:vanish w:val="false"/>
              </w:rPr>
              <w:t>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3">
            <w:r>
              <w:rPr>
                <w:rStyle w:val="Style12"/>
                <w:rFonts w:eastAsia="Calibri"/>
                <w:iCs/>
                <w:vanish w:val="false"/>
              </w:rPr>
              <w:t>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4">
            <w:r>
              <w:rPr>
                <w:rStyle w:val="Style12"/>
                <w:rFonts w:eastAsia="Calibri"/>
                <w:iCs/>
                <w:vanish w:val="false"/>
              </w:rPr>
              <w:t>1.3.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5">
            <w:r>
              <w:rPr>
                <w:rStyle w:val="Style12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6">
            <w:r>
              <w:rPr>
                <w:rStyle w:val="Style12"/>
                <w:rFonts w:eastAsia="Calibri"/>
                <w:vanish w:val="false"/>
              </w:rPr>
              <w:t>2.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7">
            <w:r>
              <w:rPr>
                <w:rStyle w:val="Style12"/>
                <w:rFonts w:eastAsia="Calibri"/>
                <w:iCs/>
                <w:vanish w:val="false"/>
              </w:rPr>
              <w:t>2.1.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698">
            <w:r>
              <w:rPr>
                <w:rStyle w:val="Style12"/>
                <w:rFonts w:eastAsia="Calibri"/>
                <w:vanish w:val="false"/>
              </w:rPr>
              <w:t>2.1.1.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9">
            <w:r>
              <w:rPr>
                <w:rStyle w:val="Style12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700">
            <w:r>
              <w:rPr>
                <w:rStyle w:val="Style12"/>
                <w:rFonts w:eastAsia="Calibri"/>
                <w:vanish w:val="false"/>
              </w:rPr>
              <w:t>2.1.2.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1">
            <w:r>
              <w:rPr>
                <w:rStyle w:val="Style12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702">
            <w:r>
              <w:rPr>
                <w:rStyle w:val="Style12"/>
                <w:rFonts w:eastAsia="Calibri"/>
                <w:iCs/>
                <w:vanish w:val="false"/>
              </w:rPr>
              <w:t>2.2.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3">
            <w:r>
              <w:rPr>
                <w:rStyle w:val="Style12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8">
            <w:r>
              <w:rPr>
                <w:rStyle w:val="Style12"/>
                <w:rFonts w:eastAsia="Calibri"/>
                <w:vanish w:val="false"/>
              </w:rPr>
              <w:t>3.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2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181254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" w:name="_Toc181254692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требовавния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overflowPunct w:val="false"/>
              <w:bidi w:val="0"/>
              <w:spacing w:before="100" w:after="100"/>
              <w:ind w:left="0" w:right="0" w:firstLine="113"/>
              <w:jc w:val="left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</w:rPr>
              <w:t>ТО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" w:name="_Toc181254693"/>
      <w:bookmarkStart w:id="4" w:name="_Toc46743506"/>
      <w:r>
        <w:rPr/>
        <w:t>Наименование закупаемой продукци</w:t>
      </w:r>
      <w:bookmarkEnd w:id="3"/>
      <w:bookmarkEnd w:id="4"/>
      <w:r>
        <w:rPr/>
        <w:t>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rPr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45.20.11.</w:t>
      </w:r>
      <w:r>
        <w:rPr>
          <w:rFonts w:eastAsia="Calibri"/>
          <w:sz w:val="24"/>
          <w:szCs w:val="24"/>
          <w:lang w:eastAsia="x-none"/>
        </w:rPr>
        <w:t>1</w:t>
      </w:r>
      <w:r>
        <w:rPr>
          <w:rFonts w:eastAsia="Calibri"/>
          <w:sz w:val="24"/>
          <w:szCs w:val="24"/>
          <w:lang w:eastAsia="x-none"/>
        </w:rPr>
        <w:t>00. Оказание услуг по техническому обслуживанию и текущему ремонту негарантийн</w:t>
      </w:r>
      <w:r>
        <w:rPr>
          <w:rFonts w:eastAsia="Calibri"/>
          <w:sz w:val="24"/>
          <w:szCs w:val="24"/>
          <w:lang w:eastAsia="x-none"/>
        </w:rPr>
        <w:t>ого</w:t>
      </w:r>
      <w:r>
        <w:rPr>
          <w:rFonts w:eastAsia="Calibri"/>
          <w:sz w:val="24"/>
          <w:szCs w:val="24"/>
          <w:lang w:eastAsia="x-none"/>
        </w:rPr>
        <w:t xml:space="preserve"> автомобил</w:t>
      </w:r>
      <w:r>
        <w:rPr>
          <w:rFonts w:eastAsia="Calibri"/>
          <w:sz w:val="24"/>
          <w:szCs w:val="24"/>
          <w:lang w:eastAsia="x-none"/>
        </w:rPr>
        <w:t>я</w:t>
      </w:r>
      <w:r>
        <w:rPr>
          <w:rFonts w:eastAsia="Calibri"/>
          <w:sz w:val="24"/>
          <w:szCs w:val="24"/>
          <w:lang w:eastAsia="x-none"/>
        </w:rPr>
        <w:t xml:space="preserve"> марки Toyota  </w:t>
      </w:r>
      <w:r>
        <w:rPr>
          <w:rFonts w:eastAsia="Calibri"/>
          <w:sz w:val="24"/>
          <w:szCs w:val="24"/>
          <w:lang w:eastAsia="x-none"/>
        </w:rPr>
        <w:t xml:space="preserve">Land Cruiser-300 </w:t>
      </w:r>
      <w:r>
        <w:rPr>
          <w:rFonts w:eastAsia="Calibri"/>
          <w:sz w:val="24"/>
          <w:szCs w:val="24"/>
          <w:lang w:eastAsia="x-none"/>
        </w:rPr>
        <w:t>для нужд Красноярского представительства Саяно-Шушенского филиала АО "ТК РусГидро».</w:t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rPr/>
      </w:pPr>
      <w:bookmarkStart w:id="5" w:name="_Toc181254694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"Правил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11.04.2001 № 290 (редакции от 31.01.2017г),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sz w:val="24"/>
          <w:szCs w:val="24"/>
          <w:lang w:val="ru-RU"/>
        </w:rPr>
      </w:pPr>
      <w:bookmarkStart w:id="7" w:name="_Toc181254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техническому обслуживанию и текущему ремонту негарантийн</w:t>
            </w:r>
            <w:r>
              <w:rPr>
                <w:rFonts w:eastAsia="Calibri"/>
                <w:sz w:val="24"/>
                <w:szCs w:val="24"/>
              </w:rPr>
              <w:t>ого</w:t>
            </w:r>
            <w:r>
              <w:rPr>
                <w:rFonts w:eastAsia="Calibri"/>
                <w:sz w:val="24"/>
                <w:szCs w:val="24"/>
              </w:rPr>
              <w:t xml:space="preserve"> автомобил</w:t>
            </w:r>
            <w:r>
              <w:rPr>
                <w:rFonts w:eastAsia="Calibri"/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 xml:space="preserve"> марки Toyota  </w:t>
            </w:r>
            <w:r>
              <w:rPr>
                <w:rFonts w:eastAsia="Calibri"/>
                <w:sz w:val="24"/>
                <w:szCs w:val="24"/>
              </w:rPr>
              <w:t xml:space="preserve">Land Cruiser-300 </w:t>
            </w:r>
            <w:r>
              <w:rPr>
                <w:rFonts w:eastAsia="Calibri"/>
                <w:sz w:val="24"/>
                <w:szCs w:val="24"/>
              </w:rPr>
              <w:t>для нужд Красноярского представительства Саяно-Шушенского филиала АО "ТК РусГидро»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Красноярск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val="en-US"/>
              </w:rPr>
              <w:t>Toyota  Land Cruiser-300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Р 973 МЕ 19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iCs/>
          <w:caps/>
          <w:lang w:val="ru-RU"/>
        </w:rPr>
      </w:pPr>
      <w:bookmarkStart w:id="8" w:name="_Toc51339693"/>
      <w:bookmarkStart w:id="9" w:name="_Toc181254696"/>
      <w:bookmarkStart w:id="10" w:name="_Hlk482097611"/>
      <w:bookmarkStart w:id="11" w:name="_Toc50125126"/>
      <w:bookmarkEnd w:id="10"/>
      <w:bookmarkEnd w:id="11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2" w:name="_Toc181254697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3" w:name="_Toc181254698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4" w:name="_Toc181254699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Toyota  Land Cruiser-300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 973 МЕ 19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2025, VIN JTMAB7BJ6P4078959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36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113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 атомобил</w:t>
            </w:r>
            <w:r>
              <w:rPr>
                <w:bCs/>
                <w:sz w:val="24"/>
                <w:szCs w:val="24"/>
              </w:rPr>
              <w:t>я</w:t>
            </w:r>
            <w:r>
              <w:rPr>
                <w:bCs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Toyota  Land Cruiser-300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,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Р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 973 МЕ 19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2025, VIN JTMAB7BJ6P4078959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нормoчас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6" w:name="_Toc181254700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8" w:name="_Toc181254701"/>
      <w:bookmarkStart w:id="19" w:name="_Toc50125127"/>
      <w:bookmarkStart w:id="20" w:name="_Toc5133969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005"/>
        <w:gridCol w:w="2981"/>
        <w:gridCol w:w="3115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техническому обслуживанию и текущему ремонту негарантийн</w:t>
            </w:r>
            <w:r>
              <w:rPr>
                <w:rFonts w:eastAsia="Calibri"/>
                <w:sz w:val="24"/>
                <w:szCs w:val="24"/>
              </w:rPr>
              <w:t>ого</w:t>
            </w:r>
            <w:r>
              <w:rPr>
                <w:rFonts w:eastAsia="Calibri"/>
                <w:sz w:val="24"/>
                <w:szCs w:val="24"/>
              </w:rPr>
              <w:t xml:space="preserve"> автомобил</w:t>
            </w:r>
            <w:r>
              <w:rPr>
                <w:rFonts w:eastAsia="Calibri"/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 xml:space="preserve"> марки </w:t>
            </w:r>
            <w:r>
              <w:rPr>
                <w:rFonts w:eastAsia="Calibri"/>
                <w:sz w:val="24"/>
                <w:szCs w:val="24"/>
              </w:rPr>
              <w:t xml:space="preserve">Toyota  Land Cruiser-300 </w:t>
            </w:r>
            <w:r>
              <w:rPr>
                <w:rFonts w:eastAsia="Calibri"/>
                <w:sz w:val="24"/>
                <w:szCs w:val="24"/>
              </w:rPr>
              <w:t>для нужд Красноярского представительства Саяно-Шушенского филиала АО "ТК РусГидро»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3" w:name="_Toc46743510"/>
            <w:r>
              <w:rPr>
                <w:bCs/>
                <w:sz w:val="24"/>
                <w:szCs w:val="24"/>
              </w:rPr>
              <w:t>по 31.12.202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г.</w:t>
            </w:r>
            <w:bookmarkEnd w:id="23"/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4" w:name="_Toc51339698"/>
      <w:bookmarkStart w:id="25" w:name="_Toc181254702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5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</w:rPr>
      </w:pPr>
      <w:bookmarkStart w:id="27" w:name="_Toc18125470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r>
        <w:rPr>
          <w:sz w:val="24"/>
          <w:szCs w:val="24"/>
          <w:lang w:val="ru-RU"/>
        </w:rPr>
        <w:t>качеству услуг</w:t>
      </w:r>
      <w:bookmarkEnd w:id="27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(все позиции Таблицы 2): </w:t>
      </w:r>
      <w:r>
        <w:rPr>
          <w:bCs/>
        </w:rPr>
        <w:t>ТО, ТР, Замена масла в КПП, Развал-схождение</w:t>
      </w:r>
      <w:r>
        <w:rPr>
          <w:bCs/>
          <w:i/>
          <w:sz w:val="24"/>
          <w:szCs w:val="24"/>
        </w:rPr>
        <w:t xml:space="preserve">,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Шиномонтаж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W w:w="149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6"/>
        <w:gridCol w:w="3857"/>
        <w:gridCol w:w="2579"/>
        <w:gridCol w:w="2727"/>
        <w:gridCol w:w="2628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8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right="0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9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Style w:val="Style15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произведенный текущий ремонт автомобилей марки «Toyota» или «Lexus» 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before="0" w:after="0"/>
              <w:ind w:left="0" w:righ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При проведении работ по ТО и/или текущему ремонту  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исполнитель должен установить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оригинальны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е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запасны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е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част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и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и расходны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е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материал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ы в соответствии с каталожными номерами завода изготовителя автомобиля.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 xml:space="preserve">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lineRule="auto" w:line="240" w:before="0" w:after="0"/>
              <w:ind w:left="28" w:righ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если в ходе проведения технических воздействий выявлена, необходимость замены как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ой-либо детали, узла или агрегата стоимость, которой или стоимость работы по замене которой превышает 5000 (Пять тысяч) рублей без НДС, Исполнитель обязан провести дополнит</w:t>
            </w:r>
            <w:r>
              <w:rPr>
                <w:rFonts w:cs="Times New Roman"/>
                <w:kern w:val="0"/>
                <w:lang w:val="ru-RU" w:eastAsia="ru-RU" w:bidi="ar-SA"/>
              </w:rPr>
              <w:t>ельное согласование с Заказчиком о необходимости и порядке выполнения данной работы.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1.3.4.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ind w:left="57" w:right="0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left="37" w:right="0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ТО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0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0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31" w:name="_Toc181254706"/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Трудоемкость</w:t>
            </w:r>
            <w:bookmarkEnd w:id="31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Трудоемкость услуг соответствует нормативной документации завода-изготовителя.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sz w:val="20"/>
                <w:szCs w:val="20"/>
              </w:rPr>
            </w:pPr>
            <w:bookmarkStart w:id="32" w:name="_Toc181254707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2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righ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6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 xml:space="preserve">Участник должен иметь не менее одной собственной (либо в аренде) производственной базы для проведения ТО и ремонта транспортных средств.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Площадью не менее 50 м2.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Согласие с </w:t>
            </w:r>
            <w:bookmarkStart w:id="33" w:name="_GoBack"/>
            <w:bookmarkEnd w:id="33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lang w:val="ru-RU"/>
        </w:rPr>
      </w:pPr>
      <w:bookmarkStart w:id="34" w:name="_Toc181254708"/>
      <w:bookmarkStart w:id="35" w:name="_Toc53395937"/>
      <w:bookmarkStart w:id="36" w:name="_Toc53393312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rmal"/>
        <w:ind w:left="0" w:right="-2" w:hanging="0"/>
        <w:jc w:val="both"/>
        <w:rPr/>
      </w:pPr>
      <w:r>
        <w:rPr>
          <w:rStyle w:val="Style15"/>
          <w:sz w:val="24"/>
          <w:szCs w:val="24"/>
        </w:rPr>
        <w:t xml:space="preserve">3.1. Расчет стоимости технического обслуживания транспортных средств марки «Toyota» и «Lexus» должен быть представлен по форме Приложения № 1 к настоящим техническим требованиям. Стоимость снятия и установки защиты картера, стоимость работ по техническому обслуживанию, стоимость запасных частей, накладные расходы, расходные материалы, оплата таможенных пошлин, налогов, сборов и других обязательных платежей, в том числе НДС, должны входить в стоимость услуг по техническому обслуживанию автомобилей марки «Toyota». </w:t>
      </w:r>
      <w:r>
        <w:rPr>
          <w:rStyle w:val="Style15"/>
          <w:b/>
          <w:sz w:val="24"/>
          <w:szCs w:val="24"/>
        </w:rPr>
        <w:t>В случае, если по указанному гос.рег.номеру отсутствует стоимость технического обслуживания, регламент технического обслуживания по пробегу, то стоимость технического обслуживания и регламент технического обслуживания устанавливается по аналогичному транспортному средству (по коду модели) и соответствующему пробегу/году эксплуатации либо по кратности технического обслуживания в соответствии с Приложением № 6 к Договору (Стоимость технического обслуживания транспортных средств марки «Toyota»).</w:t>
      </w:r>
      <w:r>
        <w:rPr>
          <w:rStyle w:val="Style15"/>
          <w:sz w:val="24"/>
          <w:szCs w:val="24"/>
        </w:rPr>
        <w:t xml:space="preserve"> Техническое обслуживание проводится согласно Регламента технического обслуживания транспортных средств марки «Toyota» (Приложение № 8 к Договору).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3.2. </w:t>
      </w: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 xml:space="preserve">» должен быть представлен по форме Приложения № 2 к настоящим техническим требованиям. Накладные расходы и обязательные платежи, в том числе НДС, должны входить в стоимость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 xml:space="preserve">». В случаях, когда текущий ремонт производится параллельно с техническим обслуживанием или в день проведения технического обслуживания, плата за снятие и установку защиты картера не взимается и входит в стоимость технического обслуживания. Заказ-наряд не должен содержать следующие сведения: согласие на передачу информации указанной в заказ-наряде третьим лицам, данных о гарантийных обязательствах Исполнителя, о порядке сдачи-приемки результатов работ (услуг), стоимости парковки. 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нормо-часа, код работы. </w:t>
      </w:r>
      <w:r>
        <w:rPr>
          <w:rStyle w:val="Style15"/>
          <w:b/>
          <w:color w:val="000000"/>
          <w:sz w:val="24"/>
          <w:szCs w:val="24"/>
        </w:rPr>
        <w:t xml:space="preserve">При снижении стоимости текущего ремонта, указанной в Коммерческом предложении (Форма 3), от стоимости текущего ремонта, указанной в Приложении № 8 (Структура НМЦ) к закупочной документации, стоимость нормо-часа автоматически снижается на процент снижения (п.5 Приложения №2 </w:t>
      </w:r>
      <w:r>
        <w:rPr>
          <w:rStyle w:val="Style15"/>
          <w:b/>
          <w:sz w:val="24"/>
          <w:szCs w:val="24"/>
        </w:rPr>
        <w:t>к настоящим техническим требованиям)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3.3. </w:t>
      </w:r>
      <w:r>
        <w:rPr>
          <w:rStyle w:val="Style15"/>
          <w:sz w:val="24"/>
          <w:szCs w:val="24"/>
        </w:rPr>
        <w:t xml:space="preserve">Стоимость запасных частей, используемых при текущем ремонте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 xml:space="preserve">» указаны в Приложении № 3 к настоящим техническим требованиям. Расходы на доставку, погрузочно-разгрузочные работы, стоимость тары и упаковки, оплата всех пошлин, налогов, сборов и других обязательных платежей, в том числе НДС, должны входить в стоимость запасных частей. В заказ-нарядах, помимо стоимости запчасти, указываются каталожный номер (код детали), наименование на русском языке, количество, единица измерений, цена и стоимость. </w:t>
      </w:r>
      <w:r>
        <w:rPr>
          <w:rStyle w:val="Style15"/>
          <w:b/>
          <w:sz w:val="24"/>
          <w:szCs w:val="24"/>
        </w:rPr>
        <w:t xml:space="preserve">При снижении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>, от стоимости текущего ремонта</w:t>
      </w:r>
      <w:r>
        <w:rPr>
          <w:rStyle w:val="Style15"/>
          <w:b/>
          <w:color w:val="000000"/>
          <w:sz w:val="24"/>
          <w:szCs w:val="24"/>
        </w:rPr>
        <w:t xml:space="preserve">, </w:t>
      </w:r>
      <w:r>
        <w:rPr>
          <w:rStyle w:val="Style15"/>
          <w:b/>
          <w:sz w:val="24"/>
          <w:szCs w:val="24"/>
        </w:rPr>
        <w:t xml:space="preserve">указанной в Приложении № 8 (Структура НМЦ) к закупочной документации, стоимость каждой позиции, указанной в Приложении № 3 к настоящим техническим требованиям, автоматически снижается на процент снижения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</w:t>
      </w:r>
      <w:r>
        <w:rPr>
          <w:rStyle w:val="Style15"/>
          <w:b/>
          <w:sz w:val="24"/>
          <w:szCs w:val="24"/>
        </w:rPr>
        <w:t xml:space="preserve">Скидка от стоимости запасных частей, используемых при текущем ремонте транспортных средств </w:t>
      </w:r>
      <w:r>
        <w:rPr>
          <w:rStyle w:val="Style15"/>
          <w:rFonts w:eastAsia="Calibri"/>
          <w:b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b/>
          <w:sz w:val="24"/>
          <w:szCs w:val="24"/>
        </w:rPr>
        <w:t xml:space="preserve"> «</w:t>
      </w:r>
      <w:r>
        <w:rPr>
          <w:rStyle w:val="Style15"/>
          <w:b/>
          <w:sz w:val="24"/>
          <w:szCs w:val="24"/>
          <w:lang w:val="en-US"/>
        </w:rPr>
        <w:t>Toyota</w:t>
      </w:r>
      <w:r>
        <w:rPr>
          <w:rStyle w:val="Style15"/>
          <w:b/>
          <w:sz w:val="24"/>
          <w:szCs w:val="24"/>
        </w:rPr>
        <w:t xml:space="preserve">» должна быть указана в Приложении № 2 (п.8) к настоящим техническим требованиям и быть равнозначна проценту снижения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 xml:space="preserve"> от стоимости указанной в Приложении № 8 (Структура НМЦ) на ТР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На запасные части, масла, специальные жидкости, аксессуары, отсутствующие в Приложении № 3 к настоящим техническим требованиям, так же распространяется скидка указанная в п. 8 </w:t>
      </w:r>
      <w:r>
        <w:rPr>
          <w:rStyle w:val="Style15"/>
          <w:color w:val="000000"/>
          <w:sz w:val="24"/>
          <w:szCs w:val="24"/>
        </w:rPr>
        <w:t xml:space="preserve">Приложения № 2 </w:t>
      </w:r>
      <w:r>
        <w:rPr>
          <w:rStyle w:val="Style15"/>
          <w:sz w:val="24"/>
          <w:szCs w:val="24"/>
        </w:rPr>
        <w:t>к настоящим техническим требованиям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3.4. Выбор победителя проводится на основании полученных балов по порядку оценки и сопоставления заявок участников указанному в Приложении № 6 к Закупочной документации «Порядок и критерии оценки и сопоставления заявок».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3.5. В составе заявки, участник должен предоставить Коммерческое предложение по Форме 3 с указанием стоимости предложения.</w:t>
      </w:r>
    </w:p>
    <w:p>
      <w:pPr>
        <w:pStyle w:val="Normal"/>
        <w:ind w:left="0"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numPr>
          <w:ilvl w:val="0"/>
        </w:numPr>
        <w:ind w:left="0" w:right="0" w:hanging="0"/>
        <w:jc w:val="center"/>
        <w:outlineLvl w:val="9"/>
        <w:rPr/>
      </w:pPr>
      <w:bookmarkStart w:id="37" w:name="__RefHeading___Toc15026_4083542239"/>
      <w:bookmarkEnd w:id="37"/>
      <w:r>
        <w:rPr/>
        <w:t>4 . Приложения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>Приложение №1 - Расчет стоимости технического обслуживания транспортных средств марки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>» и «Toyota».</w:t>
      </w:r>
    </w:p>
    <w:p>
      <w:pPr>
        <w:pStyle w:val="Normal"/>
        <w:widowControl/>
        <w:tabs>
          <w:tab w:val="clear" w:pos="720"/>
          <w:tab w:val="left" w:pos="113" w:leader="none"/>
        </w:tabs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 xml:space="preserve">Приложение №2 - 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скидки от стоимости запасных частей.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bookmarkStart w:id="38" w:name="__RefHeading___Toc15028_4083542239"/>
      <w:bookmarkEnd w:id="38"/>
      <w:r>
        <w:rPr>
          <w:rFonts w:eastAsia="Times New Roman"/>
          <w:b w:val="false"/>
          <w:sz w:val="24"/>
          <w:szCs w:val="24"/>
        </w:rPr>
        <w:t>Приложение №3 - Стоимость запасных частей, используемых при текущем ремонте транспортных средств марки «Toyota».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r>
        <w:rPr>
          <w:rFonts w:eastAsia="Times New Roman"/>
          <w:b w:val="false"/>
          <w:bCs/>
          <w:iCs/>
          <w:sz w:val="24"/>
          <w:szCs w:val="24"/>
          <w:lang w:eastAsia="x-none"/>
        </w:rPr>
        <w:t>Приложение №4 - Регламент технического обслуживания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Heading1"/>
        <w:keepLines/>
        <w:numPr>
          <w:ilvl w:val="0"/>
        </w:numPr>
        <w:tabs>
          <w:tab w:val="clear" w:pos="0"/>
        </w:tabs>
        <w:ind w:left="357" w:right="0" w:hanging="0"/>
        <w:rPr>
          <w:iCs/>
          <w:lang w:val="ru-RU"/>
        </w:rPr>
      </w:pPr>
      <w:r>
        <w:rPr>
          <w:iCs/>
          <w:lang w:val="ru-RU"/>
        </w:rPr>
      </w:r>
      <w:bookmarkStart w:id="39" w:name="_Toc46743519"/>
      <w:bookmarkStart w:id="40" w:name="_Toc51339699"/>
      <w:bookmarkStart w:id="41" w:name="_Toc46743519"/>
      <w:bookmarkStart w:id="42" w:name="_Toc51339699"/>
      <w:bookmarkEnd w:id="41"/>
      <w:bookmarkEnd w:id="42"/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Приложение №1 к Техническим требованиям</w:t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>Расчет стоимости технического обслуживания транспортных средств марки «Toyota».</w:t>
      </w:r>
    </w:p>
    <w:tbl>
      <w:tblPr>
        <w:tblW w:w="149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357"/>
        <w:gridCol w:w="1575"/>
        <w:gridCol w:w="1098"/>
        <w:gridCol w:w="3771"/>
        <w:gridCol w:w="1276"/>
        <w:gridCol w:w="1260"/>
        <w:gridCol w:w="3022"/>
      </w:tblGrid>
      <w:tr>
        <w:trPr>
          <w:trHeight w:val="832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 xml:space="preserve">№ </w:t>
            </w: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п/п/</w:t>
            </w:r>
          </w:p>
        </w:tc>
        <w:tc>
          <w:tcPr>
            <w:tcW w:w="2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Марка, модель ТС, код модели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Регистр. Номер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Год выпуска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VIN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Стоимость ТО в руб. без НДС</w:t>
              <w:br/>
              <w:t>(заполняется в ячейках под каждым из перечисленных ниже ТО)</w:t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Toyota  Land Cruiser-300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Style w:val="Style15"/>
                <w:b w:val="false"/>
                <w:bCs w:val="false"/>
                <w:sz w:val="16"/>
                <w:szCs w:val="16"/>
              </w:rPr>
              <w:t xml:space="preserve">Р 973 МЕ </w:t>
            </w:r>
            <w:r>
              <w:rPr>
                <w:rStyle w:val="Style15"/>
                <w:b w:val="false"/>
                <w:bCs w:val="false"/>
                <w:sz w:val="16"/>
                <w:szCs w:val="16"/>
              </w:rPr>
              <w:t>19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JTMAB7BJ6P4078959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1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т.км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3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1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rFonts w:cs="Arial" w:ascii="Arial" w:hAnsi="Arial"/>
                <w:sz w:val="16"/>
                <w:szCs w:val="16"/>
              </w:rPr>
              <w:t>Итого за ТО (Техническое обслуживание) в руб. без НДС, указанное в Приложении № 8 (Структура НМЦ) к закупочной документации (Участником не заполняется):</w:t>
            </w:r>
          </w:p>
        </w:tc>
        <w:tc>
          <w:tcPr>
            <w:tcW w:w="3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orient="landscape" w:w="16838" w:h="11906"/>
          <w:pgMar w:left="1135" w:right="709" w:gutter="0" w:header="680" w:top="1134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</w:t>
        <w:br/>
        <w:t>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скидки от стоимости запасных частей.</w:t>
      </w:r>
    </w:p>
    <w:p>
      <w:pPr>
        <w:pStyle w:val="Style38"/>
        <w:rPr>
          <w:vanish/>
          <w:sz w:val="28"/>
          <w:szCs w:val="28"/>
        </w:rPr>
      </w:pPr>
      <w:r>
        <w:rPr>
          <w:vanish/>
          <w:sz w:val="28"/>
          <w:szCs w:val="28"/>
        </w:rPr>
      </w:r>
    </w:p>
    <w:tbl>
      <w:tblPr>
        <w:tblW w:w="103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6503"/>
        <w:gridCol w:w="1601"/>
        <w:gridCol w:w="1634"/>
      </w:tblGrid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 xml:space="preserve">№ </w:t>
            </w:r>
            <w:r>
              <w:rPr>
                <w:rStyle w:val="Style15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без НДС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с НДС</w:t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Стоимость</w:t>
            </w:r>
            <w:r>
              <w:rPr>
                <w:rStyle w:val="Style15"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sz w:val="24"/>
                <w:szCs w:val="24"/>
              </w:rPr>
              <w:t xml:space="preserve"> «</w:t>
            </w:r>
            <w:r>
              <w:rPr>
                <w:rStyle w:val="Style15"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sz w:val="24"/>
                <w:szCs w:val="24"/>
              </w:rPr>
              <w:t xml:space="preserve">» </w:t>
            </w:r>
            <w:r>
              <w:rPr>
                <w:rStyle w:val="Style15"/>
                <w:b/>
                <w:sz w:val="24"/>
                <w:szCs w:val="24"/>
              </w:rPr>
              <w:t>(Участником не заполняется)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Итого за ТР (Текущий ремонт) в руб. без НДС, указанное в Приложении № 8 (Структура НМЦ) к закупочной документации</w:t>
            </w:r>
            <w:r>
              <w:rPr>
                <w:rStyle w:val="Style15"/>
                <w:b/>
                <w:sz w:val="24"/>
                <w:szCs w:val="24"/>
              </w:rPr>
              <w:t xml:space="preserve"> (Участником не заполняется):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Итого за ТР в руб. без НДС (сумма по данной строке должна соответствовать сумме, указанной в Коммерческом предложении (Форма 3) «ИТОГО за ТР (Текущий ремонт) в руб. без НДС» в соответствии с предложением Участника)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Процент снижения стоимости ТР, (является одним из ценовых критерий оценки выбора победителя) рассчитывается по формуле: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2"/>
                <w:szCs w:val="22"/>
              </w:rPr>
              <w:t>%сниж.ст.ТР=(</w:t>
            </w:r>
            <w:r>
              <w:rPr>
                <w:rStyle w:val="Style15"/>
                <w:sz w:val="22"/>
                <w:szCs w:val="22"/>
                <w:u w:val="single"/>
              </w:rPr>
              <w:t>Коммерческое предложение Участника (</w:t>
            </w:r>
            <w:r>
              <w:rPr>
                <w:rStyle w:val="Style15"/>
                <w:b/>
                <w:sz w:val="22"/>
                <w:szCs w:val="22"/>
                <w:u w:val="single"/>
              </w:rPr>
              <w:t>Форма 3 «Итого за ТР в руб. без НДС»</w:t>
            </w:r>
            <w:r>
              <w:rPr>
                <w:rStyle w:val="Style15"/>
                <w:sz w:val="22"/>
                <w:szCs w:val="22"/>
                <w:u w:val="single"/>
              </w:rPr>
              <w:t>)*100</w:t>
            </w:r>
            <w:r>
              <w:rPr>
                <w:rStyle w:val="Style15"/>
                <w:sz w:val="22"/>
                <w:szCs w:val="22"/>
              </w:rPr>
              <w:t>) -100%.</w:t>
            </w:r>
          </w:p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rStyle w:val="Style15"/>
                <w:b/>
                <w:bCs/>
                <w:color w:val="C9211E"/>
                <w:sz w:val="22"/>
                <w:szCs w:val="22"/>
              </w:rPr>
              <w:t xml:space="preserve">00000000000,00 </w:t>
            </w:r>
            <w:r>
              <w:rPr>
                <w:rStyle w:val="Style15"/>
                <w:color w:val="C9211E"/>
                <w:sz w:val="22"/>
                <w:szCs w:val="22"/>
              </w:rPr>
              <w:t xml:space="preserve"> </w:t>
            </w:r>
            <w:r>
              <w:rPr>
                <w:rStyle w:val="Style15"/>
                <w:b/>
                <w:color w:val="C9211E"/>
                <w:sz w:val="22"/>
                <w:szCs w:val="22"/>
              </w:rPr>
              <w:t xml:space="preserve">руб.  </w:t>
            </w:r>
            <w:r>
              <w:rPr>
                <w:rStyle w:val="Style15"/>
                <w:b/>
                <w:sz w:val="22"/>
                <w:szCs w:val="22"/>
              </w:rPr>
              <w:t xml:space="preserve">                 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Стоимость</w:t>
            </w:r>
            <w:r>
              <w:rPr>
                <w:rStyle w:val="Style15"/>
                <w:b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b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b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b/>
                <w:sz w:val="24"/>
                <w:szCs w:val="24"/>
              </w:rPr>
              <w:t>» с учетом процента снижения.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Рассчитывается по формуле: (п.1 Приложения № 2 к ТТ) – (п.5 Приложения № 2 к ТТ в процентах)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 xml:space="preserve">Скидка от стоимости запасных частей, указанных в приложении № 3 к настоящим техническим требованиям, используемых при текущем ремонте 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b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b/>
                <w:sz w:val="24"/>
                <w:szCs w:val="24"/>
              </w:rPr>
              <w:t>».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Скидка должна быть равнозначна проценту снижения стоимости текущего ремонта, указанной в Коммерческом предложении (Форма 3) от стоимости указанной в Приложении № 8 (Структура НМЦ) на ТР (п.5 Приложения № 2 к настоящим ТТ).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color w:val="000000"/>
                <w:sz w:val="24"/>
                <w:szCs w:val="24"/>
              </w:rPr>
              <w:t>%</w:t>
            </w:r>
          </w:p>
        </w:tc>
      </w:tr>
    </w:tbl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134" w:right="426" w:gutter="0" w:header="709" w:top="992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№4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Техническим требованиям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ТЕХНИЧЕСКОГО ОБСЛУЖИВАНИЯ</w:t>
      </w:r>
    </w:p>
    <w:p>
      <w:pPr>
        <w:pStyle w:val="Normal"/>
        <w:rPr/>
      </w:pPr>
      <w:r>
        <w:rPr>
          <w:rStyle w:val="Style15"/>
          <w:color w:val="565656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РЕГЛАМЕНТ ТО ДЛЯ TOYOTA</w:t>
      </w:r>
    </w:p>
    <w:tbl>
      <w:tblPr>
        <w:tblW w:w="14837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"/>
        <w:gridCol w:w="4365"/>
        <w:gridCol w:w="987"/>
        <w:gridCol w:w="991"/>
        <w:gridCol w:w="988"/>
        <w:gridCol w:w="990"/>
        <w:gridCol w:w="988"/>
        <w:gridCol w:w="990"/>
        <w:gridCol w:w="989"/>
        <w:gridCol w:w="987"/>
        <w:gridCol w:w="991"/>
        <w:gridCol w:w="992"/>
      </w:tblGrid>
      <w:tr>
        <w:trPr>
          <w:trHeight w:val="436" w:hRule="atLeas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№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20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30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40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50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60 т. км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70 т. км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80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90 т. 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100 т. км</w:t>
            </w:r>
          </w:p>
        </w:tc>
      </w:tr>
      <w:tr>
        <w:trPr>
          <w:trHeight w:val="24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клапанного зазора (только для двигателя 2,4 л)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ремни — проверка, регулировка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5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17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Масляный фильтр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охлаждения двигателя, охлаждающая жидкость двигателя, антифриз -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61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Жидкость гидроусилителя руля, омывателей стёкол и фар — проверка уровня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5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 — проверка чистоты, проверка соединений шлангов и их правильного расположения, наличия коррозии и т.п.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выпуска отработавших газов — проверка на герметичность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9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989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     </w:t>
            </w:r>
            <w:r>
              <w:rPr>
                <w:sz w:val="18"/>
                <w:szCs w:val="18"/>
              </w:rPr>
              <w:t>каждые 100 000 км пробега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Аккумуляторная батарея — проверка заряда, уровня и плотности электролита, состояния клемм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03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Крышка топливного бака, топливопроводов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34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Адсорбер паров топлива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 — проверка педали тормоза,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 — проверка,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17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жидкости сцепления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Рулевое управление — проверка утечек, люфтов, состояния пыльников, лёгкости вращения рулевого колеса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валы и пыльники приводных валов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Шарниры подвесок, пыльники шарниров, люфты ступичных подшипников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(АКПП) —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(CVT) вариатор -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Трансмиссионная жидкость в механической коробке передач (МКПП) -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Шины — проверка состояния и давления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Наружные и внутренние световые приборы, звуковые сигналы, стеклоочистители и омыватели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pacing w:before="0" w:after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уровня хладагента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</w:tbl>
    <w:p>
      <w:pPr>
        <w:pStyle w:val="BodyText"/>
        <w:rPr>
          <w:rStyle w:val="Style15"/>
          <w:sz w:val="18"/>
          <w:szCs w:val="18"/>
        </w:rPr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- замена</w:t>
      </w:r>
    </w:p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</w:r>
    </w:p>
    <w:sectPr>
      <w:headerReference w:type="default" r:id="rId20"/>
      <w:headerReference w:type="first" r:id="rId21"/>
      <w:footerReference w:type="default" r:id="rId22"/>
      <w:footerReference w:type="first" r:id="rId23"/>
      <w:type w:val="nextPage"/>
      <w:pgSz w:orient="landscape" w:w="16838" w:h="11906"/>
      <w:pgMar w:left="1135" w:right="992" w:gutter="0" w:header="1134" w:top="1417" w:footer="0" w:bottom="426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/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  <w:rPr/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360"/>
      </w:pPr>
      <w:rPr/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/>
    </w:lvl>
    <w:lvl w:ilvl="4">
      <w:start w:val="1"/>
      <w:numFmt w:val="decimal"/>
      <w:lvlText w:val="%5."/>
      <w:lvlJc w:val="left"/>
      <w:pPr>
        <w:tabs>
          <w:tab w:val="num" w:pos="2146"/>
        </w:tabs>
        <w:ind w:left="2146" w:hanging="360"/>
      </w:pPr>
      <w:rPr/>
    </w:lvl>
    <w:lvl w:ilvl="5">
      <w:start w:val="1"/>
      <w:numFmt w:val="decimal"/>
      <w:lvlText w:val="%6."/>
      <w:lvlJc w:val="left"/>
      <w:pPr>
        <w:tabs>
          <w:tab w:val="num" w:pos="2506"/>
        </w:tabs>
        <w:ind w:left="2506" w:hanging="360"/>
      </w:pPr>
      <w:rPr/>
    </w:lvl>
    <w:lvl w:ilvl="6">
      <w:start w:val="1"/>
      <w:numFmt w:val="decimal"/>
      <w:lvlText w:val="%7."/>
      <w:lvlJc w:val="left"/>
      <w:pPr>
        <w:tabs>
          <w:tab w:val="num" w:pos="2866"/>
        </w:tabs>
        <w:ind w:left="2866" w:hanging="360"/>
      </w:pPr>
      <w:rPr/>
    </w:lvl>
    <w:lvl w:ilvl="7">
      <w:start w:val="1"/>
      <w:numFmt w:val="decimal"/>
      <w:lvlText w:val="%8."/>
      <w:lvlJc w:val="left"/>
      <w:pPr>
        <w:tabs>
          <w:tab w:val="num" w:pos="3226"/>
        </w:tabs>
        <w:ind w:left="3226" w:hanging="360"/>
      </w:pPr>
      <w:rPr/>
    </w:lvl>
    <w:lvl w:ilvl="8">
      <w:start w:val="1"/>
      <w:numFmt w:val="decimal"/>
      <w:lvlText w:val="%9."/>
      <w:lvlJc w:val="left"/>
      <w:pPr>
        <w:tabs>
          <w:tab w:val="num" w:pos="3586"/>
        </w:tabs>
        <w:ind w:left="3586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pPr>
      <w:numPr>
        <w:ilvl w:val="0"/>
        <w:numId w:val="0"/>
      </w:numPr>
      <w:ind w:left="1224" w:right="0" w:hanging="504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1224" w:right="0" w:hanging="504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before="120" w:after="60"/>
      <w:ind w:left="1224" w:right="0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1224" w:right="0" w:hanging="504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нак сноски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2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">
    <w:name w:val="Название Знак"/>
    <w:link w:val="17"/>
    <w:qFormat/>
    <w:rPr>
      <w:sz w:val="28"/>
    </w:rPr>
  </w:style>
  <w:style w:type="character" w:styleId="Style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2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3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3">
    <w:name w:val="Подпункт Знак1"/>
    <w:link w:val="Style23"/>
    <w:qFormat/>
    <w:rPr>
      <w:sz w:val="28"/>
    </w:rPr>
  </w:style>
  <w:style w:type="character" w:styleId="Style4">
    <w:name w:val="Текст сноски Знак"/>
    <w:qFormat/>
    <w:rPr/>
  </w:style>
  <w:style w:type="character" w:styleId="Style5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6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7">
    <w:name w:val="комментарий"/>
    <w:qFormat/>
    <w:rPr>
      <w:b/>
      <w:i/>
      <w:shd w:fill="FFFF99" w:val="clear"/>
    </w:rPr>
  </w:style>
  <w:style w:type="character" w:styleId="Style8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yle10">
    <w:name w:val="Текст примечания Знак"/>
    <w:link w:val="Annotationtext"/>
    <w:qFormat/>
    <w:rPr/>
  </w:style>
  <w:style w:type="character" w:styleId="Style11">
    <w:name w:val="Текст концевой сноски Знак"/>
    <w:basedOn w:val="DefaultParagraphFont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5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Style12">
    <w:name w:val="Ссылка указателя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">
    <w:name w:val="index heading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3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8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5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Обычный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112">
    <w:name w:val="Стиль1"/>
    <w:qFormat/>
  </w:style>
  <w:style w:type="numbering" w:styleId="29">
    <w:name w:val="Стиль2"/>
    <w:qFormat/>
  </w:style>
  <w:style w:type="numbering" w:styleId="32037998941">
    <w:name w:val="32037998941"/>
    <w:qFormat/>
  </w:style>
  <w:style w:type="numbering" w:styleId="41355696861">
    <w:name w:val="4135569686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Application>AlterOffice/3.4.0.9$Linux_X86_64 LibreOffice_project/b8daf9e823b1a5463a2f48435ddc2e8696e7d4fc</Application>
  <AppVersion>15.0000</AppVersion>
  <Pages>16</Pages>
  <Words>2644</Words>
  <Characters>16257</Characters>
  <CharactersWithSpaces>18534</CharactersWithSpaces>
  <Paragraphs>630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2024-10-31T02:10:00Z</dcterms:created>
  <dc:creator>Быстров Олег Геннадьевич</dc:creator>
  <dc:description/>
  <dc:language>ru-RU</dc:language>
  <cp:lastModifiedBy>sulekovaa@corp.gidroogk.com</cp:lastModifiedBy>
  <cp:lastPrinted>2026-08-13T16:01:25Z</cp:lastPrinted>
  <dcterms:modified xsi:type="dcterms:W3CDTF">2026-08-13T17:48:38Z</dcterms:modified>
  <cp:revision>61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