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1"/>
      <w:bookmarkStart w:id="1" w:name="_Toc1375545841"/>
      <w:bookmarkStart w:id="2" w:name="_Toc1398562871"/>
      <w:bookmarkStart w:id="3" w:name="_Toc1416967041"/>
      <w:bookmarkStart w:id="4" w:name="_Toc1375545841"/>
      <w:bookmarkStart w:id="5" w:name="_Toc139856287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ОКПД 2: 25.99.29.190 </w:t>
      </w:r>
      <w:r>
        <w:rPr>
          <w:color w:val="1A1A1A"/>
          <w:sz w:val="24"/>
          <w:szCs w:val="24"/>
        </w:rPr>
        <w:t xml:space="preserve">Поставка </w:t>
      </w:r>
      <w:r>
        <w:rPr>
          <w:rFonts w:eastAsia="Calibri"/>
          <w:color w:val="000000"/>
          <w:sz w:val="24"/>
          <w:szCs w:val="24"/>
          <w:shd w:fill="FFFFFF" w:val="clear"/>
          <w:lang w:eastAsia="x-none"/>
        </w:rPr>
        <w:t xml:space="preserve">стержней и крышек </w:t>
      </w:r>
      <w:r>
        <w:rPr>
          <w:sz w:val="24"/>
          <w:szCs w:val="24"/>
        </w:rPr>
        <w:t xml:space="preserve">для нужд </w:t>
      </w:r>
      <w:r>
        <w:rPr>
          <w:color w:val="000000"/>
          <w:sz w:val="24"/>
          <w:szCs w:val="24"/>
        </w:rPr>
        <w:t xml:space="preserve">Нижегородского производственного участка Чебоксарского филиала 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АО «Гидроремонт ВКК» г. Новочебоксарск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lang w:eastAsia="x-none"/>
        </w:rPr>
        <w:t xml:space="preserve">ОКПД 2: 25.99.29.190 </w:t>
      </w:r>
      <w:r>
        <w:rPr>
          <w:rFonts w:eastAsia="Calibri"/>
          <w:color w:val="000000"/>
          <w:sz w:val="24"/>
          <w:szCs w:val="24"/>
          <w:lang w:eastAsia="x-none"/>
        </w:rPr>
        <w:t xml:space="preserve">Поставка </w:t>
      </w:r>
      <w:r>
        <w:rPr>
          <w:rFonts w:eastAsia="Calibri"/>
          <w:color w:val="000000"/>
          <w:sz w:val="23"/>
          <w:szCs w:val="24"/>
          <w:shd w:fill="FFFFFF" w:val="clear"/>
          <w:lang w:eastAsia="x-none"/>
        </w:rPr>
        <w:t xml:space="preserve">стержней и крышек </w:t>
      </w:r>
      <w:r>
        <w:rPr>
          <w:rFonts w:eastAsia="Calibri"/>
          <w:color w:val="000000"/>
          <w:sz w:val="24"/>
          <w:szCs w:val="24"/>
          <w:lang w:eastAsia="x-none"/>
        </w:rPr>
        <w:t>для нужд Нижегородского производственного участка Чебоксарского филиала 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75446569"/>
      <w:bookmarkStart w:id="9" w:name="_Toc4674350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Исполнение договора № 1240-315-2023 г. от 03.11.2023 г. "Капитальный и текущий ремонт оборудования, зданий, сооружений филиала ПАО “РусГидро”-“Нижегородская ГЭС" для нужд Нижегородского ПУ Чебоксарского филиала АО «Гидроремонт-ВКК» в г. Новочебоксарск. 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10" w:name="_Toc51339693"/>
      <w:bookmarkStart w:id="11" w:name="_Toc75446573"/>
      <w:bookmarkStart w:id="12" w:name="_Toc46743510"/>
      <w:bookmarkStart w:id="13" w:name="_Toc50125126"/>
      <w:bookmarkEnd w:id="12"/>
      <w:bookmarkEnd w:id="13"/>
      <w:r>
        <w:rPr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/>
      </w:pPr>
      <w:bookmarkStart w:id="15" w:name="_Toc75446575"/>
      <w:r>
        <w:rPr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16" w:name="_Toc75446576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1"/>
        <w:gridCol w:w="1426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54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тержень (черт. 2269318 АО Силовые машины)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>
        <w:trPr>
          <w:trHeight w:val="454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рышка (черт. 2340400 АО Силовые машины)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bookmarkStart w:id="18" w:name="_Toc75446578"/>
      <w:bookmarkStart w:id="19" w:name="_Toc51339696"/>
      <w:r>
        <w:rPr>
          <w:lang w:val="ru-RU"/>
        </w:rPr>
        <w:t xml:space="preserve">Требования </w:t>
      </w:r>
      <w:bookmarkEnd w:id="19"/>
      <w:r>
        <w:rPr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0" w:name="_Toc75446579"/>
      <w:bookmarkStart w:id="21" w:name="_Toc51339697"/>
      <w:bookmarkStart w:id="22" w:name="_Toc50125127"/>
      <w:bookmarkStart w:id="23" w:name="_Toc501251261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Продукция в соответствии с Таблицей 1. Технических требований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 г.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9"/>
      <w:r>
        <w:rPr>
          <w:sz w:val="24"/>
          <w:szCs w:val="24"/>
        </w:rPr>
        <w:t xml:space="preserve"> </w:t>
      </w:r>
      <w:bookmarkEnd w:id="25"/>
    </w:p>
    <w:p>
      <w:pPr>
        <w:pStyle w:val="Normal"/>
        <w:rPr/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ОКПД 2: 25.99.29.190 </w:t>
      </w:r>
      <w:r>
        <w:rPr>
          <w:rFonts w:eastAsia="Calibri"/>
          <w:color w:val="000000"/>
          <w:sz w:val="24"/>
          <w:szCs w:val="24"/>
        </w:rPr>
        <w:t xml:space="preserve">Поставка </w:t>
      </w:r>
      <w:bookmarkStart w:id="30" w:name="_GoBack"/>
      <w:bookmarkEnd w:id="30"/>
      <w:r>
        <w:rPr>
          <w:rFonts w:eastAsia="Calibri"/>
          <w:color w:val="000000"/>
          <w:sz w:val="24"/>
          <w:szCs w:val="24"/>
        </w:rPr>
        <w:t>стержней и крышек</w:t>
      </w:r>
      <w:r>
        <w:rPr>
          <w:rFonts w:eastAsia="Calibri"/>
          <w:color w:val="000000"/>
          <w:sz w:val="23"/>
          <w:szCs w:val="24"/>
          <w:lang w:eastAsia="x-none"/>
        </w:rPr>
        <w:t xml:space="preserve"> </w:t>
      </w:r>
      <w:r>
        <w:rPr>
          <w:rFonts w:eastAsia="Calibri"/>
          <w:color w:val="000000"/>
          <w:sz w:val="24"/>
          <w:szCs w:val="24"/>
        </w:rPr>
        <w:t>для нужд Нижегородского производственного участка Чебоксарского филиала АО «Гидроремонт ВКК» г. Новочебоксарск.</w:t>
      </w:r>
    </w:p>
    <w:tbl>
      <w:tblPr>
        <w:tblStyle w:val="affff8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213"/>
        <w:gridCol w:w="7245"/>
        <w:gridCol w:w="1995"/>
        <w:gridCol w:w="2973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24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2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603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213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Стержень</w:t>
            </w:r>
          </w:p>
        </w:tc>
        <w:tc>
          <w:tcPr>
            <w:tcW w:w="724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Черт. 2269318 АО Силовые машины</w:t>
            </w:r>
          </w:p>
        </w:tc>
        <w:tc>
          <w:tcPr>
            <w:tcW w:w="199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Соответствие требованиям  черт. 2269318 АО Силовые машины</w:t>
            </w:r>
          </w:p>
        </w:tc>
        <w:tc>
          <w:tcPr>
            <w:tcW w:w="2973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Соответствие требованиям  черт. 2269318 АО Силовые машины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2213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Крышка</w:t>
            </w:r>
          </w:p>
        </w:tc>
        <w:tc>
          <w:tcPr>
            <w:tcW w:w="724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Черт. 2340400 АО Силовые машины</w:t>
            </w:r>
          </w:p>
        </w:tc>
        <w:tc>
          <w:tcPr>
            <w:tcW w:w="199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Соответствие требованиям  черт. 2340400 АО Силовые машины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Соответствие требованиям  черт. 2340400 АО Силовые машины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21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2213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426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221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бывшей в употреблении, не должна быть восстановленной.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10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пригодна и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Покупателем чертежи и конструкторская документация на продукцию не предоставляются. Победитель обязан самостоятельно урегулировать 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продукции. Продукция должна не нарушать права третьих лиц на охраняемые результат интеллектуальной деятельности и на средства индивидуализации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Победитель гарантирует предварительно самостоятельно и за свой счет урегулировать с правообладателями прав на охраняемые результат интеллектуальной деятельности и на средства индивидуализации все вопросы связанные с использованием  прав третьих лиц на охраняемые  результаты интеллектуальной деятельности и средства индивидуализации в случае необходимости их использования при производстве продукции Победителем, а также по первому требованию Покупателя в течение 3 (трех) рабочих дней предоставить документы, подтверждающие соблюдение прав третьих лиц на охраняемые результаты интеллектуальной деятельности и на средства индивидуализации, а равно документы, подтверждающие законность использования Победителем прав третьих лиц на охраняемые результаты интеллектуальной деятельности и на средства индивидуализации при производстве и введении в гражданский оборот продукции, произведенной Победителем.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поступления каких-либо претензий, требований, исков в адрес Покупателя от любых третьих лиц в отношении результатов интеллектуальной деятельности и средств индивидуализации, в том числе от любых иных лиц чьи права на результаты интеллектуальной деятельности были нарушены и (или) могли быть нарушены Победитель обязуется незамедлительно после получения соответствующего сообщения от Покупателя в полном объёме  урегулировать с этими третьими лицами все выше указанные претензии, требования, исковые требования своими силами и за свой счет. В случае нарушения данного условия Победитель обязан возместить Покупателю в полном объеме все понесенные Покупателем убытки в течение 3 (трех) рабочих дней с момента предъявления соответствующего требования Покупателя.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12565345991" w:customStyle="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1936B-A4B6-4C9B-BA41-ECD5EA38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4609</TotalTime>
  <Application>AlterOffice/2025.3.1.0$Linux_X86_64 LibreOffice_project/431cd1b79110582f53535c95ed0a2449aadc8bf9</Application>
  <AppVersion>15.0000</AppVersion>
  <Pages>4</Pages>
  <Words>777</Words>
  <Characters>5422</Characters>
  <CharactersWithSpaces>6107</CharactersWithSpaces>
  <Paragraphs>100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>kalininsv@corp.gidroogk.com</cp:lastModifiedBy>
  <dcterms:modified xsi:type="dcterms:W3CDTF">2026-08-11T14:52:19Z</dcterms:modified>
  <cp:revision>98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