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word/header9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9.xml" ContentType="application/vnd.openxmlformats-officedocument.wordprocessingml.footer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header1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footer5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«УТВЕРЖДАЮ»</w:t>
      </w:r>
    </w:p>
    <w:p>
      <w:pPr>
        <w:pStyle w:val="Style27"/>
        <w:spacing w:before="0"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Директор</w:t>
      </w:r>
    </w:p>
    <w:p>
      <w:pPr>
        <w:pStyle w:val="Style27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Саяно-Шушенского филиала </w:t>
      </w:r>
    </w:p>
    <w:p>
      <w:pPr>
        <w:pStyle w:val="Style27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АО «ТК РусГидро»</w:t>
      </w:r>
    </w:p>
    <w:p>
      <w:pPr>
        <w:pStyle w:val="ListParagraph"/>
        <w:spacing w:before="240" w:after="0"/>
        <w:contextualSpacing/>
        <w:jc w:val="right"/>
        <w:rPr/>
      </w:pPr>
      <w:r>
        <w:rPr/>
        <w:t xml:space="preserve">        </w:t>
      </w:r>
      <w:r>
        <w:rPr/>
        <w:t>_______________В.А. Кяри</w:t>
      </w:r>
    </w:p>
    <w:p>
      <w:pPr>
        <w:pStyle w:val="ListParagraph"/>
        <w:spacing w:before="240" w:after="0"/>
        <w:contextualSpacing/>
        <w:jc w:val="right"/>
        <w:rPr/>
      </w:pPr>
      <w:r>
        <w:rPr/>
        <w:t>«____»________________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ОКПД2 45.20.11.000. Оказание услуг по техническому обслуживанию и текущему ремонту негарантийных автомобилей марки Toyota, Lexus, Ford, Huyndai для нужд Красноярского представительства Саяно-Шушенского филиала АО "ТК РусГидро»</w:t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Лот № 4055-ТО ПРОД-2027-ТК-СШФ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rStyle w:val="Style12"/>
              <w:vanish w:val="false"/>
              <w:rFonts w:eastAsia="Calibri"/>
            </w:rPr>
            <w:instrText xml:space="preserve"> TOC \o "1-4" \h</w:instrText>
          </w:r>
          <w:r>
            <w:rPr>
              <w:rStyle w:val="Style12"/>
              <w:vanish w:val="false"/>
              <w:rFonts w:eastAsia="Calibri"/>
            </w:rPr>
            <w:fldChar w:fldCharType="separate"/>
          </w:r>
          <w:hyperlink w:anchor="_Toc181254691">
            <w:r>
              <w:rPr>
                <w:rStyle w:val="Style12"/>
                <w:rFonts w:eastAsia="Calibri"/>
                <w:vanish w:val="false"/>
              </w:rPr>
              <w:t>1.</w:t>
            </w:r>
            <w:r>
              <w:rPr>
                <w:rStyle w:val="Style12"/>
                <w:rFonts w:ascii="Calibri" w:hAnsi="Calibr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/>
              <w:sz w:val="22"/>
              <w:szCs w:val="22"/>
            </w:rPr>
          </w:pPr>
          <w:hyperlink w:anchor="_Toc181254692">
            <w:r>
              <w:rPr>
                <w:rStyle w:val="Style12"/>
                <w:rFonts w:eastAsia="Calibri"/>
                <w:iCs/>
                <w:vanish w:val="false"/>
              </w:rPr>
              <w:t>1.1.</w:t>
            </w:r>
            <w:r>
              <w:rPr>
                <w:rStyle w:val="Style12"/>
                <w:rFonts w:ascii="Calibri" w:hAnsi="Calibr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/>
              <w:sz w:val="22"/>
              <w:szCs w:val="22"/>
            </w:rPr>
          </w:pPr>
          <w:hyperlink w:anchor="_Toc181254693">
            <w:r>
              <w:rPr>
                <w:rStyle w:val="Style12"/>
                <w:rFonts w:eastAsia="Calibri"/>
                <w:iCs/>
                <w:vanish w:val="false"/>
              </w:rPr>
              <w:t>1.2.</w:t>
            </w:r>
            <w:r>
              <w:rPr>
                <w:rStyle w:val="Style12"/>
                <w:rFonts w:ascii="Calibri" w:hAnsi="Calibr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/>
              <w:sz w:val="22"/>
              <w:szCs w:val="22"/>
            </w:rPr>
          </w:pPr>
          <w:hyperlink w:anchor="_Toc181254694">
            <w:r>
              <w:rPr>
                <w:rStyle w:val="Style12"/>
                <w:rFonts w:eastAsia="Calibri"/>
                <w:iCs/>
                <w:vanish w:val="false"/>
              </w:rPr>
              <w:t>1.3.</w:t>
            </w:r>
            <w:r>
              <w:rPr>
                <w:rStyle w:val="Style12"/>
                <w:rFonts w:ascii="Calibri" w:hAnsi="Calibr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/>
              <w:b w:val="false"/>
              <w:bCs w:val="false"/>
              <w:sz w:val="22"/>
              <w:szCs w:val="22"/>
            </w:rPr>
          </w:pPr>
          <w:hyperlink w:anchor="_Toc181254695">
            <w:r>
              <w:rPr>
                <w:rStyle w:val="Style12"/>
                <w:rFonts w:eastAsia="Calibri"/>
                <w:vanish w:val="false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/>
              <w:b w:val="false"/>
              <w:bCs w:val="false"/>
              <w:sz w:val="22"/>
              <w:szCs w:val="22"/>
            </w:rPr>
          </w:pPr>
          <w:hyperlink w:anchor="_Toc181254696">
            <w:r>
              <w:rPr>
                <w:rStyle w:val="Style12"/>
                <w:rFonts w:eastAsia="Calibri"/>
                <w:vanish w:val="false"/>
              </w:rPr>
              <w:t>2.</w:t>
            </w:r>
            <w:r>
              <w:rPr>
                <w:rStyle w:val="Style12"/>
                <w:rFonts w:ascii="Calibri" w:hAnsi="Calibr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/>
              <w:sz w:val="22"/>
              <w:szCs w:val="22"/>
            </w:rPr>
          </w:pPr>
          <w:hyperlink w:anchor="_Toc181254697">
            <w:r>
              <w:rPr>
                <w:rStyle w:val="Style12"/>
                <w:rFonts w:eastAsia="Calibri"/>
                <w:iCs/>
                <w:vanish w:val="false"/>
              </w:rPr>
              <w:t>2.1.</w:t>
            </w:r>
            <w:r>
              <w:rPr>
                <w:rStyle w:val="Style12"/>
                <w:rFonts w:ascii="Calibri" w:hAnsi="Calibr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/>
              <w:sz w:val="22"/>
              <w:szCs w:val="22"/>
            </w:rPr>
          </w:pPr>
          <w:hyperlink w:anchor="_Toc181254698">
            <w:r>
              <w:rPr>
                <w:rStyle w:val="Style12"/>
                <w:rFonts w:eastAsia="Calibri"/>
                <w:vanish w:val="false"/>
              </w:rPr>
              <w:t>2.1.1.</w:t>
            </w:r>
            <w:r>
              <w:rPr>
                <w:rStyle w:val="Style12"/>
                <w:rFonts w:ascii="Calibri" w:hAnsi="Calibr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/>
              <w:b w:val="false"/>
              <w:bCs w:val="false"/>
              <w:sz w:val="22"/>
              <w:szCs w:val="22"/>
            </w:rPr>
          </w:pPr>
          <w:hyperlink w:anchor="_Toc181254699">
            <w:r>
              <w:rPr>
                <w:rStyle w:val="Style12"/>
                <w:rFonts w:eastAsia="Calibri"/>
                <w:vanish w:val="false"/>
              </w:rPr>
              <w:t>Таблица 2.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_Toc181254699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/>
              <w:sz w:val="22"/>
              <w:szCs w:val="22"/>
            </w:rPr>
          </w:pPr>
          <w:hyperlink w:anchor="_Toc181254700">
            <w:r>
              <w:rPr>
                <w:rStyle w:val="Style12"/>
                <w:rFonts w:eastAsia="Calibri"/>
                <w:vanish w:val="false"/>
              </w:rPr>
              <w:t>2.1.2.</w:t>
            </w:r>
            <w:r>
              <w:rPr>
                <w:rStyle w:val="Style12"/>
                <w:rFonts w:ascii="Calibri" w:hAnsi="Calibr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_Toc181254700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/>
              <w:b w:val="false"/>
              <w:bCs w:val="false"/>
              <w:sz w:val="22"/>
              <w:szCs w:val="22"/>
            </w:rPr>
          </w:pPr>
          <w:hyperlink w:anchor="_Toc181254701">
            <w:r>
              <w:rPr>
                <w:rStyle w:val="Style12"/>
                <w:rFonts w:eastAsia="Calibri"/>
                <w:vanish w:val="false"/>
              </w:rPr>
              <w:t>Таблица 3.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_Toc181254701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/>
              <w:sz w:val="22"/>
              <w:szCs w:val="22"/>
            </w:rPr>
          </w:pPr>
          <w:hyperlink w:anchor="_Toc181254702">
            <w:r>
              <w:rPr>
                <w:rStyle w:val="Style12"/>
                <w:rFonts w:eastAsia="Calibri"/>
                <w:iCs/>
                <w:vanish w:val="false"/>
              </w:rPr>
              <w:t>2.2.</w:t>
            </w:r>
            <w:r>
              <w:rPr>
                <w:rStyle w:val="Style12"/>
                <w:rFonts w:ascii="Calibri" w:hAnsi="Calibr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/>
              <w:b w:val="false"/>
              <w:bCs w:val="false"/>
              <w:sz w:val="22"/>
              <w:szCs w:val="22"/>
            </w:rPr>
          </w:pPr>
          <w:hyperlink w:anchor="_Toc181254703">
            <w:r>
              <w:rPr>
                <w:rStyle w:val="Style12"/>
                <w:rFonts w:eastAsia="Calibri"/>
                <w:vanish w:val="false"/>
              </w:rPr>
              <w:t>Таблица 4.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_Toc181254703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/>
              <w:b w:val="false"/>
              <w:bCs w:val="false"/>
              <w:sz w:val="22"/>
              <w:szCs w:val="22"/>
            </w:rPr>
          </w:pPr>
          <w:hyperlink w:anchor="_Toc181254708">
            <w:r>
              <w:rPr>
                <w:rStyle w:val="Style12"/>
                <w:rFonts w:eastAsia="Calibri"/>
                <w:vanish w:val="false"/>
              </w:rPr>
              <w:t>3.</w:t>
            </w:r>
            <w:r>
              <w:rPr>
                <w:rStyle w:val="Style12"/>
                <w:rFonts w:ascii="Calibri" w:hAnsi="Calibr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_Toc181254708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2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20"/>
          <w:tab w:val="left" w:pos="560" w:leader="none"/>
          <w:tab w:val="right" w:pos="9911" w:leader="dot"/>
        </w:tabs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Heading2"/>
        <w:numPr>
          <w:ilvl w:val="0"/>
        </w:numPr>
        <w:tabs>
          <w:tab w:val="clear" w:pos="0"/>
        </w:tabs>
        <w:ind w:left="0" w:righ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  <w:lang w:val="en-US"/>
        </w:rPr>
      </w:pPr>
      <w:r>
        <w:rPr>
          <w:rFonts w:eastAsia="Calibri"/>
          <w:b/>
          <w:i/>
          <w:sz w:val="24"/>
          <w:szCs w:val="24"/>
          <w:lang w:val="en-US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right="0" w:hanging="357"/>
        <w:jc w:val="center"/>
        <w:rPr>
          <w:caps/>
          <w:lang w:val="ru-RU"/>
        </w:rPr>
      </w:pPr>
      <w:bookmarkStart w:id="0" w:name="_Toc181254691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1" w:name="_Toc46743505"/>
      <w:bookmarkStart w:id="2" w:name="_Toc181254692"/>
      <w:r>
        <w:rPr/>
        <w:t>Обозначения и сокращения</w:t>
      </w:r>
      <w:bookmarkEnd w:id="1"/>
      <w:bookmarkEnd w:id="2"/>
    </w:p>
    <w:tbl>
      <w:tblPr>
        <w:tblW w:w="935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7016"/>
      </w:tblGrid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требовавния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</w:t>
            </w:r>
          </w:p>
        </w:tc>
        <w:tc>
          <w:tcPr>
            <w:tcW w:w="7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3" w:name="_Toc46743506"/>
      <w:bookmarkStart w:id="4" w:name="_Toc181254693"/>
      <w:r>
        <w:rPr/>
        <w:t>Наименование закупаемой продукци</w:t>
      </w:r>
      <w:bookmarkEnd w:id="3"/>
      <w:bookmarkEnd w:id="4"/>
      <w:r>
        <w:rPr/>
        <w:t>и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rPr>
          <w:b w:val="false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ОКПД2 45.20.11.000. Оказание услуг по техническому обслуживанию и текущему ремонту негарантийных автомобилей марки Toyota, Lexus, Ford, Huyndai для нужд Красноярского представительства Саяно-Шушенского филиала АО "ТК РусГидро»</w:t>
        <w:br/>
      </w:r>
    </w:p>
    <w:p>
      <w:pPr>
        <w:pStyle w:val="Heading4"/>
        <w:numPr>
          <w:ilvl w:val="1"/>
          <w:numId w:val="3"/>
        </w:numPr>
        <w:spacing w:before="0" w:after="60"/>
        <w:ind w:left="431" w:right="0" w:hanging="431"/>
        <w:rPr/>
      </w:pPr>
      <w:bookmarkStart w:id="5" w:name="_Toc181254694"/>
      <w:bookmarkStart w:id="6" w:name="_Toc46743507"/>
      <w:r>
        <w:rPr/>
        <w:t xml:space="preserve">Цель </w:t>
      </w:r>
      <w:bookmarkEnd w:id="6"/>
      <w:r>
        <w:rPr>
          <w:lang w:val="ru-RU"/>
        </w:rPr>
        <w:t>оказания услуг</w:t>
      </w:r>
      <w:bookmarkEnd w:id="5"/>
      <w:r>
        <w:rPr/>
        <w:t xml:space="preserve"> 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both"/>
        <w:rPr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Проведение технического обслуживания, диагностических и сопутствующих работ с соблюдением "Правил оказания услуг (выполнения работ) по техническому обслуживанию и ремонту автомототранспортных средств" утвержденных Постановлением Правительства РФ от 11.04.2001 № 290 (редакции от 31.01.2017г), инструкций по эксплуатации транспортных средств, государственных стандартов к техническому состоянию транспортных средств, с целью поддержания надлежащего технического состояния транспортных средств.</w:t>
      </w:r>
    </w:p>
    <w:p>
      <w:pPr>
        <w:pStyle w:val="Heading1"/>
        <w:keepLines/>
        <w:numPr>
          <w:ilvl w:val="0"/>
        </w:numPr>
        <w:tabs>
          <w:tab w:val="clear" w:pos="0"/>
        </w:tabs>
        <w:spacing w:before="0" w:after="0"/>
        <w:ind w:left="0" w:right="0" w:hanging="0"/>
        <w:rPr>
          <w:sz w:val="24"/>
          <w:szCs w:val="24"/>
          <w:lang w:val="ru-RU"/>
        </w:rPr>
      </w:pPr>
      <w:bookmarkStart w:id="7" w:name="_Toc181254695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7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49"/>
        <w:gridCol w:w="2269"/>
        <w:gridCol w:w="2565"/>
        <w:gridCol w:w="1276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2799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360" w:right="0" w:hanging="360"/>
              <w:rPr/>
            </w:pPr>
            <w:r>
              <w:rPr/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Оказание услуг по техническому обслуживанию и текущему ремонту негарантийных автомобилей марки Toyota, Lexus, Ford, Huyndai для нужд Красноярского представительства Саяно-Шушенского филиала АО "ТК РусГидро»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г. Красноярск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LEXUS LSX570,  LEXUS ES 350,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LEXUS LS 500,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 xml:space="preserve">  </w:t>
            </w:r>
            <w:r>
              <w:rPr>
                <w:iCs/>
                <w:sz w:val="24"/>
                <w:szCs w:val="24"/>
                <w:lang w:val="en-US"/>
              </w:rPr>
              <w:t>TOYOTA CAMRY, HUYNDAI Palisad,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FORD Tourneo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</w:r>
          </w:p>
        </w:tc>
      </w:tr>
    </w:tbl>
    <w:p>
      <w:pPr>
        <w:pStyle w:val="Heading1"/>
        <w:keepLines/>
        <w:numPr>
          <w:ilvl w:val="0"/>
          <w:numId w:val="3"/>
        </w:numPr>
        <w:ind w:left="357" w:right="0" w:hanging="357"/>
        <w:jc w:val="center"/>
        <w:rPr>
          <w:iCs/>
          <w:caps/>
          <w:lang w:val="ru-RU"/>
        </w:rPr>
      </w:pPr>
      <w:bookmarkStart w:id="8" w:name="_Toc181254696"/>
      <w:bookmarkStart w:id="9" w:name="_Toc51339693"/>
      <w:bookmarkStart w:id="10" w:name="_Toc50125126"/>
      <w:bookmarkStart w:id="11" w:name="_Hlk482097611"/>
      <w:bookmarkEnd w:id="10"/>
      <w:bookmarkEnd w:id="11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8"/>
      <w:bookmarkEnd w:id="9"/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12" w:name="_Toc181254697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2"/>
    </w:p>
    <w:p>
      <w:pPr>
        <w:pStyle w:val="Heading3"/>
        <w:numPr>
          <w:ilvl w:val="2"/>
          <w:numId w:val="3"/>
        </w:numPr>
        <w:ind w:left="1224" w:right="0" w:hanging="504"/>
        <w:rPr>
          <w:lang w:val="ru-RU"/>
        </w:rPr>
      </w:pPr>
      <w:bookmarkStart w:id="13" w:name="_Toc181254698"/>
      <w:r>
        <w:rPr>
          <w:lang w:val="ru-RU"/>
        </w:rPr>
        <w:t>Требования к перечню и объему услуг</w:t>
      </w:r>
      <w:bookmarkEnd w:id="13"/>
    </w:p>
    <w:p>
      <w:pPr>
        <w:pStyle w:val="Heading1"/>
        <w:keepLines/>
        <w:numPr>
          <w:ilvl w:val="0"/>
        </w:numPr>
        <w:tabs>
          <w:tab w:val="clear" w:pos="0"/>
        </w:tabs>
        <w:spacing w:before="240" w:after="60"/>
        <w:ind w:left="0" w:right="0" w:hanging="0"/>
        <w:rPr>
          <w:sz w:val="24"/>
          <w:szCs w:val="24"/>
          <w:lang w:val="ru-RU"/>
        </w:rPr>
      </w:pPr>
      <w:bookmarkStart w:id="14" w:name="_Toc181254699"/>
      <w:bookmarkStart w:id="15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5"/>
      <w:r>
        <w:rPr>
          <w:sz w:val="24"/>
          <w:szCs w:val="24"/>
          <w:lang w:val="ru-RU"/>
        </w:rPr>
        <w:t>и объем оказываемых услуг</w:t>
      </w:r>
      <w:bookmarkEnd w:id="14"/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4849"/>
        <w:gridCol w:w="1996"/>
        <w:gridCol w:w="2116"/>
      </w:tblGrid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LEXUS  LS 500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А562КС777, 2020, VIN JTHB5LGF605007669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pacing w:before="100" w:after="100"/>
              <w:ind w:left="0" w:right="0" w:hanging="392"/>
              <w:jc w:val="center"/>
              <w:textAlignment w:val="baselin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ТО-1</w:t>
            </w:r>
            <w:r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367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pacing w:before="100" w:after="100"/>
              <w:ind w:left="0" w:right="0" w:hanging="392"/>
              <w:jc w:val="center"/>
              <w:textAlignment w:val="baselin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ТО-1</w:t>
            </w:r>
            <w:r>
              <w:rPr>
                <w:bCs/>
                <w:sz w:val="24"/>
                <w:szCs w:val="24"/>
              </w:rPr>
              <w:t>8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LEXUS  </w:t>
            </w:r>
            <w:r>
              <w:rPr>
                <w:iCs/>
                <w:sz w:val="24"/>
                <w:szCs w:val="24"/>
                <w:lang w:val="en-US"/>
              </w:rPr>
              <w:t>ES 350</w:t>
            </w:r>
          </w:p>
          <w:p>
            <w:pPr>
              <w:pStyle w:val="Normal"/>
              <w:widowControl w:val="false"/>
              <w:ind w:left="0" w:right="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eastAsia="ru-RU" w:bidi="ar-SA"/>
              </w:rPr>
              <w:t xml:space="preserve">Т807СУ799,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eastAsia="ru-RU" w:bidi="ar-SA"/>
              </w:rPr>
              <w:t>2014г</w:t>
            </w:r>
            <w:r>
              <w:rPr>
                <w:iCs/>
                <w:sz w:val="24"/>
                <w:szCs w:val="24"/>
                <w:shd w:fill="auto" w:val="clear"/>
              </w:rPr>
              <w:t>.в.,</w:t>
            </w:r>
            <w:r>
              <w:rPr>
                <w:iCs/>
                <w:sz w:val="24"/>
                <w:szCs w:val="24"/>
                <w:shd w:fill="auto" w:val="clear"/>
                <w:lang w:val="en-US"/>
              </w:rPr>
              <w:t>VIN</w:t>
            </w:r>
            <w:r>
              <w:rPr>
                <w:iCs/>
                <w:sz w:val="24"/>
                <w:szCs w:val="24"/>
                <w:shd w:fill="auto" w:val="clear"/>
              </w:rPr>
              <w:t xml:space="preserve"> JTHBK1GG002146560  </w:t>
            </w:r>
            <w:r>
              <w:rPr>
                <w:iCs/>
                <w:sz w:val="24"/>
                <w:szCs w:val="24"/>
                <w:shd w:fill="FFFF00" w:val="clear"/>
              </w:rPr>
              <w:t xml:space="preserve"> 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ТО-2</w:t>
            </w:r>
            <w:r>
              <w:rPr>
                <w:bCs/>
                <w:sz w:val="24"/>
                <w:szCs w:val="24"/>
              </w:rPr>
              <w:t>9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ТО-</w:t>
            </w:r>
            <w:r>
              <w:rPr>
                <w:bCs/>
                <w:sz w:val="24"/>
                <w:szCs w:val="24"/>
              </w:rPr>
              <w:t>300</w:t>
            </w:r>
            <w:r>
              <w:rPr>
                <w:bCs/>
                <w:sz w:val="24"/>
                <w:szCs w:val="24"/>
              </w:rPr>
              <w:t xml:space="preserve">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ТО-310 000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>
          <w:trHeight w:val="642" w:hRule="atLeast"/>
        </w:trPr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20" w:right="0" w:hanging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LEXUS  LS </w:t>
            </w:r>
            <w:r>
              <w:rPr>
                <w:iCs/>
                <w:sz w:val="24"/>
                <w:szCs w:val="24"/>
                <w:lang w:val="en-US"/>
              </w:rPr>
              <w:t>500</w:t>
            </w:r>
          </w:p>
          <w:p>
            <w:pPr>
              <w:pStyle w:val="Normal"/>
              <w:widowControl w:val="false"/>
              <w:ind w:left="0" w:right="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eastAsia="ru-RU" w:bidi="ar-SA"/>
              </w:rPr>
              <w:t xml:space="preserve">A210TB777,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eastAsia="ru-RU" w:bidi="ar-SA"/>
              </w:rPr>
              <w:t>2019г</w:t>
            </w:r>
            <w:r>
              <w:rPr>
                <w:iCs/>
                <w:sz w:val="24"/>
                <w:szCs w:val="24"/>
                <w:shd w:fill="auto" w:val="clear"/>
              </w:rPr>
              <w:t xml:space="preserve">.в., </w:t>
            </w:r>
            <w:r>
              <w:rPr>
                <w:iCs/>
                <w:sz w:val="24"/>
                <w:szCs w:val="24"/>
                <w:shd w:fill="auto" w:val="clear"/>
                <w:lang w:val="en-US"/>
              </w:rPr>
              <w:t>VIN</w:t>
            </w:r>
            <w:r>
              <w:rPr>
                <w:iCs/>
                <w:sz w:val="24"/>
                <w:szCs w:val="24"/>
                <w:shd w:fill="auto" w:val="clear"/>
              </w:rPr>
              <w:t xml:space="preserve"> JTHC5LFF805006920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pacing w:before="100" w:after="100"/>
              <w:ind w:left="0" w:right="0" w:hanging="392"/>
              <w:jc w:val="center"/>
              <w:textAlignment w:val="baselin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ТО-2</w:t>
            </w:r>
            <w:r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pacing w:before="100" w:after="100"/>
              <w:ind w:left="0" w:right="0" w:hanging="392"/>
              <w:jc w:val="center"/>
              <w:textAlignment w:val="baselin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ТО-2</w:t>
            </w:r>
            <w:r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>
          <w:trHeight w:val="556" w:hRule="atLeast"/>
        </w:trPr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20" w:right="0" w:hanging="0"/>
              <w:jc w:val="center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eastAsia="ru-RU" w:bidi="ar-SA"/>
              </w:rPr>
              <w:t>LEXUS  LS 500</w:t>
            </w:r>
          </w:p>
          <w:p>
            <w:pPr>
              <w:pStyle w:val="Normal"/>
              <w:widowControl w:val="false"/>
              <w:ind w:left="0" w:right="4" w:hanging="0"/>
              <w:jc w:val="center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eastAsia="ru-RU" w:bidi="ar-SA"/>
              </w:rPr>
              <w:t>Е444АХ19, 2020г.в., VIN JTHB5LGFХ05007979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pacing w:before="100" w:after="100"/>
              <w:ind w:left="0" w:right="0" w:hanging="392"/>
              <w:jc w:val="center"/>
              <w:textAlignment w:val="baselin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</w:t>
            </w:r>
            <w:r>
              <w:rPr>
                <w:bCs/>
                <w:sz w:val="24"/>
                <w:szCs w:val="24"/>
              </w:rPr>
              <w:t>9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pacing w:before="100" w:after="100"/>
              <w:ind w:left="0" w:right="0" w:hanging="392"/>
              <w:jc w:val="center"/>
              <w:textAlignment w:val="baselin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</w:t>
            </w:r>
            <w:r>
              <w:rPr>
                <w:bCs/>
                <w:sz w:val="24"/>
                <w:szCs w:val="24"/>
              </w:rPr>
              <w:t>10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TOYOTA CAMRY</w:t>
            </w:r>
          </w:p>
          <w:p>
            <w:pPr>
              <w:pStyle w:val="Normal"/>
              <w:widowControl w:val="false"/>
              <w:ind w:left="0" w:right="4" w:hanging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  <w:lang w:val="en-US"/>
              </w:rPr>
              <w:t>В</w:t>
            </w: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en-US" w:eastAsia="ru-RU" w:bidi="ar-SA"/>
              </w:rPr>
              <w:t>585ВУ138, 2018г VIN XW7BF3HK20S120913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</w:t>
            </w:r>
            <w:r>
              <w:rPr>
                <w:bCs/>
                <w:sz w:val="24"/>
                <w:szCs w:val="24"/>
              </w:rPr>
              <w:t>20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</w:t>
            </w:r>
            <w:r>
              <w:rPr>
                <w:bCs/>
                <w:sz w:val="24"/>
                <w:szCs w:val="24"/>
              </w:rPr>
              <w:t>21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Замена масла в КПП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>
          <w:trHeight w:val="587" w:hRule="atLeast"/>
        </w:trPr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TOYOTA CAMRY</w:t>
            </w:r>
          </w:p>
          <w:p>
            <w:pPr>
              <w:pStyle w:val="Normal"/>
              <w:widowControl w:val="false"/>
              <w:ind w:left="0" w:right="4" w:hanging="0"/>
              <w:jc w:val="center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color w:val="auto"/>
                <w:kern w:val="0"/>
                <w:lang w:val="ru-RU" w:eastAsia="ru-RU" w:bidi="ar-SA"/>
              </w:rPr>
              <w:t>Р193ОР799, 2019г. VIN  XW7BFYHK10S139272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</w:t>
            </w:r>
            <w:r>
              <w:rPr>
                <w:bCs/>
                <w:sz w:val="24"/>
                <w:szCs w:val="24"/>
              </w:rPr>
              <w:t>21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</w:t>
            </w:r>
            <w:r>
              <w:rPr>
                <w:bCs/>
                <w:sz w:val="24"/>
                <w:szCs w:val="24"/>
              </w:rPr>
              <w:t>22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TOYOTA CAMRY</w:t>
            </w:r>
          </w:p>
          <w:p>
            <w:pPr>
              <w:pStyle w:val="Normal"/>
              <w:widowControl w:val="false"/>
              <w:ind w:left="0" w:right="4" w:hanging="0"/>
              <w:jc w:val="center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color w:val="auto"/>
                <w:kern w:val="0"/>
                <w:lang w:val="ru-RU" w:eastAsia="ru-RU" w:bidi="ar-SA"/>
              </w:rPr>
              <w:t>С967ТВ799, 2020г. VIN  XW7BFYHK80S162743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ТО-1</w:t>
            </w:r>
            <w:r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ТО-1</w:t>
            </w:r>
            <w:r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>
          <w:trHeight w:val="565" w:hRule="atLeast"/>
        </w:trPr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TOYOTA CAMRY</w:t>
            </w:r>
          </w:p>
          <w:p>
            <w:pPr>
              <w:pStyle w:val="Normal"/>
              <w:widowControl w:val="false"/>
              <w:ind w:left="0" w:right="4" w:hanging="0"/>
              <w:jc w:val="center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color w:val="auto"/>
                <w:kern w:val="0"/>
                <w:lang w:val="ru-RU" w:eastAsia="ru-RU" w:bidi="ar-SA"/>
              </w:rPr>
              <w:t>Н604НР750, 2020г. VIN  XW7BFYHK60S1626161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</w:t>
            </w:r>
            <w:r>
              <w:rPr>
                <w:bCs/>
                <w:sz w:val="24"/>
                <w:szCs w:val="24"/>
              </w:rPr>
              <w:t>23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ТО-2</w:t>
            </w:r>
            <w:r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>
          <w:trHeight w:val="576" w:hRule="atLeast"/>
        </w:trPr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TOYOTA CAMRY</w:t>
            </w:r>
          </w:p>
          <w:p>
            <w:pPr>
              <w:pStyle w:val="Normal"/>
              <w:widowControl w:val="false"/>
              <w:ind w:left="0" w:right="4" w:hanging="0"/>
              <w:jc w:val="center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color w:val="auto"/>
                <w:kern w:val="0"/>
                <w:lang w:val="ru-RU" w:eastAsia="ru-RU" w:bidi="ar-SA"/>
              </w:rPr>
              <w:t>P227OP799, 2019г. VIN  XW7BFYHK50S139503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ТО-1</w:t>
            </w:r>
            <w:r>
              <w:rPr>
                <w:bCs/>
                <w:sz w:val="24"/>
                <w:szCs w:val="24"/>
              </w:rPr>
              <w:t>9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</w:t>
            </w:r>
            <w:r>
              <w:rPr>
                <w:bCs/>
                <w:sz w:val="24"/>
                <w:szCs w:val="24"/>
              </w:rPr>
              <w:t>20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>
          <w:trHeight w:val="574" w:hRule="atLeast"/>
        </w:trPr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TOYOTA CAMRY</w:t>
            </w:r>
          </w:p>
          <w:p>
            <w:pPr>
              <w:pStyle w:val="Normal"/>
              <w:widowControl w:val="false"/>
              <w:ind w:left="0" w:right="4" w:hanging="0"/>
              <w:jc w:val="center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color w:val="auto"/>
                <w:kern w:val="0"/>
                <w:lang w:val="ru-RU" w:eastAsia="ru-RU" w:bidi="ar-SA"/>
              </w:rPr>
              <w:t>H125EB777, 2020г. VIN XW7BFYHK30S166148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ТО-2</w:t>
            </w:r>
            <w:r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0000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ТО-2</w:t>
            </w:r>
            <w:r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>
          <w:trHeight w:val="584" w:hRule="atLeast"/>
        </w:trPr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TOYOTA CAMRY</w:t>
            </w:r>
          </w:p>
          <w:p>
            <w:pPr>
              <w:pStyle w:val="Normal"/>
              <w:widowControl w:val="false"/>
              <w:ind w:left="0" w:right="4" w:hanging="0"/>
              <w:jc w:val="center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color w:val="auto"/>
                <w:kern w:val="0"/>
                <w:lang w:val="ru-RU" w:eastAsia="ru-RU" w:bidi="ar-SA"/>
              </w:rPr>
              <w:t>T725СУ799, 2020г. VIN XW7BFYHK50S163011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ТО-2</w:t>
            </w:r>
            <w:r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0000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ТО-2</w:t>
            </w:r>
            <w:r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>
          <w:trHeight w:val="582" w:hRule="atLeast"/>
        </w:trPr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TOYOTA CAMRY</w:t>
            </w:r>
          </w:p>
          <w:p>
            <w:pPr>
              <w:pStyle w:val="Normal"/>
              <w:widowControl w:val="false"/>
              <w:ind w:left="0" w:right="4" w:hanging="0"/>
              <w:jc w:val="center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color w:val="auto"/>
                <w:kern w:val="0"/>
                <w:lang w:val="ru-RU" w:eastAsia="ru-RU" w:bidi="ar-SA"/>
              </w:rPr>
              <w:t>Т839СУ799, 2020г. VIN XW7BFYHK40S162528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ТО-2</w:t>
            </w:r>
            <w:r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0000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ТО-2</w:t>
            </w:r>
            <w:r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>
          <w:trHeight w:val="593" w:hRule="atLeast"/>
        </w:trPr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TOYOTA CAMRY</w:t>
            </w:r>
          </w:p>
          <w:p>
            <w:pPr>
              <w:pStyle w:val="Normal"/>
              <w:widowControl w:val="false"/>
              <w:ind w:left="0" w:right="4" w:hanging="0"/>
              <w:jc w:val="center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color w:val="auto"/>
                <w:kern w:val="0"/>
                <w:lang w:val="ru-RU" w:eastAsia="ru-RU" w:bidi="ar-SA"/>
              </w:rPr>
              <w:t>С792АТ777 2019г. VIN XW7BFYHK20S151852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</w:t>
            </w:r>
            <w:r>
              <w:rPr>
                <w:bCs/>
                <w:sz w:val="24"/>
                <w:szCs w:val="24"/>
              </w:rPr>
              <w:t>20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ТО-2</w:t>
            </w:r>
            <w:r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TOYOTA CAMRY</w:t>
            </w:r>
          </w:p>
          <w:p>
            <w:pPr>
              <w:pStyle w:val="Normal"/>
              <w:widowControl w:val="false"/>
              <w:ind w:left="0" w:right="4" w:hanging="0"/>
              <w:jc w:val="center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color w:val="auto"/>
                <w:kern w:val="0"/>
                <w:lang w:val="ru-RU" w:eastAsia="ru-RU" w:bidi="ar-SA"/>
              </w:rPr>
              <w:t>А600АУ50 2013г. VIN XW7BF4FK40S033023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ТО-210000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ТО-220 000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FORD TORNEO</w:t>
            </w:r>
          </w:p>
          <w:p>
            <w:pPr>
              <w:pStyle w:val="Normal"/>
              <w:widowControl w:val="false"/>
              <w:shd w:val="clear" w:fill="FFFFFF"/>
              <w:ind w:left="0" w:right="4" w:hanging="0"/>
              <w:jc w:val="center"/>
              <w:rPr/>
            </w:pPr>
            <w:r>
              <w:rPr>
                <w:rFonts w:eastAsia="Times New Roman" w:cs="Times New Roman"/>
                <w:iCs/>
                <w:color w:val="auto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color w:val="auto"/>
                <w:kern w:val="0"/>
                <w:lang w:val="ru-RU" w:eastAsia="ru-RU" w:bidi="ar-SA"/>
              </w:rPr>
              <w:t>X153OB799, 2018г. VIN WF03XXTTG3JA66653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ТО-1</w:t>
            </w:r>
            <w:r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0000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ТО-1</w:t>
            </w:r>
            <w:r>
              <w:rPr>
                <w:bCs/>
                <w:sz w:val="24"/>
                <w:szCs w:val="24"/>
              </w:rPr>
              <w:t>8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TOYOTA HILUX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P640OH27, 2021г. VIN MR0KBCD700908062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ТО-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110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ТО-1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20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HUYNDAI PAL[SAD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P151XO27, 2021г., VIN KMHR581EDNU33503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ТО-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4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ТО-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0 000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Toyota Land Cruser 200, Е907УО799, 2018,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VIN JTMCX05J204175806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ТО-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200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000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ТО-2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0 00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-113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 атомобилей:</w:t>
            </w:r>
          </w:p>
          <w:p>
            <w:pPr>
              <w:pStyle w:val="Normal"/>
              <w:widowControl w:val="false"/>
              <w:jc w:val="left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TOYOTA CAMRY A600АУ50 2013г. </w:t>
            </w: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VIN XW7BF4FK40S033023;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iCs/>
                <w:sz w:val="24"/>
                <w:szCs w:val="24"/>
                <w:lang w:val="en-US"/>
              </w:rPr>
              <w:t>TOYOTA CAMRY</w:t>
            </w:r>
            <w:r>
              <w:rPr>
                <w:iCs/>
                <w:color w:val="000000"/>
                <w:sz w:val="24"/>
                <w:szCs w:val="24"/>
                <w:lang w:val="en-US"/>
              </w:rPr>
              <w:t xml:space="preserve"> В</w:t>
            </w: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en-US" w:eastAsia="ru-RU" w:bidi="ar-SA"/>
              </w:rPr>
              <w:t>585ВУ138 2018г VIN XW7BF3HK20S120913;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iCs/>
                <w:sz w:val="24"/>
                <w:szCs w:val="24"/>
              </w:rPr>
              <w:t xml:space="preserve">LEXUS  </w:t>
            </w:r>
            <w:r>
              <w:rPr>
                <w:iCs/>
                <w:sz w:val="24"/>
                <w:szCs w:val="24"/>
                <w:lang w:val="en-US"/>
              </w:rPr>
              <w:t xml:space="preserve">ES 350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Т807СУ799, 2014г.в.,VIN JTHBK1GG002146560;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iCs/>
                <w:sz w:val="24"/>
                <w:szCs w:val="24"/>
                <w:shd w:fill="auto" w:val="clear"/>
              </w:rPr>
              <w:t xml:space="preserve">LEXUS LХ 570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С056ВК799, 2015г.в.,VIN JTJHY00W004194499;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iCs/>
                <w:sz w:val="24"/>
                <w:szCs w:val="24"/>
              </w:rPr>
              <w:t xml:space="preserve">LEXUS  LS </w:t>
            </w:r>
            <w:r>
              <w:rPr>
                <w:iCs/>
                <w:sz w:val="24"/>
                <w:szCs w:val="24"/>
                <w:lang w:val="en-US"/>
              </w:rPr>
              <w:t xml:space="preserve">500,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A210TB777, 2019г.в., VIN JTHC5LFF805006920;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iCs/>
                <w:sz w:val="24"/>
                <w:szCs w:val="24"/>
              </w:rPr>
              <w:t xml:space="preserve">LEXUS  LS </w:t>
            </w:r>
            <w:r>
              <w:rPr>
                <w:iCs/>
                <w:sz w:val="24"/>
                <w:szCs w:val="24"/>
                <w:lang w:val="en-US"/>
              </w:rPr>
              <w:t>500, E444AX19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, 2020г.в., VIN JTHB5LGFX05007979;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iCs/>
                <w:sz w:val="24"/>
                <w:szCs w:val="24"/>
              </w:rPr>
              <w:t xml:space="preserve">TOYOTA CAMRY,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Р193ОР799, 2019г. VIN  XW7BFYHK10S139272;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iCs/>
                <w:sz w:val="24"/>
                <w:szCs w:val="24"/>
              </w:rPr>
              <w:t xml:space="preserve">TOYOTA CAMRY,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С967ТВ799, 2020г. VIN  XW7BFYHK80S162743;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iCs/>
                <w:sz w:val="24"/>
                <w:szCs w:val="24"/>
              </w:rPr>
              <w:t xml:space="preserve">TOYOTA CAMRY,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P227OP799, 2019г. VIN  XW7BFYHK50S139503;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iCs/>
                <w:sz w:val="24"/>
                <w:szCs w:val="24"/>
              </w:rPr>
              <w:t xml:space="preserve">TOYOTA CAMRY,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H125EB777, 2020г. VIN XW7BFYHK30S166148;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iCs/>
                <w:sz w:val="24"/>
                <w:szCs w:val="24"/>
              </w:rPr>
              <w:t xml:space="preserve">TOYOTA CAMRY,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T725СУ799, 2020г. VIN XW7BFYHK50S163011;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iCs/>
                <w:sz w:val="24"/>
                <w:szCs w:val="24"/>
              </w:rPr>
              <w:t xml:space="preserve">TOYOTA CAMRY,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Т839СУ799, 2020г. VIN XW7BFYHK40S162528;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iCs/>
                <w:sz w:val="24"/>
                <w:szCs w:val="24"/>
              </w:rPr>
              <w:t xml:space="preserve">TOYOTA CAMRY,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С792АТ777 2019г. VIN XW7BFYHK20S151852;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iCs/>
                <w:sz w:val="24"/>
                <w:szCs w:val="24"/>
              </w:rPr>
              <w:t xml:space="preserve">TOYOTA CAMRY,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Н604НР750, 2020г. VIN  XW7BFYHK60S1626161;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iCs/>
                <w:sz w:val="24"/>
                <w:szCs w:val="24"/>
              </w:rPr>
              <w:t xml:space="preserve">FORD TORNEO,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X153OB799, 2018г. VIN WF03XXTTG3JA66653;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TOYOTA HILUX, Р640ОН27, 2021г., VIN MR0KB3CD700908062;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HUYNDAI PALISADE, Р151ХО27, 2021, VIN KMHR581EDNU339503;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LEXUS  LS 500, А562КС777, 2020, VIN JTHB5LGF605007669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Toyota Land Cruser 200, Е907УО799, 2018, 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VIN JTMCX05J204175806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нормoчас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Heading3"/>
        <w:numPr>
          <w:ilvl w:val="2"/>
          <w:numId w:val="3"/>
        </w:numPr>
        <w:ind w:left="1224" w:right="0" w:hanging="504"/>
        <w:rPr>
          <w:lang w:val="ru-RU"/>
        </w:rPr>
      </w:pPr>
      <w:bookmarkStart w:id="16" w:name="_Toc181254700"/>
      <w:bookmarkStart w:id="17" w:name="_Toc51339696"/>
      <w:r>
        <w:rPr>
          <w:lang w:val="ru-RU"/>
        </w:rPr>
        <w:t xml:space="preserve">Требования </w:t>
      </w:r>
      <w:bookmarkEnd w:id="17"/>
      <w:r>
        <w:rPr>
          <w:lang w:val="ru-RU"/>
        </w:rPr>
        <w:t>к срокам оказания услуг</w:t>
      </w:r>
      <w:bookmarkEnd w:id="16"/>
    </w:p>
    <w:p>
      <w:pPr>
        <w:pStyle w:val="Heading1"/>
        <w:keepLines/>
        <w:numPr>
          <w:ilvl w:val="0"/>
        </w:numPr>
        <w:tabs>
          <w:tab w:val="clear" w:pos="0"/>
        </w:tabs>
        <w:spacing w:before="240" w:after="60"/>
        <w:ind w:left="0" w:right="0" w:hanging="0"/>
        <w:rPr>
          <w:sz w:val="24"/>
          <w:szCs w:val="24"/>
          <w:lang w:val="ru-RU"/>
        </w:rPr>
      </w:pPr>
      <w:bookmarkStart w:id="18" w:name="_Toc181254701"/>
      <w:bookmarkStart w:id="19" w:name="_Toc51339697"/>
      <w:bookmarkStart w:id="20" w:name="_Toc50125127"/>
      <w:bookmarkStart w:id="21" w:name="_Toc501251261"/>
      <w:bookmarkEnd w:id="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2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9"/>
      <w:bookmarkEnd w:id="20"/>
      <w:bookmarkEnd w:id="22"/>
      <w:r>
        <w:rPr>
          <w:sz w:val="24"/>
          <w:szCs w:val="24"/>
          <w:lang w:val="ru-RU"/>
        </w:rPr>
        <w:t>оказания услуг</w:t>
      </w:r>
      <w:bookmarkEnd w:id="18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3005"/>
        <w:gridCol w:w="2981"/>
        <w:gridCol w:w="3115"/>
      </w:tblGrid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360" w:right="0" w:hanging="360"/>
              <w:rPr/>
            </w:pPr>
            <w:r>
              <w:rPr/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Оказание услуг по техническому обслуживанию и текущему ремонту негарантийных автомобилей марки Toyota, Lexus, Ford, Huyndai для нужд Красноярского представительства Саяно-Шушенского филиала АО "ТК РусГидро»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pacing w:before="0" w:after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момента заключения договора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bookmarkStart w:id="23" w:name="_Toc46743510"/>
            <w:r>
              <w:rPr>
                <w:bCs/>
                <w:sz w:val="24"/>
                <w:szCs w:val="24"/>
              </w:rPr>
              <w:t>по 31.12.2027г.</w:t>
            </w:r>
            <w:bookmarkEnd w:id="23"/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24" w:name="_Toc51339698"/>
      <w:bookmarkStart w:id="25" w:name="_Toc181254702"/>
      <w:bookmarkStart w:id="26" w:name="_Toc46743511"/>
      <w:r>
        <w:rPr/>
        <w:t xml:space="preserve">Требования к </w:t>
      </w:r>
      <w:bookmarkEnd w:id="26"/>
      <w:r>
        <w:rPr>
          <w:lang w:val="ru-RU"/>
        </w:rPr>
        <w:t>качеству услуг</w:t>
      </w:r>
      <w:bookmarkEnd w:id="25"/>
    </w:p>
    <w:p>
      <w:pPr>
        <w:pStyle w:val="Heading1"/>
        <w:keepLines/>
        <w:numPr>
          <w:ilvl w:val="0"/>
        </w:numPr>
        <w:tabs>
          <w:tab w:val="clear" w:pos="0"/>
        </w:tabs>
        <w:spacing w:before="240" w:after="60"/>
        <w:ind w:left="0" w:right="0" w:hanging="0"/>
        <w:rPr>
          <w:sz w:val="24"/>
          <w:szCs w:val="24"/>
        </w:rPr>
      </w:pPr>
      <w:bookmarkStart w:id="27" w:name="_Toc181254703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4"/>
      <w:r>
        <w:rPr>
          <w:sz w:val="24"/>
          <w:szCs w:val="24"/>
          <w:lang w:val="ru-RU"/>
        </w:rPr>
        <w:t>качеству услуг</w:t>
      </w:r>
      <w:bookmarkEnd w:id="27"/>
      <w:r>
        <w:rPr>
          <w:sz w:val="24"/>
          <w:szCs w:val="24"/>
        </w:rPr>
        <w:t xml:space="preserve"> </w:t>
      </w:r>
    </w:p>
    <w:p>
      <w:pPr>
        <w:pStyle w:val="Normal"/>
        <w:rPr>
          <w:bCs/>
          <w:i/>
          <w:i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услуг/этапа услуг (все позиции Таблицы 2): </w:t>
      </w:r>
      <w:r>
        <w:rPr>
          <w:bCs/>
        </w:rPr>
        <w:t>ТО, ТР, Замена масла в КПП, Развал-схождение</w:t>
      </w:r>
      <w:r>
        <w:rPr>
          <w:bCs/>
          <w:i/>
          <w:sz w:val="24"/>
          <w:szCs w:val="24"/>
        </w:rPr>
        <w:t xml:space="preserve">, </w:t>
      </w: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Шиномонтаж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rStyle w:val="Style7"/>
          <w:b w:val="false"/>
          <w:iCs/>
          <w:sz w:val="24"/>
          <w:szCs w:val="24"/>
        </w:rPr>
        <w:t xml:space="preserve"> </w:t>
      </w:r>
    </w:p>
    <w:tbl>
      <w:tblPr>
        <w:tblW w:w="149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266"/>
        <w:gridCol w:w="3857"/>
        <w:gridCol w:w="2579"/>
        <w:gridCol w:w="2727"/>
        <w:gridCol w:w="2628"/>
      </w:tblGrid>
      <w:tr>
        <w:trPr/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8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8"/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60" w:after="60"/>
              <w:ind w:left="360" w:right="0" w:hanging="3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48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2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2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37" w:right="0" w:hanging="37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Услуги по проведению работ по техническому обслуживанию не может превышать более 1 (одних) суток и срок проведения работ по ремонту не может превышать более 30 суток с момента сдачи ТС исполнителю. При невозможности проведения работ по ТО менее 1 (одних) суток и ремонта менее 30 суток с момента сдачи ТС, исполнитель дополнительно согласовывает с заказчиком сроки проведения работ и предоставляет бесплатное хранение ТС на охраняемой территории на время ожидания работ и их проведения.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9" w:name="_Toc181254704"/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  <w:bookmarkEnd w:id="29"/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2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ТС прошедшие техническое обслуживание и ремонт должны отвечать требованиям, регламентирующим техническое состояние и оборудование ТС, участвующих в дорожном движении, в части, относящейся к обеспечению безопасности дорожного движения (Постановление правительства РФ от 23.10.1993 №1090 «О правилах дорожного движения» (ред. от 19.04.2024)).</w:t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2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rPr/>
            </w:pPr>
            <w:r>
              <w:rPr>
                <w:rStyle w:val="Style15"/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требованию заказчика Исполнитель должен предоставить попозиционный расчет трудозатрат в нормо-часах на произведенный текущий ремонт автомобилей марки «Toyota» или «Lexus» с подтверждением норм трудозатрат в нормо-часах из специализированных информационных систем</w:t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2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2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сдачи автотранспорта более чем на одни сутки сервисная организация оформляет приемо-сдаточный акт по форме, предусмотренной организацией Заказчика, который подписывают представители обеих сторон. В исключительных случаях осмотр автотранспорта может осуществляться на территории Заказчика.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2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2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7740" w:leader="none"/>
              </w:tabs>
              <w:suppressAutoHyphens w:val="true"/>
              <w:spacing w:before="0" w:after="0"/>
              <w:ind w:left="0" w:right="0" w:hanging="0"/>
              <w:contextualSpacing/>
              <w:jc w:val="both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При проведении работ по ТО и/или текущему ремонту  исполнитель должен установить оригинальные запасные части и расходные материалы в соответствии с каталожными номерами завода изготовителя автомобиля. Услуги оказываются в полном объеме согласно регламенту и требованиям завода-изготовителя автомобилей.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2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7740" w:leader="none"/>
              </w:tabs>
              <w:suppressAutoHyphens w:val="true"/>
              <w:spacing w:lineRule="auto" w:line="240" w:before="0" w:after="0"/>
              <w:ind w:left="28" w:right="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Запасные части, детали и расходные материалы, установленные на ТС в ходе оказания услуг и на которые в установленном порядке Заказчиком оформлена рекламация (претензия к качеству, функционированию), подлежат обязательной замене за счет средств Исполнителя в течение 5 (пяти) рабочих дней.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1.3.3.</w:t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37" w:right="0" w:hanging="0"/>
              <w:contextualSpacing/>
              <w:jc w:val="left"/>
              <w:rPr>
                <w:b/>
                <w:lang w:eastAsia="x-none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В случае если в ходе проведения технических воздействий выявлена, необходимость замены как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ой-либо детали, узла или агрегата стоимость, которой или стоимость работы по замене которой превышает 5000 (Пять тысяч) рублей без НДС, Исполнитель обязан провести дополнит</w:t>
            </w:r>
            <w:r>
              <w:rPr>
                <w:rFonts w:cs="Times New Roman"/>
                <w:kern w:val="0"/>
                <w:lang w:val="ru-RU" w:eastAsia="ru-RU" w:bidi="ar-SA"/>
              </w:rPr>
              <w:t>ельное согласование с Заказчиком о необходимости и порядке выполнения данной работы.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913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1.3.4.</w:t>
            </w:r>
          </w:p>
        </w:tc>
        <w:tc>
          <w:tcPr>
            <w:tcW w:w="6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120" w:after="240"/>
              <w:ind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 требованию Заказчика Исполнитель обязан предоставить сертификат качества на замененные в процессе ремонта запасные части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по требованию заказчика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ind w:left="57" w:right="0" w:firstLine="113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120" w:after="240"/>
              <w:ind w:left="37" w:right="0" w:hanging="14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1.3.5.</w:t>
            </w:r>
          </w:p>
        </w:tc>
        <w:tc>
          <w:tcPr>
            <w:tcW w:w="6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37" w:right="0" w:hanging="0"/>
              <w:contextualSpacing/>
              <w:jc w:val="left"/>
              <w:rPr>
                <w:b/>
                <w:lang w:eastAsia="x-none"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Все расходные материалы, замененные в процессе проведения технического обслуживания и ремонта ТС Заказчика, переходят в собственность Исполнителя, и утилизируются его силами.</w:t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60" w:after="60"/>
              <w:ind w:left="360" w:right="0" w:hanging="3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2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2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ТС прошедшие ТО и ремонт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№1090 «О правилах дорожного движения» (ред. от 19.04.2024)).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30" w:name="_Toc181254705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  <w:bookmarkEnd w:id="30"/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2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Допуск представителей для контроля процесса.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по требованию Заказчика допускать его представителей для контроля процесса выполнения технологических и ремонтных операций, качества и полноты оказания услуг и в целом выполнения договорных обязательств непосредственно к местам производства работ.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2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2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Передача автотранспорта после выполнения оказанных услуг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После выполнения оказанных услуг Исполнитель информирует Заказчика о готовности автотранспорта и передает его по приемо-сдаточному акту. Исполнитель предоставляет Заказчику бесплатное хранение транспортных средств на охраняемой территории на время ожидания работ и их проведения в течение 30 суток.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60" w:after="60"/>
              <w:ind w:left="360" w:right="0" w:hanging="3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37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2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bookmarkStart w:id="31" w:name="_Toc181254706"/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Трудоемкость</w:t>
            </w:r>
            <w:bookmarkEnd w:id="31"/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Трудоемкость услуг соответствует нормативной документации завода-изготовителя.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sz w:val="20"/>
                <w:szCs w:val="20"/>
              </w:rPr>
            </w:pPr>
            <w:bookmarkStart w:id="32" w:name="_Toc181254707"/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  <w:bookmarkEnd w:id="32"/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60" w:after="60"/>
              <w:ind w:left="360" w:right="0" w:hanging="3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  <w:t>4.1.1.</w:t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60" w:after="60"/>
              <w:ind w:left="0" w:right="0" w:hanging="0"/>
              <w:contextualSpacing w:val="false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Исполнитель обязан предоставить гарантии на установленные узлы, агрегаты и запасные части согласно срокам, установленных заводом-изготовителем, а на оказанные услуги по текущему ремонту не менее 6 месяцев при условии эксплуатации транспортного средства согласно руководству по эксплуатации.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  <w:t>4.1.2.</w:t>
            </w:r>
          </w:p>
        </w:tc>
        <w:tc>
          <w:tcPr>
            <w:tcW w:w="6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 на проведенные работы по ТО транспортных средств должна составлять не менее 6 месяцев или 10000 км. пробега, что наступит ранее.</w:t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60" w:after="60"/>
              <w:ind w:left="360" w:right="0" w:hanging="3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2"/>
              </w:numPr>
              <w:suppressAutoHyphens w:val="true"/>
              <w:spacing w:before="60" w:after="60"/>
              <w:ind w:left="1224" w:right="0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120" w:after="24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Участник должен иметь не менее одной собственной (либо в аренде) производственной базы для проведения ТО и ремонта транспортных средств. Площадью не менее 50 м2.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Согласие с </w:t>
            </w:r>
            <w:bookmarkStart w:id="33" w:name="_GoBack"/>
            <w:bookmarkEnd w:id="33"/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требованием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4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Договор аренды или свидетельство о праве собственности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orient="landscape" w:w="16838" w:h="11906"/>
          <w:pgMar w:left="992" w:right="567" w:gutter="0" w:header="680" w:top="851" w:footer="381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p>
      <w:pPr>
        <w:pStyle w:val="Heading1"/>
        <w:keepLines/>
        <w:numPr>
          <w:ilvl w:val="0"/>
          <w:numId w:val="3"/>
        </w:numPr>
        <w:ind w:left="357" w:right="0" w:hanging="357"/>
        <w:jc w:val="center"/>
        <w:rPr>
          <w:lang w:val="ru-RU"/>
        </w:rPr>
      </w:pPr>
      <w:bookmarkStart w:id="34" w:name="_Toc181254708"/>
      <w:bookmarkStart w:id="35" w:name="_Toc53393312"/>
      <w:bookmarkStart w:id="36" w:name="_Toc53395937"/>
      <w:r>
        <w:rPr>
          <w:lang w:val="ru-RU"/>
        </w:rPr>
        <w:t>Требования к документации по ценообразованию</w:t>
      </w:r>
      <w:bookmarkEnd w:id="35"/>
      <w:bookmarkEnd w:id="36"/>
      <w:r>
        <w:rPr>
          <w:lang w:val="ru-RU"/>
        </w:rPr>
        <w:t xml:space="preserve"> на этапе закупки</w:t>
      </w:r>
      <w:bookmarkEnd w:id="34"/>
    </w:p>
    <w:p>
      <w:pPr>
        <w:pStyle w:val="Normal"/>
        <w:ind w:left="0" w:right="-2" w:hanging="0"/>
        <w:jc w:val="both"/>
        <w:rPr/>
      </w:pPr>
      <w:r>
        <w:rPr>
          <w:rStyle w:val="Style15"/>
          <w:sz w:val="24"/>
          <w:szCs w:val="24"/>
        </w:rPr>
        <w:t xml:space="preserve">3.1. Расчет стоимости технического обслуживания транспортных средств марки «Toyota» и «Lexus» должен быть представлен по форме Приложения № 1 к настоящим техническим требованиям. Стоимость снятия и установки защиты картера, стоимость работ по техническому обслуживанию, стоимость запасных частей, накладные расходы, расходные материалы, оплата таможенных пошлин, налогов, сборов и других обязательных платежей, в том числе НДС, должны входить в стоимость услуг по техническому обслуживанию автомобилей марки «Toyota» и «Lexus». </w:t>
      </w:r>
      <w:r>
        <w:rPr>
          <w:rStyle w:val="Style15"/>
          <w:b/>
          <w:sz w:val="24"/>
          <w:szCs w:val="24"/>
        </w:rPr>
        <w:t>В случае, если по указанному гос.рег.номеру отсутствует стоимость технического обслуживания, регламент технического обслуживания по пробегу, то стоимость технического обслуживания и регламент технического обслуживания устанавливается по аналогичному транспортному средству (по коду модели) и соответствующему пробегу/году эксплуатации либо по кратности технического обслуживания в соответствии с Приложением № 6 к Договору (Стоимость технического обслуживания транспортных средств марки «Toyota» и «Lexus»).</w:t>
      </w:r>
      <w:r>
        <w:rPr>
          <w:rStyle w:val="Style15"/>
          <w:sz w:val="24"/>
          <w:szCs w:val="24"/>
        </w:rPr>
        <w:t xml:space="preserve"> Техническое обслуживание проводится согласно Регламента технического обслуживания транспортных средств марки «Toyota» и «Lexus» (Приложение № 8 к Договору).</w:t>
      </w:r>
    </w:p>
    <w:p>
      <w:pPr>
        <w:pStyle w:val="Normal"/>
        <w:ind w:left="0" w:right="-2" w:hanging="0"/>
        <w:jc w:val="both"/>
        <w:rPr/>
      </w:pPr>
      <w:r>
        <w:rPr>
          <w:rStyle w:val="Style15"/>
          <w:bCs/>
          <w:sz w:val="24"/>
          <w:szCs w:val="24"/>
        </w:rPr>
        <w:t xml:space="preserve">3.2. </w:t>
      </w:r>
      <w:r>
        <w:rPr>
          <w:rStyle w:val="Style15"/>
          <w:sz w:val="24"/>
          <w:szCs w:val="24"/>
        </w:rPr>
        <w:t xml:space="preserve">Расчет стоимости нормо-часа текущего ремонта транспортных средств </w:t>
      </w:r>
      <w:r>
        <w:rPr>
          <w:rStyle w:val="Style15"/>
          <w:rFonts w:eastAsia="Calibri"/>
          <w:bCs/>
          <w:color w:val="000000"/>
          <w:sz w:val="24"/>
          <w:szCs w:val="24"/>
          <w:lang w:eastAsia="en-US"/>
        </w:rPr>
        <w:t>марки</w:t>
      </w:r>
      <w:r>
        <w:rPr>
          <w:rStyle w:val="Style15"/>
          <w:sz w:val="24"/>
          <w:szCs w:val="24"/>
        </w:rPr>
        <w:t xml:space="preserve"> «</w:t>
      </w:r>
      <w:r>
        <w:rPr>
          <w:rStyle w:val="Style15"/>
          <w:sz w:val="24"/>
          <w:szCs w:val="24"/>
          <w:lang w:val="en-US"/>
        </w:rPr>
        <w:t>Toyota</w:t>
      </w:r>
      <w:r>
        <w:rPr>
          <w:rStyle w:val="Style15"/>
          <w:sz w:val="24"/>
          <w:szCs w:val="24"/>
        </w:rPr>
        <w:t>» и «</w:t>
      </w:r>
      <w:r>
        <w:rPr>
          <w:rStyle w:val="Style15"/>
          <w:sz w:val="24"/>
          <w:szCs w:val="24"/>
          <w:lang w:val="en-US"/>
        </w:rPr>
        <w:t>Lexus</w:t>
      </w:r>
      <w:r>
        <w:rPr>
          <w:rStyle w:val="Style15"/>
          <w:sz w:val="24"/>
          <w:szCs w:val="24"/>
        </w:rPr>
        <w:t xml:space="preserve">» должен быть представлен по форме Приложения № 2 к настоящим техническим требованиям. Накладные расходы и обязательные платежи, в том числе НДС, должны входить в стоимость нормо-часа текущего ремонта транспортных средств </w:t>
      </w:r>
      <w:r>
        <w:rPr>
          <w:rStyle w:val="Style15"/>
          <w:rFonts w:eastAsia="Calibri"/>
          <w:bCs/>
          <w:color w:val="000000"/>
          <w:sz w:val="24"/>
          <w:szCs w:val="24"/>
          <w:lang w:eastAsia="en-US"/>
        </w:rPr>
        <w:t>марки</w:t>
      </w:r>
      <w:r>
        <w:rPr>
          <w:rStyle w:val="Style15"/>
          <w:sz w:val="24"/>
          <w:szCs w:val="24"/>
        </w:rPr>
        <w:t xml:space="preserve"> «</w:t>
      </w:r>
      <w:r>
        <w:rPr>
          <w:rStyle w:val="Style15"/>
          <w:sz w:val="24"/>
          <w:szCs w:val="24"/>
          <w:lang w:val="en-US"/>
        </w:rPr>
        <w:t>Toyota</w:t>
      </w:r>
      <w:r>
        <w:rPr>
          <w:rStyle w:val="Style15"/>
          <w:sz w:val="24"/>
          <w:szCs w:val="24"/>
        </w:rPr>
        <w:t>» и «</w:t>
      </w:r>
      <w:r>
        <w:rPr>
          <w:rStyle w:val="Style15"/>
          <w:sz w:val="24"/>
          <w:szCs w:val="24"/>
          <w:lang w:val="en-US"/>
        </w:rPr>
        <w:t>Lexus</w:t>
      </w:r>
      <w:r>
        <w:rPr>
          <w:rStyle w:val="Style15"/>
          <w:sz w:val="24"/>
          <w:szCs w:val="24"/>
        </w:rPr>
        <w:t xml:space="preserve">». В случаях, когда текущий ремонт производится параллельно с техническим обслуживанием или в день проведения технического обслуживания, плата за снятие и установку защиты картера не взимается и входит в стоимость технического обслуживания. Заказ-наряд не должен содержать следующие сведения: согласие на передачу информации указанной в заказ-наряде третьим лицам, данных о гарантийных обязательствах Исполнителя, о порядке сдачи-приемки результатов работ (услуг), стоимости парковки. При оформлении заказ-наряда, кроме стоимости каждой отдельной позиции по виду работ, также указывать норматив трудозатрат в нормо-часах по каждой позиции по виду работ, наименование работы, количество работ, стоимость нормо-часа, код работы. </w:t>
      </w:r>
      <w:r>
        <w:rPr>
          <w:rStyle w:val="Style15"/>
          <w:b/>
          <w:color w:val="000000"/>
          <w:sz w:val="24"/>
          <w:szCs w:val="24"/>
        </w:rPr>
        <w:t xml:space="preserve">При снижении стоимости текущего ремонта, указанной в Коммерческом предложении (Форма 3), от стоимости текущего ремонта, указанной в Приложении № 8 (Структура НМЦ) к закупочной документации, стоимость нормо-часа автоматически снижается на процент снижения (п.5 Приложения №2 </w:t>
      </w:r>
      <w:r>
        <w:rPr>
          <w:rStyle w:val="Style15"/>
          <w:b/>
          <w:sz w:val="24"/>
          <w:szCs w:val="24"/>
        </w:rPr>
        <w:t>к настоящим техническим требованиям)</w:t>
      </w:r>
      <w:r>
        <w:rPr>
          <w:rStyle w:val="Style15"/>
          <w:bCs/>
          <w:sz w:val="24"/>
          <w:szCs w:val="24"/>
        </w:rPr>
        <w:t>.</w:t>
      </w:r>
    </w:p>
    <w:p>
      <w:pPr>
        <w:pStyle w:val="Normal"/>
        <w:ind w:left="0" w:right="-2" w:hanging="0"/>
        <w:jc w:val="both"/>
        <w:rPr/>
      </w:pPr>
      <w:r>
        <w:rPr>
          <w:rStyle w:val="Style15"/>
          <w:bCs/>
          <w:sz w:val="24"/>
          <w:szCs w:val="24"/>
        </w:rPr>
        <w:t xml:space="preserve">3.3. </w:t>
      </w:r>
      <w:r>
        <w:rPr>
          <w:rStyle w:val="Style15"/>
          <w:sz w:val="24"/>
          <w:szCs w:val="24"/>
        </w:rPr>
        <w:t xml:space="preserve">Стоимость запасных частей, используемых при текущем ремонте транспортных средств </w:t>
      </w:r>
      <w:r>
        <w:rPr>
          <w:rStyle w:val="Style15"/>
          <w:rFonts w:eastAsia="Calibri"/>
          <w:bCs/>
          <w:color w:val="000000"/>
          <w:sz w:val="24"/>
          <w:szCs w:val="24"/>
          <w:lang w:eastAsia="en-US"/>
        </w:rPr>
        <w:t>марки</w:t>
      </w:r>
      <w:r>
        <w:rPr>
          <w:rStyle w:val="Style15"/>
          <w:sz w:val="24"/>
          <w:szCs w:val="24"/>
        </w:rPr>
        <w:t xml:space="preserve"> «</w:t>
      </w:r>
      <w:r>
        <w:rPr>
          <w:rStyle w:val="Style15"/>
          <w:sz w:val="24"/>
          <w:szCs w:val="24"/>
          <w:lang w:val="en-US"/>
        </w:rPr>
        <w:t>Toyota</w:t>
      </w:r>
      <w:r>
        <w:rPr>
          <w:rStyle w:val="Style15"/>
          <w:sz w:val="24"/>
          <w:szCs w:val="24"/>
        </w:rPr>
        <w:t>» и «</w:t>
      </w:r>
      <w:r>
        <w:rPr>
          <w:rStyle w:val="Style15"/>
          <w:sz w:val="24"/>
          <w:szCs w:val="24"/>
          <w:lang w:val="en-US"/>
        </w:rPr>
        <w:t>Lexus</w:t>
      </w:r>
      <w:r>
        <w:rPr>
          <w:rStyle w:val="Style15"/>
          <w:sz w:val="24"/>
          <w:szCs w:val="24"/>
        </w:rPr>
        <w:t xml:space="preserve">» указаны в Приложении № 3 к настоящим техническим требованиям. Расходы на доставку, погрузочно-разгрузочные работы, стоимость тары и упаковки, оплата всех пошлин, налогов, сборов и других обязательных платежей, в том числе НДС, должны входить в стоимость запасных частей. В заказ-нарядах, помимо стоимости запчасти, указываются каталожный номер (код детали), наименование на русском языке, количество, единица измерений, цена и стоимость. </w:t>
      </w:r>
      <w:r>
        <w:rPr>
          <w:rStyle w:val="Style15"/>
          <w:b/>
          <w:sz w:val="24"/>
          <w:szCs w:val="24"/>
        </w:rPr>
        <w:t xml:space="preserve">При снижении стоимости текущего ремонта, </w:t>
      </w:r>
      <w:r>
        <w:rPr>
          <w:rStyle w:val="Style15"/>
          <w:b/>
          <w:color w:val="000000"/>
          <w:sz w:val="24"/>
          <w:szCs w:val="24"/>
        </w:rPr>
        <w:t>указанной в Коммерческом предложении (Форма 3)</w:t>
      </w:r>
      <w:r>
        <w:rPr>
          <w:rStyle w:val="Style15"/>
          <w:b/>
          <w:sz w:val="24"/>
          <w:szCs w:val="24"/>
        </w:rPr>
        <w:t>, от стоимости текущего ремонта</w:t>
      </w:r>
      <w:r>
        <w:rPr>
          <w:rStyle w:val="Style15"/>
          <w:b/>
          <w:color w:val="000000"/>
          <w:sz w:val="24"/>
          <w:szCs w:val="24"/>
        </w:rPr>
        <w:t xml:space="preserve">, </w:t>
      </w:r>
      <w:r>
        <w:rPr>
          <w:rStyle w:val="Style15"/>
          <w:b/>
          <w:sz w:val="24"/>
          <w:szCs w:val="24"/>
        </w:rPr>
        <w:t xml:space="preserve">указанной в Приложении № 8 (Структура НМЦ) к закупочной документации, стоимость каждой позиции, указанной в Приложении № 3 к настоящим техническим требованиям, автоматически снижается на процент снижения </w:t>
      </w:r>
      <w:r>
        <w:rPr>
          <w:rStyle w:val="Style15"/>
          <w:b/>
          <w:color w:val="000000"/>
          <w:sz w:val="24"/>
          <w:szCs w:val="24"/>
        </w:rPr>
        <w:t xml:space="preserve">(п.5 Приложения № 2 </w:t>
      </w:r>
      <w:r>
        <w:rPr>
          <w:rStyle w:val="Style15"/>
          <w:b/>
          <w:sz w:val="24"/>
          <w:szCs w:val="24"/>
        </w:rPr>
        <w:t>к настоящим техническим требованиям).</w:t>
      </w:r>
      <w:r>
        <w:rPr>
          <w:rStyle w:val="Style15"/>
          <w:sz w:val="24"/>
          <w:szCs w:val="24"/>
        </w:rPr>
        <w:t xml:space="preserve"> </w:t>
      </w:r>
      <w:r>
        <w:rPr>
          <w:rStyle w:val="Style15"/>
          <w:b/>
          <w:sz w:val="24"/>
          <w:szCs w:val="24"/>
        </w:rPr>
        <w:t xml:space="preserve">Скидка от стоимости запасных частей, используемых при текущем ремонте транспортных средств </w:t>
      </w:r>
      <w:r>
        <w:rPr>
          <w:rStyle w:val="Style15"/>
          <w:rFonts w:eastAsia="Calibri"/>
          <w:b/>
          <w:bCs/>
          <w:color w:val="000000"/>
          <w:sz w:val="24"/>
          <w:szCs w:val="24"/>
          <w:lang w:eastAsia="en-US"/>
        </w:rPr>
        <w:t>марки</w:t>
      </w:r>
      <w:r>
        <w:rPr>
          <w:rStyle w:val="Style15"/>
          <w:b/>
          <w:sz w:val="24"/>
          <w:szCs w:val="24"/>
        </w:rPr>
        <w:t xml:space="preserve"> «</w:t>
      </w:r>
      <w:r>
        <w:rPr>
          <w:rStyle w:val="Style15"/>
          <w:b/>
          <w:sz w:val="24"/>
          <w:szCs w:val="24"/>
          <w:lang w:val="en-US"/>
        </w:rPr>
        <w:t>Toyota</w:t>
      </w:r>
      <w:r>
        <w:rPr>
          <w:rStyle w:val="Style15"/>
          <w:b/>
          <w:sz w:val="24"/>
          <w:szCs w:val="24"/>
        </w:rPr>
        <w:t>» и «</w:t>
      </w:r>
      <w:r>
        <w:rPr>
          <w:rStyle w:val="Style15"/>
          <w:b/>
          <w:sz w:val="24"/>
          <w:szCs w:val="24"/>
          <w:lang w:val="en-US"/>
        </w:rPr>
        <w:t>Lexus</w:t>
      </w:r>
      <w:r>
        <w:rPr>
          <w:rStyle w:val="Style15"/>
          <w:b/>
          <w:sz w:val="24"/>
          <w:szCs w:val="24"/>
        </w:rPr>
        <w:t xml:space="preserve">» должна быть указана в Приложении № 2 (п.8) к настоящим техническим требованиям и быть равнозначна проценту снижения стоимости текущего ремонта, </w:t>
      </w:r>
      <w:r>
        <w:rPr>
          <w:rStyle w:val="Style15"/>
          <w:b/>
          <w:color w:val="000000"/>
          <w:sz w:val="24"/>
          <w:szCs w:val="24"/>
        </w:rPr>
        <w:t>указанной в Коммерческом предложении (Форма 3)</w:t>
      </w:r>
      <w:r>
        <w:rPr>
          <w:rStyle w:val="Style15"/>
          <w:b/>
          <w:sz w:val="24"/>
          <w:szCs w:val="24"/>
        </w:rPr>
        <w:t xml:space="preserve"> от стоимости указанной в Приложении № 8 (Структура НМЦ) на ТР </w:t>
      </w:r>
      <w:r>
        <w:rPr>
          <w:rStyle w:val="Style15"/>
          <w:b/>
          <w:color w:val="000000"/>
          <w:sz w:val="24"/>
          <w:szCs w:val="24"/>
        </w:rPr>
        <w:t xml:space="preserve">(п.5 Приложения № 2 </w:t>
      </w:r>
      <w:r>
        <w:rPr>
          <w:rStyle w:val="Style15"/>
          <w:b/>
          <w:sz w:val="24"/>
          <w:szCs w:val="24"/>
        </w:rPr>
        <w:t>к настоящим техническим требованиям).</w:t>
      </w:r>
      <w:r>
        <w:rPr>
          <w:rStyle w:val="Style15"/>
          <w:sz w:val="24"/>
          <w:szCs w:val="24"/>
        </w:rPr>
        <w:t xml:space="preserve"> На запасные части, масла, специальные жидкости, аксессуары, отсутствующие в Приложении № 3 к настоящим техническим требованиям, так же распространяется скидка указанная в п. 8 </w:t>
      </w:r>
      <w:r>
        <w:rPr>
          <w:rStyle w:val="Style15"/>
          <w:color w:val="000000"/>
          <w:sz w:val="24"/>
          <w:szCs w:val="24"/>
        </w:rPr>
        <w:t xml:space="preserve">Приложения № 2 </w:t>
      </w:r>
      <w:r>
        <w:rPr>
          <w:rStyle w:val="Style15"/>
          <w:sz w:val="24"/>
          <w:szCs w:val="24"/>
        </w:rPr>
        <w:t>к настоящим техническим требованиям</w:t>
      </w:r>
      <w:r>
        <w:rPr>
          <w:rStyle w:val="Style15"/>
          <w:bCs/>
          <w:sz w:val="24"/>
          <w:szCs w:val="24"/>
        </w:rPr>
        <w:t>.</w:t>
      </w:r>
    </w:p>
    <w:p>
      <w:pPr>
        <w:pStyle w:val="Normal"/>
        <w:ind w:left="0" w:right="-2" w:hanging="0"/>
        <w:jc w:val="both"/>
        <w:rPr/>
      </w:pPr>
      <w:r>
        <w:rPr>
          <w:rStyle w:val="Style15"/>
          <w:bCs/>
          <w:sz w:val="24"/>
          <w:szCs w:val="24"/>
        </w:rPr>
        <w:t>3.4. Выбор победителя проводится на основании полученных балов по порядку оценки и сопоставления заявок участников указанному в Приложении № 6 к Закупочной документации «Порядок и критерии оценки и сопоставления заявок».</w:t>
      </w:r>
    </w:p>
    <w:p>
      <w:pPr>
        <w:pStyle w:val="Normal"/>
        <w:ind w:left="0" w:right="-2" w:hanging="0"/>
        <w:jc w:val="both"/>
        <w:rPr/>
      </w:pPr>
      <w:r>
        <w:rPr>
          <w:rStyle w:val="Style15"/>
          <w:bCs/>
          <w:sz w:val="24"/>
          <w:szCs w:val="24"/>
        </w:rPr>
        <w:t>3.5. В составе заявки, участник должен предоставить Коммерческое предложение по Форме 3 с указанием стоимости предложения.</w:t>
      </w:r>
    </w:p>
    <w:p>
      <w:pPr>
        <w:pStyle w:val="Normal"/>
        <w:ind w:left="0" w:right="-2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Heading1"/>
        <w:keepLines/>
        <w:numPr>
          <w:ilvl w:val="0"/>
        </w:numPr>
        <w:ind w:left="0" w:right="0" w:hanging="0"/>
        <w:jc w:val="center"/>
        <w:outlineLvl w:val="9"/>
        <w:rPr/>
      </w:pPr>
      <w:bookmarkStart w:id="37" w:name="__RefHeading___Toc15026_4083542239"/>
      <w:bookmarkEnd w:id="37"/>
      <w:r>
        <w:rPr/>
        <w:t>4 . Приложения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both"/>
        <w:rPr/>
      </w:pPr>
      <w:r>
        <w:rPr>
          <w:rStyle w:val="Style15"/>
          <w:sz w:val="24"/>
          <w:szCs w:val="24"/>
        </w:rPr>
        <w:t>Приложение №1 - Расчет стоимости технического обслуживания транспортных средств марки «</w:t>
      </w:r>
      <w:r>
        <w:rPr>
          <w:rStyle w:val="Style15"/>
          <w:sz w:val="24"/>
          <w:szCs w:val="24"/>
          <w:lang w:val="en-US"/>
        </w:rPr>
        <w:t>Lexus</w:t>
      </w:r>
      <w:r>
        <w:rPr>
          <w:rStyle w:val="Style15"/>
          <w:sz w:val="24"/>
          <w:szCs w:val="24"/>
        </w:rPr>
        <w:t>» и «Toyota».</w:t>
      </w:r>
    </w:p>
    <w:p>
      <w:pPr>
        <w:pStyle w:val="Normal"/>
        <w:widowControl/>
        <w:tabs>
          <w:tab w:val="clear" w:pos="720"/>
          <w:tab w:val="left" w:pos="113" w:leader="none"/>
        </w:tabs>
        <w:suppressAutoHyphens w:val="true"/>
        <w:bidi w:val="0"/>
        <w:spacing w:before="0" w:after="0"/>
        <w:ind w:left="0" w:right="0" w:hanging="0"/>
        <w:jc w:val="both"/>
        <w:rPr/>
      </w:pPr>
      <w:r>
        <w:rPr>
          <w:rStyle w:val="Style15"/>
          <w:sz w:val="24"/>
          <w:szCs w:val="24"/>
        </w:rPr>
        <w:t xml:space="preserve">Приложение №2 - Расчет стоимости нормо-часа текущего ремонта транспортных средств </w:t>
      </w:r>
      <w:r>
        <w:rPr>
          <w:rStyle w:val="Style15"/>
          <w:rFonts w:eastAsia="Calibri"/>
          <w:bCs/>
          <w:color w:val="000000"/>
          <w:sz w:val="24"/>
          <w:szCs w:val="24"/>
          <w:lang w:eastAsia="en-US"/>
        </w:rPr>
        <w:t>марки</w:t>
      </w:r>
      <w:r>
        <w:rPr>
          <w:rStyle w:val="Style15"/>
          <w:sz w:val="24"/>
          <w:szCs w:val="24"/>
        </w:rPr>
        <w:t xml:space="preserve"> «</w:t>
      </w:r>
      <w:r>
        <w:rPr>
          <w:rStyle w:val="Style15"/>
          <w:sz w:val="24"/>
          <w:szCs w:val="24"/>
          <w:lang w:val="en-US"/>
        </w:rPr>
        <w:t>Toyota</w:t>
      </w:r>
      <w:r>
        <w:rPr>
          <w:rStyle w:val="Style15"/>
          <w:sz w:val="24"/>
          <w:szCs w:val="24"/>
        </w:rPr>
        <w:t>» и «</w:t>
      </w:r>
      <w:r>
        <w:rPr>
          <w:rStyle w:val="Style15"/>
          <w:sz w:val="24"/>
          <w:szCs w:val="24"/>
          <w:lang w:val="en-US"/>
        </w:rPr>
        <w:t>Lexus</w:t>
      </w:r>
      <w:r>
        <w:rPr>
          <w:rStyle w:val="Style15"/>
          <w:sz w:val="24"/>
          <w:szCs w:val="24"/>
        </w:rPr>
        <w:t>» и скидки от стоимости запасных частей.</w:t>
      </w:r>
    </w:p>
    <w:p>
      <w:pPr>
        <w:pStyle w:val="Heading1"/>
        <w:keepLines/>
        <w:numPr>
          <w:ilvl w:val="0"/>
        </w:numPr>
        <w:tabs>
          <w:tab w:val="clear" w:pos="0"/>
        </w:tabs>
        <w:ind w:left="0" w:right="0" w:hanging="0"/>
        <w:rPr>
          <w:rFonts w:eastAsia="Times New Roman"/>
          <w:b w:val="false"/>
          <w:sz w:val="24"/>
          <w:szCs w:val="24"/>
        </w:rPr>
      </w:pPr>
      <w:bookmarkStart w:id="38" w:name="__RefHeading___Toc15028_4083542239"/>
      <w:bookmarkEnd w:id="38"/>
      <w:r>
        <w:rPr>
          <w:rFonts w:eastAsia="Times New Roman"/>
          <w:b w:val="false"/>
          <w:sz w:val="24"/>
          <w:szCs w:val="24"/>
        </w:rPr>
        <w:t>Приложение №3 - Стоимость запасных частей, используемых при текущем ремонте транспортных средств марки «Toyota» и «Lexus».</w:t>
      </w:r>
    </w:p>
    <w:p>
      <w:pPr>
        <w:pStyle w:val="Heading1"/>
        <w:keepLines/>
        <w:numPr>
          <w:ilvl w:val="0"/>
        </w:numPr>
        <w:tabs>
          <w:tab w:val="clear" w:pos="0"/>
        </w:tabs>
        <w:ind w:left="0" w:right="0" w:hanging="0"/>
        <w:rPr>
          <w:rFonts w:eastAsia="Times New Roman"/>
          <w:b w:val="false"/>
          <w:sz w:val="24"/>
          <w:szCs w:val="24"/>
        </w:rPr>
      </w:pPr>
      <w:r>
        <w:rPr>
          <w:rFonts w:eastAsia="Times New Roman"/>
          <w:b w:val="false"/>
          <w:bCs/>
          <w:iCs/>
          <w:sz w:val="24"/>
          <w:szCs w:val="24"/>
          <w:lang w:eastAsia="x-none"/>
        </w:rPr>
        <w:t>Приложение №4 - Регламент технического обслуживания</w:t>
      </w:r>
    </w:p>
    <w:p>
      <w:pPr>
        <w:pStyle w:val="NoSpacing"/>
        <w:jc w:val="both"/>
        <w:rPr>
          <w:szCs w:val="22"/>
        </w:rPr>
      </w:pPr>
      <w:r>
        <w:rPr>
          <w:szCs w:val="22"/>
        </w:rPr>
      </w:r>
    </w:p>
    <w:p>
      <w:pPr>
        <w:pStyle w:val="Heading1"/>
        <w:keepLines/>
        <w:numPr>
          <w:ilvl w:val="0"/>
        </w:numPr>
        <w:tabs>
          <w:tab w:val="clear" w:pos="0"/>
        </w:tabs>
        <w:ind w:left="357" w:right="0" w:hanging="0"/>
        <w:rPr>
          <w:iCs/>
          <w:lang w:val="ru-RU"/>
        </w:rPr>
      </w:pPr>
      <w:r>
        <w:rPr>
          <w:iCs/>
          <w:lang w:val="ru-RU"/>
        </w:rPr>
      </w:r>
      <w:bookmarkStart w:id="39" w:name="_Toc51339699"/>
      <w:bookmarkStart w:id="40" w:name="_Toc46743519"/>
      <w:bookmarkStart w:id="41" w:name="_Toc51339699"/>
      <w:bookmarkStart w:id="42" w:name="_Toc46743519"/>
      <w:bookmarkEnd w:id="41"/>
      <w:bookmarkEnd w:id="42"/>
    </w:p>
    <w:p>
      <w:pPr>
        <w:pStyle w:val="NoSpacing"/>
        <w:spacing w:lineRule="auto" w:line="240"/>
        <w:jc w:val="both"/>
        <w:rPr>
          <w:b/>
          <w:i/>
          <w:i/>
        </w:rPr>
      </w:pPr>
      <w:r>
        <w:rPr>
          <w:b/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sectPr>
          <w:headerReference w:type="default" r:id="rId8"/>
          <w:headerReference w:type="first" r:id="rId9"/>
          <w:footerReference w:type="default" r:id="rId10"/>
          <w:footerReference w:type="first" r:id="rId11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  <w:r>
        <w:br w:type="page"/>
      </w:r>
    </w:p>
    <w:p>
      <w:pPr>
        <w:pStyle w:val="Normal"/>
        <w:jc w:val="right"/>
        <w:rPr/>
      </w:pPr>
      <w:r>
        <w:rPr>
          <w:rStyle w:val="Style15"/>
          <w:sz w:val="24"/>
          <w:szCs w:val="24"/>
        </w:rPr>
        <w:t>Приложение №1 к Техническим требованиям</w:t>
      </w:r>
    </w:p>
    <w:p>
      <w:pPr>
        <w:pStyle w:val="Normal"/>
        <w:jc w:val="center"/>
        <w:rPr/>
      </w:pPr>
      <w:r>
        <w:rPr>
          <w:rStyle w:val="Style15"/>
          <w:sz w:val="24"/>
          <w:szCs w:val="24"/>
        </w:rPr>
        <w:t>Расчет стоимости технического обслуживания транспортных средств марки «Toyota», «Lexus», «FORD», «HUYNDAI»</w:t>
      </w:r>
    </w:p>
    <w:tbl>
      <w:tblPr>
        <w:tblW w:w="149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2357"/>
        <w:gridCol w:w="1575"/>
        <w:gridCol w:w="1098"/>
        <w:gridCol w:w="3771"/>
        <w:gridCol w:w="1277"/>
        <w:gridCol w:w="1260"/>
        <w:gridCol w:w="3021"/>
      </w:tblGrid>
      <w:tr>
        <w:trPr>
          <w:trHeight w:val="832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 w:ascii="Arial" w:hAnsi="Arial"/>
                <w:color w:val="4D4D4D"/>
                <w:sz w:val="20"/>
                <w:szCs w:val="20"/>
              </w:rPr>
              <w:t xml:space="preserve">№ </w:t>
            </w:r>
            <w:r>
              <w:rPr>
                <w:rStyle w:val="Style15"/>
                <w:rFonts w:cs="Arial" w:ascii="Arial" w:hAnsi="Arial"/>
                <w:color w:val="4D4D4D"/>
                <w:sz w:val="20"/>
                <w:szCs w:val="20"/>
              </w:rPr>
              <w:t>п/п/</w:t>
            </w:r>
          </w:p>
        </w:tc>
        <w:tc>
          <w:tcPr>
            <w:tcW w:w="2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 w:ascii="Arial" w:hAnsi="Arial"/>
                <w:color w:val="4D4D4D"/>
                <w:sz w:val="20"/>
                <w:szCs w:val="20"/>
              </w:rPr>
              <w:t>Марка, модель ТС, код модели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 w:ascii="Arial" w:hAnsi="Arial"/>
                <w:color w:val="4D4D4D"/>
                <w:sz w:val="20"/>
                <w:szCs w:val="20"/>
              </w:rPr>
              <w:t>Регистр. Номер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 w:ascii="Arial" w:hAnsi="Arial"/>
                <w:color w:val="4D4D4D"/>
                <w:sz w:val="20"/>
                <w:szCs w:val="20"/>
              </w:rPr>
              <w:t>Год выпуска</w:t>
            </w:r>
          </w:p>
        </w:tc>
        <w:tc>
          <w:tcPr>
            <w:tcW w:w="37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 w:ascii="Arial" w:hAnsi="Arial"/>
                <w:color w:val="4D4D4D"/>
                <w:sz w:val="20"/>
                <w:szCs w:val="20"/>
              </w:rPr>
              <w:t>VIN</w:t>
            </w:r>
          </w:p>
        </w:tc>
        <w:tc>
          <w:tcPr>
            <w:tcW w:w="55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 w:ascii="Arial" w:hAnsi="Arial"/>
                <w:color w:val="4D4D4D"/>
                <w:sz w:val="20"/>
                <w:szCs w:val="20"/>
              </w:rPr>
              <w:t>Стоимость ТО в руб. без НДС</w:t>
              <w:br/>
              <w:t>(заполняется в ячейках под каждым из перечисленных ниже ТО)</w:t>
            </w:r>
          </w:p>
        </w:tc>
      </w:tr>
      <w:tr>
        <w:trPr>
          <w:trHeight w:val="198" w:hRule="atLeast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/>
                <w:sz w:val="16"/>
                <w:szCs w:val="16"/>
              </w:rPr>
              <w:t>1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6"/>
                <w:szCs w:val="16"/>
              </w:rPr>
              <w:t>LEXUS  LS 500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А562КС777</w:t>
            </w:r>
          </w:p>
        </w:tc>
        <w:tc>
          <w:tcPr>
            <w:tcW w:w="109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>
              <w:rPr>
                <w:sz w:val="16"/>
                <w:szCs w:val="16"/>
              </w:rPr>
              <w:t>2020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rStyle w:val="Style15"/>
                <w:sz w:val="16"/>
                <w:szCs w:val="16"/>
              </w:rPr>
              <w:t>JTHB5LGF605007669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 w:val="false"/>
                <w:bCs w:val="false"/>
                <w:sz w:val="18"/>
                <w:szCs w:val="18"/>
              </w:rPr>
              <w:t>170т.км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 w:val="false"/>
                <w:bCs w:val="false"/>
                <w:sz w:val="18"/>
                <w:szCs w:val="18"/>
              </w:rPr>
              <w:t>180 т.км</w:t>
            </w:r>
          </w:p>
        </w:tc>
        <w:tc>
          <w:tcPr>
            <w:tcW w:w="3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23" w:hRule="atLeast"/>
        </w:trPr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75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98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3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/>
                <w:sz w:val="16"/>
                <w:szCs w:val="16"/>
              </w:rPr>
              <w:t>2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6"/>
                <w:szCs w:val="16"/>
              </w:rPr>
              <w:t>LEXUS  ES 350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b w:val="false"/>
                <w:bCs w:val="false"/>
                <w:sz w:val="16"/>
                <w:szCs w:val="16"/>
              </w:rPr>
              <w:t>Т807СУ799</w:t>
            </w:r>
          </w:p>
        </w:tc>
        <w:tc>
          <w:tcPr>
            <w:tcW w:w="109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6"/>
                <w:szCs w:val="16"/>
              </w:rPr>
              <w:t>2013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6"/>
                <w:szCs w:val="16"/>
              </w:rPr>
              <w:t xml:space="preserve">JTHBK1GG002146560  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 w:val="false"/>
                <w:bCs w:val="false"/>
                <w:sz w:val="18"/>
                <w:szCs w:val="18"/>
              </w:rPr>
              <w:t>2</w:t>
            </w:r>
            <w:r>
              <w:rPr>
                <w:rStyle w:val="Style15"/>
                <w:b w:val="false"/>
                <w:bCs w:val="false"/>
                <w:sz w:val="18"/>
                <w:szCs w:val="18"/>
              </w:rPr>
              <w:t>9</w:t>
            </w:r>
            <w:r>
              <w:rPr>
                <w:rStyle w:val="Style15"/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rFonts w:eastAsia="Times New Roman" w:cs="Times New Roman"/>
                <w:b w:val="false"/>
                <w:bCs w:val="false"/>
                <w:color w:val="auto"/>
                <w:kern w:val="0"/>
                <w:sz w:val="18"/>
                <w:szCs w:val="18"/>
                <w:lang w:val="ru-RU" w:eastAsia="ru-RU" w:bidi="ar-SA"/>
              </w:rPr>
              <w:t>30</w:t>
            </w:r>
            <w:r>
              <w:rPr>
                <w:rStyle w:val="Style15"/>
                <w:rFonts w:eastAsia="Times New Roman" w:cs="Times New Roman"/>
                <w:b w:val="false"/>
                <w:bCs w:val="false"/>
                <w:color w:val="auto"/>
                <w:kern w:val="0"/>
                <w:sz w:val="18"/>
                <w:szCs w:val="18"/>
                <w:lang w:val="ru-RU" w:eastAsia="ru-RU" w:bidi="ar-SA"/>
              </w:rPr>
              <w:t>0 т.км</w:t>
            </w:r>
          </w:p>
        </w:tc>
        <w:tc>
          <w:tcPr>
            <w:tcW w:w="3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rFonts w:eastAsia="Times New Roman" w:cs="Times New Roman"/>
                <w:color w:val="auto"/>
                <w:kern w:val="0"/>
                <w:sz w:val="18"/>
                <w:szCs w:val="18"/>
                <w:lang w:val="ru-RU" w:eastAsia="ru-RU" w:bidi="ar-SA"/>
              </w:rPr>
              <w:t>3</w:t>
            </w:r>
            <w:r>
              <w:rPr>
                <w:rStyle w:val="Style15"/>
                <w:rFonts w:eastAsia="Times New Roman" w:cs="Times New Roman"/>
                <w:color w:val="auto"/>
                <w:kern w:val="0"/>
                <w:sz w:val="18"/>
                <w:szCs w:val="18"/>
                <w:lang w:val="ru-RU" w:eastAsia="ru-RU" w:bidi="ar-SA"/>
              </w:rPr>
              <w:t>1</w:t>
            </w:r>
            <w:r>
              <w:rPr>
                <w:rStyle w:val="Style15"/>
                <w:rFonts w:eastAsia="Times New Roman" w:cs="Times New Roman"/>
                <w:color w:val="auto"/>
                <w:kern w:val="0"/>
                <w:sz w:val="18"/>
                <w:szCs w:val="18"/>
                <w:lang w:val="ru-RU" w:eastAsia="ru-RU" w:bidi="ar-SA"/>
              </w:rPr>
              <w:t>0 т.км</w:t>
            </w:r>
          </w:p>
        </w:tc>
      </w:tr>
      <w:tr>
        <w:trPr>
          <w:trHeight w:val="198" w:hRule="atLeast"/>
        </w:trPr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75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98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71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3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6"/>
                <w:szCs w:val="16"/>
              </w:rPr>
              <w:t>LEXUS  LS 500</w:t>
            </w:r>
          </w:p>
        </w:tc>
        <w:tc>
          <w:tcPr>
            <w:tcW w:w="157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E444AX19</w:t>
            </w:r>
          </w:p>
        </w:tc>
        <w:tc>
          <w:tcPr>
            <w:tcW w:w="1098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>
              <w:rPr>
                <w:sz w:val="16"/>
                <w:szCs w:val="16"/>
              </w:rPr>
              <w:t>2020</w:t>
            </w:r>
          </w:p>
        </w:tc>
        <w:tc>
          <w:tcPr>
            <w:tcW w:w="3771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6"/>
                <w:szCs w:val="16"/>
              </w:rPr>
              <w:t>JTHB5LGFX05007979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  <w:szCs w:val="16"/>
              </w:rPr>
              <w:t>9</w:t>
            </w:r>
            <w:r>
              <w:rPr>
                <w:b w:val="false"/>
                <w:bCs w:val="false"/>
                <w:sz w:val="16"/>
                <w:szCs w:val="16"/>
              </w:rPr>
              <w:t>0 т.км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  <w:szCs w:val="16"/>
              </w:rPr>
              <w:t>10</w:t>
            </w:r>
            <w:r>
              <w:rPr>
                <w:b w:val="false"/>
                <w:bCs w:val="false"/>
                <w:sz w:val="16"/>
                <w:szCs w:val="16"/>
              </w:rPr>
              <w:t>0 т.км</w:t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9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71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/>
                <w:sz w:val="16"/>
                <w:szCs w:val="16"/>
              </w:rPr>
              <w:t>4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6"/>
                <w:szCs w:val="16"/>
              </w:rPr>
              <w:t>Toyota Land Cruser 200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b w:val="false"/>
                <w:bCs w:val="false"/>
                <w:sz w:val="18"/>
                <w:szCs w:val="18"/>
              </w:rPr>
              <w:t>Е907УО799</w:t>
            </w:r>
          </w:p>
        </w:tc>
        <w:tc>
          <w:tcPr>
            <w:tcW w:w="109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2018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JTMCX05J204175806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 w:val="false"/>
                <w:bCs w:val="false"/>
                <w:sz w:val="18"/>
                <w:szCs w:val="18"/>
              </w:rPr>
              <w:t>20</w:t>
            </w:r>
            <w:r>
              <w:rPr>
                <w:rStyle w:val="Style15"/>
                <w:b w:val="false"/>
                <w:bCs w:val="false"/>
                <w:sz w:val="18"/>
                <w:szCs w:val="18"/>
              </w:rPr>
              <w:t>0 т. км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5"/>
                <w:b w:val="false"/>
                <w:bCs w:val="false"/>
                <w:sz w:val="18"/>
                <w:szCs w:val="18"/>
              </w:rPr>
            </w:pPr>
            <w:r>
              <w:rPr>
                <w:rStyle w:val="Style15"/>
                <w:b w:val="false"/>
                <w:bCs w:val="false"/>
                <w:sz w:val="18"/>
                <w:szCs w:val="18"/>
              </w:rPr>
              <w:t>21</w:t>
            </w:r>
            <w:r>
              <w:rPr>
                <w:rStyle w:val="Style15"/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3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75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98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71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/>
                <w:sz w:val="16"/>
                <w:szCs w:val="16"/>
              </w:rPr>
              <w:t>5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TOYOTA  CAMRY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b w:val="false"/>
                <w:bCs w:val="false"/>
                <w:sz w:val="18"/>
                <w:szCs w:val="18"/>
              </w:rPr>
              <w:t xml:space="preserve"> </w:t>
            </w:r>
            <w:r>
              <w:rPr>
                <w:rStyle w:val="Style15"/>
                <w:b w:val="false"/>
                <w:bCs w:val="false"/>
                <w:sz w:val="18"/>
                <w:szCs w:val="18"/>
              </w:rPr>
              <w:t xml:space="preserve">В585ВУ138 </w:t>
            </w:r>
          </w:p>
        </w:tc>
        <w:tc>
          <w:tcPr>
            <w:tcW w:w="109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2018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 xml:space="preserve">XW7BF3HK20S120913  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 w:val="false"/>
                <w:bCs w:val="false"/>
                <w:sz w:val="18"/>
                <w:szCs w:val="18"/>
              </w:rPr>
              <w:t>20</w:t>
            </w:r>
            <w:r>
              <w:rPr>
                <w:rStyle w:val="Style15"/>
                <w:b w:val="false"/>
                <w:bCs w:val="false"/>
                <w:sz w:val="18"/>
                <w:szCs w:val="18"/>
              </w:rPr>
              <w:t>0 т. км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 w:val="false"/>
                <w:bCs w:val="false"/>
                <w:sz w:val="18"/>
                <w:szCs w:val="18"/>
              </w:rPr>
              <w:t>21</w:t>
            </w:r>
            <w:r>
              <w:rPr>
                <w:rStyle w:val="Style15"/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3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5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75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98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71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rFonts w:cs="Arial"/>
                <w:sz w:val="16"/>
                <w:szCs w:val="16"/>
              </w:rPr>
              <w:t>6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TOYOTA  CAMRY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b w:val="false"/>
                <w:bCs w:val="false"/>
                <w:sz w:val="18"/>
                <w:szCs w:val="18"/>
              </w:rPr>
              <w:t xml:space="preserve"> </w:t>
            </w:r>
            <w:r>
              <w:rPr>
                <w:rStyle w:val="Style15"/>
                <w:b w:val="false"/>
                <w:bCs w:val="false"/>
                <w:sz w:val="18"/>
                <w:szCs w:val="18"/>
              </w:rPr>
              <w:t>А600АУ50</w:t>
            </w:r>
          </w:p>
        </w:tc>
        <w:tc>
          <w:tcPr>
            <w:tcW w:w="109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2013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yle15"/>
                <w:rFonts w:eastAsia="Times New Roman" w:cs="Times New Roman"/>
                <w:iCs/>
                <w:color w:val="auto"/>
                <w:kern w:val="0"/>
                <w:sz w:val="18"/>
                <w:szCs w:val="18"/>
                <w:lang w:val="ru-RU" w:eastAsia="ru-RU" w:bidi="ar-SA"/>
              </w:rPr>
              <w:t xml:space="preserve">                    </w:t>
            </w:r>
            <w:r>
              <w:rPr>
                <w:rStyle w:val="Style15"/>
                <w:rFonts w:eastAsia="Times New Roman" w:cs="Times New Roman"/>
                <w:iCs/>
                <w:color w:val="auto"/>
                <w:kern w:val="0"/>
                <w:sz w:val="18"/>
                <w:szCs w:val="18"/>
                <w:lang w:val="ru-RU" w:eastAsia="ru-RU" w:bidi="ar-SA"/>
              </w:rPr>
              <w:t>XW7BF4FK40S033023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 w:val="false"/>
                <w:bCs w:val="false"/>
                <w:sz w:val="18"/>
                <w:szCs w:val="18"/>
              </w:rPr>
              <w:t>2</w:t>
            </w:r>
            <w:r>
              <w:rPr>
                <w:rStyle w:val="Style15"/>
                <w:b w:val="false"/>
                <w:bCs w:val="false"/>
                <w:sz w:val="18"/>
                <w:szCs w:val="18"/>
              </w:rPr>
              <w:t>3</w:t>
            </w:r>
            <w:r>
              <w:rPr>
                <w:rStyle w:val="Style15"/>
                <w:b w:val="false"/>
                <w:bCs w:val="false"/>
                <w:sz w:val="18"/>
                <w:szCs w:val="18"/>
              </w:rPr>
              <w:t>0 т. км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5"/>
                <w:b w:val="false"/>
                <w:bCs w:val="false"/>
                <w:sz w:val="18"/>
                <w:szCs w:val="18"/>
              </w:rPr>
            </w:pPr>
            <w:r>
              <w:rPr>
                <w:rStyle w:val="Style15"/>
                <w:b w:val="false"/>
                <w:bCs w:val="false"/>
                <w:sz w:val="18"/>
                <w:szCs w:val="18"/>
              </w:rPr>
              <w:t>24</w:t>
            </w:r>
            <w:r>
              <w:rPr>
                <w:rStyle w:val="Style15"/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3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5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75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98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71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3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TOYOTA  CAMRY</w:t>
            </w:r>
          </w:p>
        </w:tc>
        <w:tc>
          <w:tcPr>
            <w:tcW w:w="157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Р193ОР799</w:t>
            </w:r>
          </w:p>
        </w:tc>
        <w:tc>
          <w:tcPr>
            <w:tcW w:w="1098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3771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18"/>
                <w:szCs w:val="18"/>
                <w:shd w:fill="auto" w:val="clear"/>
                <w:lang w:val="ru-RU" w:eastAsia="ru-RU" w:bidi="ar-SA"/>
              </w:rPr>
              <w:t>XW7BFYHK10S139272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21</w:t>
            </w:r>
            <w:r>
              <w:rPr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22</w:t>
            </w:r>
            <w:r>
              <w:rPr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09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71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3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TOYOTA  CAMRY</w:t>
            </w:r>
          </w:p>
        </w:tc>
        <w:tc>
          <w:tcPr>
            <w:tcW w:w="157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С967ТВ799</w:t>
            </w:r>
          </w:p>
        </w:tc>
        <w:tc>
          <w:tcPr>
            <w:tcW w:w="1098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771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18"/>
                <w:szCs w:val="18"/>
                <w:shd w:fill="auto" w:val="clear"/>
                <w:lang w:val="ru-RU" w:eastAsia="ru-RU" w:bidi="ar-SA"/>
              </w:rPr>
              <w:t>XW7BFYHK80S162743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1</w:t>
            </w:r>
            <w:r>
              <w:rPr>
                <w:b w:val="false"/>
                <w:bCs w:val="false"/>
                <w:sz w:val="18"/>
                <w:szCs w:val="18"/>
              </w:rPr>
              <w:t>5</w:t>
            </w:r>
            <w:r>
              <w:rPr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1</w:t>
            </w:r>
            <w:r>
              <w:rPr>
                <w:b w:val="false"/>
                <w:bCs w:val="false"/>
                <w:sz w:val="18"/>
                <w:szCs w:val="18"/>
              </w:rPr>
              <w:t>6</w:t>
            </w:r>
            <w:r>
              <w:rPr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09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71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3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TOYOTA  CAMRY</w:t>
            </w:r>
          </w:p>
        </w:tc>
        <w:tc>
          <w:tcPr>
            <w:tcW w:w="157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Н604НР750</w:t>
            </w:r>
          </w:p>
        </w:tc>
        <w:tc>
          <w:tcPr>
            <w:tcW w:w="1098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771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4" w:hanging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18"/>
                <w:szCs w:val="18"/>
                <w:lang w:val="ru-RU" w:eastAsia="ru-RU" w:bidi="ar-SA"/>
              </w:rPr>
              <w:t>XW7BFYHK60S1626161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2</w:t>
            </w:r>
            <w:r>
              <w:rPr>
                <w:b w:val="false"/>
                <w:bCs w:val="false"/>
                <w:sz w:val="18"/>
                <w:szCs w:val="18"/>
              </w:rPr>
              <w:t>3</w:t>
            </w:r>
            <w:r>
              <w:rPr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2</w:t>
            </w:r>
            <w:r>
              <w:rPr>
                <w:b w:val="false"/>
                <w:bCs w:val="false"/>
                <w:sz w:val="18"/>
                <w:szCs w:val="18"/>
              </w:rPr>
              <w:t>4</w:t>
            </w:r>
            <w:r>
              <w:rPr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09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71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3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TOYOTA  CAMRY</w:t>
            </w:r>
          </w:p>
        </w:tc>
        <w:tc>
          <w:tcPr>
            <w:tcW w:w="157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Р227ОР799</w:t>
            </w:r>
          </w:p>
        </w:tc>
        <w:tc>
          <w:tcPr>
            <w:tcW w:w="1098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3771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4" w:hanging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18"/>
                <w:szCs w:val="18"/>
                <w:lang w:val="ru-RU" w:eastAsia="ru-RU" w:bidi="ar-SA"/>
              </w:rPr>
              <w:t>XW7BFYHK50S139503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1</w:t>
            </w:r>
            <w:r>
              <w:rPr>
                <w:b w:val="false"/>
                <w:bCs w:val="false"/>
                <w:sz w:val="18"/>
                <w:szCs w:val="18"/>
              </w:rPr>
              <w:t>9</w:t>
            </w:r>
            <w:r>
              <w:rPr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20</w:t>
            </w:r>
            <w:r>
              <w:rPr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09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71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3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TOYOTA  CAMRY</w:t>
            </w:r>
          </w:p>
        </w:tc>
        <w:tc>
          <w:tcPr>
            <w:tcW w:w="157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Т725СУ799</w:t>
            </w:r>
          </w:p>
        </w:tc>
        <w:tc>
          <w:tcPr>
            <w:tcW w:w="1098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771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18"/>
                <w:szCs w:val="18"/>
                <w:shd w:fill="auto" w:val="clear"/>
                <w:lang w:val="ru-RU" w:eastAsia="ru-RU" w:bidi="ar-SA"/>
              </w:rPr>
              <w:t>XW7BFYHK50S163011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210 т.км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220 т.км</w:t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09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71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3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TOYOTA  CAMRY</w:t>
            </w:r>
          </w:p>
        </w:tc>
        <w:tc>
          <w:tcPr>
            <w:tcW w:w="157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Т839СУ799</w:t>
            </w:r>
          </w:p>
        </w:tc>
        <w:tc>
          <w:tcPr>
            <w:tcW w:w="1098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771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4" w:hanging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18"/>
                <w:szCs w:val="18"/>
                <w:lang w:val="ru-RU" w:eastAsia="ru-RU" w:bidi="ar-SA"/>
              </w:rPr>
              <w:t>XW7BFYHK40S162528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2</w:t>
            </w:r>
            <w:r>
              <w:rPr>
                <w:b w:val="false"/>
                <w:bCs w:val="false"/>
                <w:sz w:val="18"/>
                <w:szCs w:val="18"/>
              </w:rPr>
              <w:t>5</w:t>
            </w:r>
            <w:r>
              <w:rPr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2</w:t>
            </w:r>
            <w:r>
              <w:rPr>
                <w:b w:val="false"/>
                <w:bCs w:val="false"/>
                <w:sz w:val="18"/>
                <w:szCs w:val="18"/>
              </w:rPr>
              <w:t>6</w:t>
            </w:r>
            <w:r>
              <w:rPr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09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71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3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TOYOTA  CAMRY</w:t>
            </w:r>
          </w:p>
        </w:tc>
        <w:tc>
          <w:tcPr>
            <w:tcW w:w="157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С792АТ777</w:t>
            </w:r>
          </w:p>
        </w:tc>
        <w:tc>
          <w:tcPr>
            <w:tcW w:w="1098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3771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4" w:hanging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18"/>
                <w:szCs w:val="18"/>
                <w:lang w:val="ru-RU" w:eastAsia="ru-RU" w:bidi="ar-SA"/>
              </w:rPr>
              <w:t>XW7BFYHK20S151852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20</w:t>
            </w:r>
            <w:r>
              <w:rPr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2</w:t>
            </w:r>
            <w:r>
              <w:rPr>
                <w:b w:val="false"/>
                <w:bCs w:val="false"/>
                <w:sz w:val="18"/>
                <w:szCs w:val="18"/>
              </w:rPr>
              <w:t>1</w:t>
            </w:r>
            <w:r>
              <w:rPr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09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71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3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TOYOTA  CAMRY</w:t>
            </w:r>
          </w:p>
        </w:tc>
        <w:tc>
          <w:tcPr>
            <w:tcW w:w="157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Н125ЕВ777</w:t>
            </w:r>
          </w:p>
        </w:tc>
        <w:tc>
          <w:tcPr>
            <w:tcW w:w="1098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771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18"/>
                <w:szCs w:val="18"/>
                <w:shd w:fill="auto" w:val="clear"/>
                <w:lang w:val="ru-RU" w:eastAsia="ru-RU" w:bidi="ar-SA"/>
              </w:rPr>
              <w:t>XW7BFYHK30S166148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2</w:t>
            </w:r>
            <w:r>
              <w:rPr>
                <w:b w:val="false"/>
                <w:bCs w:val="false"/>
                <w:sz w:val="18"/>
                <w:szCs w:val="18"/>
              </w:rPr>
              <w:t>4</w:t>
            </w:r>
            <w:r>
              <w:rPr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2</w:t>
            </w:r>
            <w:r>
              <w:rPr>
                <w:b w:val="false"/>
                <w:bCs w:val="false"/>
                <w:sz w:val="18"/>
                <w:szCs w:val="18"/>
              </w:rPr>
              <w:t>5</w:t>
            </w:r>
            <w:r>
              <w:rPr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09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71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3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TOYOTA  HILUX</w:t>
            </w:r>
          </w:p>
        </w:tc>
        <w:tc>
          <w:tcPr>
            <w:tcW w:w="157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P640OH27</w:t>
            </w:r>
          </w:p>
        </w:tc>
        <w:tc>
          <w:tcPr>
            <w:tcW w:w="1098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771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MR0KB3CD700908062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11</w:t>
            </w:r>
            <w:r>
              <w:rPr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1</w:t>
            </w:r>
            <w:r>
              <w:rPr>
                <w:b w:val="false"/>
                <w:bCs w:val="false"/>
                <w:sz w:val="18"/>
                <w:szCs w:val="18"/>
              </w:rPr>
              <w:t>2</w:t>
            </w:r>
            <w:r>
              <w:rPr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09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71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3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sz w:val="16"/>
                <w:szCs w:val="16"/>
              </w:rPr>
              <w:t>LEXUS LS 500</w:t>
            </w:r>
          </w:p>
        </w:tc>
        <w:tc>
          <w:tcPr>
            <w:tcW w:w="157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A210ND777</w:t>
            </w:r>
          </w:p>
        </w:tc>
        <w:tc>
          <w:tcPr>
            <w:tcW w:w="1098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3771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JTJHC5LFF805006920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2</w:t>
            </w:r>
            <w:r>
              <w:rPr>
                <w:b w:val="false"/>
                <w:bCs w:val="false"/>
                <w:sz w:val="18"/>
                <w:szCs w:val="18"/>
              </w:rPr>
              <w:t>4</w:t>
            </w:r>
            <w:r>
              <w:rPr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2</w:t>
            </w:r>
            <w:r>
              <w:rPr>
                <w:b w:val="false"/>
                <w:bCs w:val="false"/>
                <w:sz w:val="18"/>
                <w:szCs w:val="18"/>
              </w:rPr>
              <w:t>5</w:t>
            </w:r>
            <w:r>
              <w:rPr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09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71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3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HUYNDAI Palisad</w:t>
            </w:r>
          </w:p>
        </w:tc>
        <w:tc>
          <w:tcPr>
            <w:tcW w:w="157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P151XO27</w:t>
            </w:r>
          </w:p>
        </w:tc>
        <w:tc>
          <w:tcPr>
            <w:tcW w:w="1098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3771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KMHR581EDNU339503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  <w:szCs w:val="16"/>
              </w:rPr>
              <w:t>4</w:t>
            </w:r>
            <w:r>
              <w:rPr>
                <w:b w:val="false"/>
                <w:bCs w:val="false"/>
                <w:sz w:val="16"/>
                <w:szCs w:val="16"/>
              </w:rPr>
              <w:t>0 т.км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  <w:szCs w:val="16"/>
              </w:rPr>
              <w:t>5</w:t>
            </w:r>
            <w:r>
              <w:rPr>
                <w:b w:val="false"/>
                <w:bCs w:val="false"/>
                <w:sz w:val="16"/>
                <w:szCs w:val="16"/>
              </w:rPr>
              <w:t>0 т.км</w:t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109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71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FORD TORNEO</w:t>
            </w:r>
          </w:p>
        </w:tc>
        <w:tc>
          <w:tcPr>
            <w:tcW w:w="157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X153OB799</w:t>
            </w:r>
          </w:p>
        </w:tc>
        <w:tc>
          <w:tcPr>
            <w:tcW w:w="1098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3771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WF03XXTTG3JA66653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1</w:t>
            </w:r>
            <w:r>
              <w:rPr>
                <w:b w:val="false"/>
                <w:bCs w:val="false"/>
                <w:sz w:val="18"/>
                <w:szCs w:val="18"/>
              </w:rPr>
              <w:t>7</w:t>
            </w:r>
            <w:r>
              <w:rPr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  <w:szCs w:val="18"/>
              </w:rPr>
              <w:t>1</w:t>
            </w:r>
            <w:r>
              <w:rPr>
                <w:b w:val="false"/>
                <w:bCs w:val="false"/>
                <w:sz w:val="18"/>
                <w:szCs w:val="18"/>
              </w:rPr>
              <w:t>8</w:t>
            </w:r>
            <w:r>
              <w:rPr>
                <w:b w:val="false"/>
                <w:bCs w:val="false"/>
                <w:sz w:val="18"/>
                <w:szCs w:val="18"/>
              </w:rPr>
              <w:t>0 т.км</w:t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6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71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</w:tc>
        <w:tc>
          <w:tcPr>
            <w:tcW w:w="3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11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rFonts w:cs="Arial" w:ascii="Arial" w:hAnsi="Arial"/>
                <w:sz w:val="16"/>
                <w:szCs w:val="16"/>
              </w:rPr>
              <w:t>Итого за ТО (Техническое обслуживание) в руб. без НДС, указанное в Приложении № 8 (Структура НМЦ) к закупочной документации (Участником не заполняется):</w:t>
            </w:r>
          </w:p>
        </w:tc>
        <w:tc>
          <w:tcPr>
            <w:tcW w:w="3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</w:tr>
    </w:tbl>
    <w:p>
      <w:pPr>
        <w:sectPr>
          <w:headerReference w:type="default" r:id="rId12"/>
          <w:headerReference w:type="first" r:id="rId13"/>
          <w:footerReference w:type="default" r:id="rId14"/>
          <w:footerReference w:type="first" r:id="rId15"/>
          <w:type w:val="nextPage"/>
          <w:pgSz w:orient="landscape" w:w="16838" w:h="11906"/>
          <w:pgMar w:left="1135" w:right="709" w:gutter="0" w:header="680" w:top="1134" w:footer="0" w:bottom="720"/>
          <w:pgNumType w:fmt="decimal"/>
          <w:formProt w:val="false"/>
          <w:textDirection w:val="lrTb"/>
          <w:docGrid w:type="default" w:linePitch="600" w:charSpace="24576"/>
        </w:sectPr>
      </w:pPr>
      <w:r>
        <w:br w:type="page"/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</w:t>
      </w:r>
    </w:p>
    <w:p>
      <w:pPr>
        <w:pStyle w:val="Normal"/>
        <w:jc w:val="right"/>
        <w:rPr/>
      </w:pPr>
      <w:r>
        <w:rPr>
          <w:rStyle w:val="Style15"/>
          <w:sz w:val="24"/>
          <w:szCs w:val="24"/>
        </w:rPr>
        <w:t>к Техническим Требованиям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>
          <w:rStyle w:val="Style15"/>
          <w:sz w:val="24"/>
          <w:szCs w:val="24"/>
        </w:rPr>
        <w:t xml:space="preserve">Расчет стоимости нормо-часа текущего ремонта транспортных средств </w:t>
      </w:r>
      <w:r>
        <w:rPr>
          <w:rStyle w:val="Style15"/>
          <w:bCs/>
          <w:color w:val="000000"/>
          <w:sz w:val="24"/>
          <w:szCs w:val="24"/>
          <w:lang w:eastAsia="en-US"/>
        </w:rPr>
        <w:t>марки</w:t>
      </w:r>
      <w:r>
        <w:rPr>
          <w:rStyle w:val="Style15"/>
          <w:sz w:val="24"/>
          <w:szCs w:val="24"/>
        </w:rPr>
        <w:t xml:space="preserve"> </w:t>
        <w:br/>
        <w:t>«</w:t>
      </w:r>
      <w:r>
        <w:rPr>
          <w:rStyle w:val="Style15"/>
          <w:sz w:val="24"/>
          <w:szCs w:val="24"/>
          <w:lang w:val="en-US"/>
        </w:rPr>
        <w:t>Toyota</w:t>
      </w:r>
      <w:r>
        <w:rPr>
          <w:rStyle w:val="Style15"/>
          <w:sz w:val="24"/>
          <w:szCs w:val="24"/>
        </w:rPr>
        <w:t>»,«</w:t>
      </w:r>
      <w:r>
        <w:rPr>
          <w:rStyle w:val="Style15"/>
          <w:sz w:val="24"/>
          <w:szCs w:val="24"/>
          <w:lang w:val="en-US"/>
        </w:rPr>
        <w:t>Lexus</w:t>
      </w:r>
      <w:r>
        <w:rPr>
          <w:rStyle w:val="Style15"/>
          <w:sz w:val="24"/>
          <w:szCs w:val="24"/>
        </w:rPr>
        <w:t>», «FORD», «HUYNDAI»и скидки от стоимости запасных частей.</w:t>
      </w:r>
    </w:p>
    <w:p>
      <w:pPr>
        <w:pStyle w:val="Style38"/>
        <w:rPr>
          <w:vanish/>
          <w:sz w:val="28"/>
          <w:szCs w:val="28"/>
        </w:rPr>
      </w:pPr>
      <w:r>
        <w:rPr>
          <w:vanish/>
          <w:sz w:val="28"/>
          <w:szCs w:val="28"/>
        </w:rPr>
      </w:r>
    </w:p>
    <w:tbl>
      <w:tblPr>
        <w:tblW w:w="103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6503"/>
        <w:gridCol w:w="1601"/>
        <w:gridCol w:w="1634"/>
      </w:tblGrid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 xml:space="preserve">№ </w:t>
            </w:r>
            <w:r>
              <w:rPr>
                <w:rStyle w:val="Style15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Стоимость нормо-часа на ТР, руб. без НДС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Стоимость нормо-часа на ТР, руб. с НДС</w:t>
            </w:r>
          </w:p>
        </w:tc>
      </w:tr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sz w:val="24"/>
                <w:szCs w:val="24"/>
              </w:rPr>
              <w:t>Стоимость</w:t>
            </w:r>
            <w:r>
              <w:rPr>
                <w:rStyle w:val="Style15"/>
                <w:color w:val="000000"/>
                <w:sz w:val="24"/>
                <w:szCs w:val="24"/>
              </w:rPr>
              <w:t xml:space="preserve"> нормо-часа текущего ремонта </w:t>
            </w:r>
            <w:r>
              <w:rPr>
                <w:rStyle w:val="Style15"/>
                <w:sz w:val="24"/>
                <w:szCs w:val="24"/>
              </w:rPr>
              <w:t xml:space="preserve">транспортных средств </w:t>
            </w:r>
            <w:r>
              <w:rPr>
                <w:rStyle w:val="Style15"/>
                <w:bCs/>
                <w:color w:val="000000"/>
                <w:sz w:val="24"/>
                <w:szCs w:val="24"/>
                <w:lang w:eastAsia="en-US"/>
              </w:rPr>
              <w:t>марки</w:t>
            </w:r>
            <w:r>
              <w:rPr>
                <w:rStyle w:val="Style15"/>
                <w:sz w:val="24"/>
                <w:szCs w:val="24"/>
              </w:rPr>
              <w:t xml:space="preserve"> «</w:t>
            </w:r>
            <w:r>
              <w:rPr>
                <w:rStyle w:val="Style15"/>
                <w:sz w:val="24"/>
                <w:szCs w:val="24"/>
                <w:lang w:val="en-US"/>
              </w:rPr>
              <w:t>Toyota</w:t>
            </w:r>
            <w:r>
              <w:rPr>
                <w:rStyle w:val="Style15"/>
                <w:sz w:val="24"/>
                <w:szCs w:val="24"/>
              </w:rPr>
              <w:t xml:space="preserve">» </w:t>
            </w:r>
            <w:r>
              <w:rPr>
                <w:rStyle w:val="Style15"/>
                <w:b/>
                <w:sz w:val="24"/>
                <w:szCs w:val="24"/>
              </w:rPr>
              <w:t>(Участником не заполняется)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sz w:val="24"/>
                <w:szCs w:val="24"/>
              </w:rPr>
              <w:t>Стоимость</w:t>
            </w:r>
            <w:r>
              <w:rPr>
                <w:rStyle w:val="Style15"/>
                <w:color w:val="000000"/>
                <w:sz w:val="24"/>
                <w:szCs w:val="24"/>
              </w:rPr>
              <w:t xml:space="preserve"> нормо-часа текущего ремонта </w:t>
            </w:r>
            <w:r>
              <w:rPr>
                <w:rStyle w:val="Style15"/>
                <w:sz w:val="24"/>
                <w:szCs w:val="24"/>
              </w:rPr>
              <w:t xml:space="preserve">транспортных средств </w:t>
            </w:r>
            <w:r>
              <w:rPr>
                <w:rStyle w:val="Style15"/>
                <w:bCs/>
                <w:color w:val="000000"/>
                <w:sz w:val="24"/>
                <w:szCs w:val="24"/>
                <w:lang w:eastAsia="en-US"/>
              </w:rPr>
              <w:t>марки</w:t>
            </w:r>
            <w:r>
              <w:rPr>
                <w:rStyle w:val="Style15"/>
                <w:sz w:val="24"/>
                <w:szCs w:val="24"/>
              </w:rPr>
              <w:t xml:space="preserve"> «</w:t>
            </w:r>
            <w:r>
              <w:rPr>
                <w:rStyle w:val="Style15"/>
                <w:sz w:val="24"/>
                <w:szCs w:val="24"/>
                <w:lang w:val="en-US"/>
              </w:rPr>
              <w:t>Lexus</w:t>
            </w:r>
            <w:r>
              <w:rPr>
                <w:rStyle w:val="Style15"/>
                <w:sz w:val="24"/>
                <w:szCs w:val="24"/>
              </w:rPr>
              <w:t xml:space="preserve">» </w:t>
            </w:r>
            <w:r>
              <w:rPr>
                <w:rStyle w:val="Style15"/>
                <w:b/>
                <w:sz w:val="24"/>
                <w:szCs w:val="24"/>
              </w:rPr>
              <w:t>(Участником не заполняется)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sz w:val="24"/>
                <w:szCs w:val="24"/>
              </w:rPr>
              <w:t>Итого за ТР (Текущий ремонт) в руб. без НДС, указанное в Приложении № 8 (Структура НМЦ) к закупочной документации</w:t>
            </w:r>
            <w:r>
              <w:rPr>
                <w:rStyle w:val="Style15"/>
                <w:b/>
                <w:sz w:val="24"/>
                <w:szCs w:val="24"/>
              </w:rPr>
              <w:t xml:space="preserve"> (Участником не заполняется):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/>
                <w:sz w:val="24"/>
                <w:szCs w:val="24"/>
              </w:rPr>
              <w:t>Итого за ТР в руб. без НДС (сумма по данной строке должна соответствовать сумме, указанной в Коммерческом предложении (Форма 3) «ИТОГО за ТР (Текущий ремонт) в руб. без НДС» в соответствии с предложением Участника)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/>
                <w:sz w:val="24"/>
                <w:szCs w:val="24"/>
              </w:rPr>
              <w:t>Процент снижения стоимости ТР, (является одним из ценовых критерий оценки выбора победителя) рассчитывается по формуле: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yle15"/>
                <w:sz w:val="22"/>
                <w:szCs w:val="22"/>
              </w:rPr>
              <w:t>%сниж.ст.ТР=(</w:t>
            </w:r>
            <w:r>
              <w:rPr>
                <w:rStyle w:val="Style15"/>
                <w:sz w:val="22"/>
                <w:szCs w:val="22"/>
                <w:u w:val="single"/>
              </w:rPr>
              <w:t>Коммерческое предложение Участника (</w:t>
            </w:r>
            <w:r>
              <w:rPr>
                <w:rStyle w:val="Style15"/>
                <w:b/>
                <w:sz w:val="22"/>
                <w:szCs w:val="22"/>
                <w:u w:val="single"/>
              </w:rPr>
              <w:t>Форма 3 «Итого за ТР в руб. без НДС»</w:t>
            </w:r>
            <w:r>
              <w:rPr>
                <w:rStyle w:val="Style15"/>
                <w:sz w:val="22"/>
                <w:szCs w:val="22"/>
                <w:u w:val="single"/>
              </w:rPr>
              <w:t>)*100</w:t>
            </w:r>
            <w:r>
              <w:rPr>
                <w:rStyle w:val="Style15"/>
                <w:sz w:val="22"/>
                <w:szCs w:val="22"/>
              </w:rPr>
              <w:t>) -100%.</w:t>
            </w:r>
          </w:p>
          <w:p>
            <w:pPr>
              <w:pStyle w:val="BodyText"/>
              <w:widowControl w:val="false"/>
              <w:spacing w:before="0" w:after="120"/>
              <w:rPr/>
            </w:pPr>
            <w:r>
              <w:rPr>
                <w:rStyle w:val="Style15"/>
                <w:b/>
                <w:bCs/>
                <w:color w:val="C9211E"/>
                <w:sz w:val="22"/>
                <w:szCs w:val="22"/>
              </w:rPr>
              <w:t xml:space="preserve">00000000000,00 </w:t>
            </w:r>
            <w:r>
              <w:rPr>
                <w:rStyle w:val="Style15"/>
                <w:color w:val="C9211E"/>
                <w:sz w:val="22"/>
                <w:szCs w:val="22"/>
              </w:rPr>
              <w:t xml:space="preserve"> </w:t>
            </w:r>
            <w:r>
              <w:rPr>
                <w:rStyle w:val="Style15"/>
                <w:b/>
                <w:color w:val="C9211E"/>
                <w:sz w:val="22"/>
                <w:szCs w:val="22"/>
              </w:rPr>
              <w:t xml:space="preserve">руб.  </w:t>
            </w:r>
            <w:r>
              <w:rPr>
                <w:rStyle w:val="Style15"/>
                <w:b/>
                <w:sz w:val="22"/>
                <w:szCs w:val="22"/>
              </w:rPr>
              <w:t xml:space="preserve">                  </w:t>
            </w:r>
            <w:r>
              <w:rPr>
                <w:rStyle w:val="Style15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/>
                <w:sz w:val="24"/>
                <w:szCs w:val="24"/>
              </w:rPr>
              <w:t>Стоимость</w:t>
            </w:r>
            <w:r>
              <w:rPr>
                <w:rStyle w:val="Style15"/>
                <w:b/>
                <w:color w:val="000000"/>
                <w:sz w:val="24"/>
                <w:szCs w:val="24"/>
              </w:rPr>
              <w:t xml:space="preserve"> нормо-часа текущего ремонта </w:t>
            </w:r>
            <w:r>
              <w:rPr>
                <w:rStyle w:val="Style15"/>
                <w:b/>
                <w:sz w:val="24"/>
                <w:szCs w:val="24"/>
              </w:rPr>
              <w:t xml:space="preserve">транспортных средств </w:t>
            </w:r>
            <w:r>
              <w:rPr>
                <w:rStyle w:val="Style15"/>
                <w:b/>
                <w:bCs/>
                <w:color w:val="000000"/>
                <w:sz w:val="24"/>
                <w:szCs w:val="24"/>
                <w:lang w:eastAsia="en-US"/>
              </w:rPr>
              <w:t>марки</w:t>
            </w:r>
            <w:r>
              <w:rPr>
                <w:rStyle w:val="Style15"/>
                <w:b/>
                <w:sz w:val="24"/>
                <w:szCs w:val="24"/>
              </w:rPr>
              <w:t xml:space="preserve"> «</w:t>
            </w:r>
            <w:r>
              <w:rPr>
                <w:rStyle w:val="Style15"/>
                <w:b/>
                <w:sz w:val="24"/>
                <w:szCs w:val="24"/>
                <w:lang w:val="en-US"/>
              </w:rPr>
              <w:t>Toyota</w:t>
            </w:r>
            <w:r>
              <w:rPr>
                <w:rStyle w:val="Style15"/>
                <w:b/>
                <w:sz w:val="24"/>
                <w:szCs w:val="24"/>
              </w:rPr>
              <w:t>» с учетом процента снижения.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yle15"/>
                <w:sz w:val="24"/>
                <w:szCs w:val="24"/>
              </w:rPr>
              <w:t>Рассчитывается по формуле: (п.1 Приложения № 2 к ТТ) – (п.5 Приложения № 2 к ТТ в процентах)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/>
                <w:sz w:val="24"/>
                <w:szCs w:val="24"/>
              </w:rPr>
              <w:t>Стоимость</w:t>
            </w:r>
            <w:r>
              <w:rPr>
                <w:rStyle w:val="Style15"/>
                <w:b/>
                <w:color w:val="000000"/>
                <w:sz w:val="24"/>
                <w:szCs w:val="24"/>
              </w:rPr>
              <w:t xml:space="preserve"> нормо-часа текущего ремонта </w:t>
            </w:r>
            <w:r>
              <w:rPr>
                <w:rStyle w:val="Style15"/>
                <w:b/>
                <w:sz w:val="24"/>
                <w:szCs w:val="24"/>
              </w:rPr>
              <w:t xml:space="preserve">транспортных средств </w:t>
            </w:r>
            <w:r>
              <w:rPr>
                <w:rStyle w:val="Style15"/>
                <w:b/>
                <w:bCs/>
                <w:color w:val="000000"/>
                <w:sz w:val="24"/>
                <w:szCs w:val="24"/>
                <w:lang w:eastAsia="en-US"/>
              </w:rPr>
              <w:t>марки</w:t>
            </w:r>
            <w:r>
              <w:rPr>
                <w:rStyle w:val="Style15"/>
                <w:b/>
                <w:sz w:val="24"/>
                <w:szCs w:val="24"/>
              </w:rPr>
              <w:t xml:space="preserve"> «Lexus» с учетом процента снижения.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yle15"/>
                <w:sz w:val="24"/>
                <w:szCs w:val="24"/>
              </w:rPr>
              <w:t>Рассчитывается по формуле: (п.2 Приложения № 2 к ТТ) – (п.5 Приложения № 2 к ТТ в процентах)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b/>
                <w:sz w:val="24"/>
                <w:szCs w:val="24"/>
              </w:rPr>
              <w:t xml:space="preserve">Скидка от стоимости запасных частей, указанных в приложении № 3 к настоящим техническим требованиям, используемых при текущем ремонте транспортных средств </w:t>
            </w:r>
            <w:r>
              <w:rPr>
                <w:rStyle w:val="Style15"/>
                <w:b/>
                <w:bCs/>
                <w:color w:val="000000"/>
                <w:sz w:val="24"/>
                <w:szCs w:val="24"/>
                <w:lang w:eastAsia="en-US"/>
              </w:rPr>
              <w:t>марки</w:t>
            </w:r>
            <w:r>
              <w:rPr>
                <w:rStyle w:val="Style15"/>
                <w:b/>
                <w:sz w:val="24"/>
                <w:szCs w:val="24"/>
              </w:rPr>
              <w:t xml:space="preserve"> «</w:t>
            </w:r>
            <w:r>
              <w:rPr>
                <w:rStyle w:val="Style15"/>
                <w:b/>
                <w:sz w:val="24"/>
                <w:szCs w:val="24"/>
                <w:lang w:val="en-US"/>
              </w:rPr>
              <w:t>Toyota</w:t>
            </w:r>
            <w:r>
              <w:rPr>
                <w:rStyle w:val="Style15"/>
                <w:b/>
                <w:sz w:val="24"/>
                <w:szCs w:val="24"/>
              </w:rPr>
              <w:t>» и «</w:t>
            </w:r>
            <w:r>
              <w:rPr>
                <w:rStyle w:val="Style15"/>
                <w:b/>
                <w:sz w:val="24"/>
                <w:szCs w:val="24"/>
                <w:lang w:val="en-US"/>
              </w:rPr>
              <w:t>Lexus</w:t>
            </w:r>
            <w:r>
              <w:rPr>
                <w:rStyle w:val="Style15"/>
                <w:b/>
                <w:sz w:val="24"/>
                <w:szCs w:val="24"/>
              </w:rPr>
              <w:t>».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yle15"/>
                <w:sz w:val="24"/>
                <w:szCs w:val="24"/>
              </w:rPr>
              <w:t>Скидка должна быть равнозначна проценту снижения стоимости текущего ремонта, указанной в Коммерческом предложении (Форма 3) от стоимости указанной в Приложении № 8 (Структура НМЦ) на ТР (п.5 Приложения № 2 к настоящим ТТ).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b/>
                <w:color w:val="000000"/>
                <w:sz w:val="24"/>
                <w:szCs w:val="24"/>
              </w:rPr>
              <w:t>%</w:t>
            </w:r>
          </w:p>
        </w:tc>
      </w:tr>
    </w:tbl>
    <w:p>
      <w:pPr>
        <w:sectPr>
          <w:headerReference w:type="default" r:id="rId16"/>
          <w:headerReference w:type="first" r:id="rId17"/>
          <w:footerReference w:type="default" r:id="rId18"/>
          <w:footerReference w:type="first" r:id="rId19"/>
          <w:type w:val="nextPage"/>
          <w:pgSz w:w="11906" w:h="16838"/>
          <w:pgMar w:left="1134" w:right="426" w:gutter="0" w:header="709" w:top="992" w:footer="0" w:bottom="720"/>
          <w:pgNumType w:fmt="decimal"/>
          <w:formProt w:val="false"/>
          <w:textDirection w:val="lrTb"/>
          <w:docGrid w:type="default" w:linePitch="600" w:charSpace="24576"/>
        </w:sectPr>
      </w:pPr>
      <w:r>
        <w:br w:type="page"/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№4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К Техническим требованиям</w:t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РЕГЛАМЕНТ ТЕХНИЧЕСКОГО ОБСЛУЖИВАНИЯ</w:t>
      </w:r>
    </w:p>
    <w:p>
      <w:pPr>
        <w:pStyle w:val="Normal"/>
        <w:rPr/>
      </w:pPr>
      <w:r>
        <w:rPr>
          <w:rStyle w:val="Style15"/>
          <w:color w:val="565656"/>
          <w:sz w:val="18"/>
          <w:szCs w:val="18"/>
        </w:rPr>
        <w:t> </w:t>
      </w:r>
      <w:r>
        <w:rPr>
          <w:rStyle w:val="Strong"/>
          <w:b w:val="false"/>
          <w:bCs w:val="false"/>
          <w:sz w:val="18"/>
          <w:szCs w:val="18"/>
        </w:rPr>
        <w:t xml:space="preserve">РЕГЛАМЕНТ ТО ДЛЯ TOYOTA CAMRY, </w:t>
      </w:r>
      <w:r>
        <w:rPr>
          <w:rStyle w:val="Style15"/>
          <w:b w:val="false"/>
          <w:bCs w:val="false"/>
          <w:sz w:val="16"/>
          <w:szCs w:val="16"/>
        </w:rPr>
        <w:t>LEXUS  ES 350</w:t>
      </w:r>
    </w:p>
    <w:tbl>
      <w:tblPr>
        <w:tblW w:w="14837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78"/>
        <w:gridCol w:w="4365"/>
        <w:gridCol w:w="987"/>
        <w:gridCol w:w="991"/>
        <w:gridCol w:w="988"/>
        <w:gridCol w:w="990"/>
        <w:gridCol w:w="988"/>
        <w:gridCol w:w="990"/>
        <w:gridCol w:w="989"/>
        <w:gridCol w:w="987"/>
        <w:gridCol w:w="991"/>
        <w:gridCol w:w="992"/>
      </w:tblGrid>
      <w:tr>
        <w:trPr>
          <w:trHeight w:val="436" w:hRule="atLeast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№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Периодичность обслуживания (пробег, тыс. км)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10 т. км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20 т. км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30 т. км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40 т. км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50 т. км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60 т. км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70 т. км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80 т. км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90 т. км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100 т. км</w:t>
            </w:r>
          </w:p>
        </w:tc>
      </w:tr>
      <w:tr>
        <w:trPr>
          <w:trHeight w:val="245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 клапанного зазора (только для двигателя 2,4 л)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220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Приводные ремни — проверка, регулировка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155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Моторное масло двигателя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</w:tr>
      <w:tr>
        <w:trPr>
          <w:trHeight w:val="178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Масляный фильтр двигателя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Система охлаждения двигателя, охлаждающая жидкость двигателя, антифриз - проверка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п/</w:t>
            </w:r>
            <w:r>
              <w:rPr>
                <w:rStyle w:val="Strong"/>
                <w:sz w:val="18"/>
                <w:szCs w:val="18"/>
              </w:rPr>
              <w:t>з</w:t>
            </w:r>
          </w:p>
        </w:tc>
      </w:tr>
      <w:tr>
        <w:trPr>
          <w:trHeight w:val="361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Жидкость гидроусилителя руля, омывателей стёкол и фар — проверка уровня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5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Радиатор — проверка чистоты, проверка соединений шлангов и их правильного расположения, наличия коррозии и т.п.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Системы выпуска отработавших газов — проверка на герметичность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19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Свечи зажигания</w:t>
            </w:r>
          </w:p>
        </w:tc>
        <w:tc>
          <w:tcPr>
            <w:tcW w:w="989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      </w:t>
            </w:r>
            <w:r>
              <w:rPr>
                <w:sz w:val="18"/>
                <w:szCs w:val="18"/>
              </w:rPr>
              <w:t>каждые 100 000 км пробега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Аккумуляторная батарея — проверка заряда, уровня и плотности электролита, состояния клемм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03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Топливный фильтр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218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Воздушный фильтр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Крышка топливного бака, топливопроводов — проверка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34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Адсорбер паров топлива — проверка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Тормозная система — проверка педали тормоза, состояния тормозных колодок, дисков, суппортов, хода рычага стояночного тормоза, отсутствия утечек, состояния трубопроводов, шлангов, соединений, цилиндров, очистка и смазка тормозных механизмов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Стояночный тормоз — проверка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Тормозная жидкость — проверка, замена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217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 жидкости сцепления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Рулевое управление — проверка утечек, люфтов, состояния пыльников, лёгкости вращения рулевого колеса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Приводные валы и пыльники приводных валов — проверка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Шарниры подвесок, пыльники шарниров, люфты ступичных подшипников — проверка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Автоматическая трансмиссия (АКПП) — проверка жидкости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п/</w:t>
            </w: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п/</w:t>
            </w: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Автоматическая трансмиссия (CVT) вариатор - проверка жидкости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п/</w:t>
            </w: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yle15"/>
                <w:sz w:val="18"/>
                <w:szCs w:val="18"/>
              </w:rPr>
              <w:t>п/</w:t>
            </w: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Трансмиссионная жидкость в механической коробке передач (МКПП) - замена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Шины — проверка состояния и давления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Наружные и внутренние световые приборы, звуковые сигналы, стеклоочистители и омыватели — проверка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Внутрисалонный фильтр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spacing w:before="0" w:after="2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rong"/>
                <w:sz w:val="18"/>
                <w:szCs w:val="18"/>
              </w:rPr>
              <w:t>з</w:t>
            </w:r>
          </w:p>
        </w:tc>
      </w:tr>
      <w:tr>
        <w:trPr>
          <w:trHeight w:val="316" w:hRule="atLeast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Системы кондиционирования — проверка работы и уровня хладагента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</w:tbl>
    <w:p>
      <w:pPr>
        <w:pStyle w:val="BodyText"/>
        <w:rPr/>
      </w:pPr>
      <w:r>
        <w:rPr>
          <w:rStyle w:val="Strong"/>
          <w:b w:val="false"/>
          <w:bCs w:val="false"/>
          <w:sz w:val="18"/>
          <w:szCs w:val="18"/>
        </w:rPr>
        <w:t> </w:t>
      </w:r>
      <w:r>
        <w:rPr>
          <w:rStyle w:val="Strong"/>
          <w:b w:val="false"/>
          <w:bCs w:val="false"/>
          <w:sz w:val="18"/>
          <w:szCs w:val="18"/>
        </w:rPr>
        <w:t>* П - проверка,   З - замена</w:t>
      </w:r>
    </w:p>
    <w:p>
      <w:pPr>
        <w:pStyle w:val="Normal"/>
        <w:rPr/>
      </w:pPr>
      <w:r>
        <w:rPr>
          <w:rStyle w:val="Style15"/>
          <w:sz w:val="18"/>
          <w:szCs w:val="18"/>
        </w:rPr>
        <w:t>РЕГЛАМЕНТ</w:t>
      </w:r>
      <w:r>
        <w:rPr>
          <w:rStyle w:val="Style15"/>
          <w:sz w:val="18"/>
          <w:szCs w:val="18"/>
          <w:lang w:val="en-US"/>
        </w:rPr>
        <w:t xml:space="preserve"> </w:t>
      </w:r>
      <w:r>
        <w:rPr>
          <w:rStyle w:val="Style15"/>
          <w:sz w:val="18"/>
          <w:szCs w:val="18"/>
        </w:rPr>
        <w:t>ТО</w:t>
      </w:r>
      <w:r>
        <w:rPr>
          <w:rStyle w:val="Style15"/>
          <w:sz w:val="18"/>
          <w:szCs w:val="18"/>
          <w:lang w:val="en-US"/>
        </w:rPr>
        <w:t>, HUYNDAI POLISADE</w:t>
      </w:r>
    </w:p>
    <w:tbl>
      <w:tblPr>
        <w:tblW w:w="14872" w:type="dxa"/>
        <w:jc w:val="left"/>
        <w:tblInd w:w="-35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2733"/>
        <w:gridCol w:w="1215"/>
        <w:gridCol w:w="1215"/>
        <w:gridCol w:w="1215"/>
        <w:gridCol w:w="1212"/>
        <w:gridCol w:w="1215"/>
        <w:gridCol w:w="1215"/>
        <w:gridCol w:w="1212"/>
        <w:gridCol w:w="1236"/>
        <w:gridCol w:w="1215"/>
        <w:gridCol w:w="1187"/>
      </w:tblGrid>
      <w:tr>
        <w:trPr>
          <w:trHeight w:val="184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b/>
                <w:sz w:val="18"/>
                <w:szCs w:val="18"/>
              </w:rPr>
              <w:t>Периодичность обслуживания (пробег, тыс. км)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b/>
                <w:sz w:val="18"/>
                <w:szCs w:val="18"/>
              </w:rPr>
              <w:t>10 т. км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b/>
                <w:sz w:val="18"/>
                <w:szCs w:val="18"/>
              </w:rPr>
              <w:t>20 т. км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b/>
                <w:sz w:val="18"/>
                <w:szCs w:val="18"/>
              </w:rPr>
              <w:t>30 т. км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b/>
                <w:sz w:val="18"/>
                <w:szCs w:val="18"/>
              </w:rPr>
              <w:t>40 т. км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b/>
                <w:sz w:val="18"/>
                <w:szCs w:val="18"/>
              </w:rPr>
              <w:t>50 т. км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b/>
                <w:sz w:val="18"/>
                <w:szCs w:val="18"/>
              </w:rPr>
              <w:t>60 т. км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b/>
                <w:sz w:val="18"/>
                <w:szCs w:val="18"/>
              </w:rPr>
              <w:t>70 т. км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b/>
                <w:sz w:val="18"/>
                <w:szCs w:val="18"/>
              </w:rPr>
              <w:t>80 т. км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b/>
                <w:sz w:val="18"/>
                <w:szCs w:val="18"/>
              </w:rPr>
              <w:t>90 т. км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b/>
                <w:sz w:val="18"/>
                <w:szCs w:val="18"/>
              </w:rPr>
              <w:t>100 т. км</w:t>
            </w:r>
          </w:p>
        </w:tc>
      </w:tr>
      <w:tr>
        <w:trPr>
          <w:trHeight w:val="338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 клапанного зазора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5"/>
                <w:b/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38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Приводные ремни — проверка, регулировка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499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Моторное масло, масляный фильтр двигателя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712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Охлаждающая жидкость двигателя, гидроусилителя руля, омывателей стёкол и фар — проверка уровня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622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Узлы и агрегаты автомобиля — проверка на предмет утечек и внешних повреждений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615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Радиатор — проверка чистоты, проверка соединений шлангов и их правильного расположения, наличия коррозии и т.п.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471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Системы выпуска отработавших газов — проверка на герметичность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184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Свечи зажигания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615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Аккумуляторная батарея — проверка заряда, уровня и плотности электролита, состояния клемм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184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Топливный фильтр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798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Воздушный фильтр (включая проверку устройства предварительной очистки воздуха, если установлено)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499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Крышка топливного бака, топливопроводов — проверка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38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Адсорбер паров топлива — проверка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1592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Тормозная система — проверка педали тормоза, состояния тормозных колодок, дисков, суппортов, хода рычага стояночного тормоза, отсутствия утечек, состояния трубопроводов, шлангов, соединений, цилиндров, очистка и смазка тормозных механизмов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38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Стояночный тормоз — проверка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38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Тормозная жидкость — проверка, замена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800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Рулевое управление — проверка отсутствия утечек, люфтов, состояния пыльников, лёгкости вращения рулевого колеса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524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Смазка карданных валов и проверка момента затяжки болтов карданных валов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с/р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с/р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с/р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с/р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с/р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с/р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с/р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с/р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с/р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с/р</w:t>
            </w:r>
          </w:p>
        </w:tc>
      </w:tr>
      <w:tr>
        <w:trPr>
          <w:trHeight w:val="499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Приводные валы и пыльники приводных валов — проверка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560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Шарниры подвесок, пыльники шарниров, люфты ступичных подшипников — проверка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499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Автоматическая трансмиссия (АКПП) — проверка жидкости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38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 масла раздаточной коробки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231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Проверка, замена масла переднего дифференциала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38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Проверка, замена масла заднего дифференциала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38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Шины — проверка состояния и давления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853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Наружные и внутренние световые приборы, звуковые сигналы, стеклоочистители и омыватели — проверка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160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Внутрисалонный фильтр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661" w:hRule="atLeast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Системы кондиционирования — проверка работы и уровня хладагента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</w:tbl>
    <w:p>
      <w:pPr>
        <w:pStyle w:val="BodyText"/>
        <w:rPr/>
      </w:pPr>
      <w:r>
        <w:rPr>
          <w:rStyle w:val="Strong"/>
          <w:b w:val="false"/>
          <w:bCs w:val="false"/>
          <w:sz w:val="18"/>
          <w:szCs w:val="18"/>
        </w:rPr>
        <w:t> </w:t>
      </w:r>
      <w:r>
        <w:rPr>
          <w:rStyle w:val="Strong"/>
          <w:b w:val="false"/>
          <w:bCs w:val="false"/>
          <w:sz w:val="18"/>
          <w:szCs w:val="18"/>
        </w:rPr>
        <w:t>* П - проверка,   З — замена</w:t>
      </w:r>
    </w:p>
    <w:p>
      <w:pPr>
        <w:pStyle w:val="BodyText"/>
        <w:rPr>
          <w:b w:val="false"/>
          <w:bCs w:val="false"/>
          <w:sz w:val="18"/>
          <w:szCs w:val="18"/>
        </w:rPr>
      </w:pPr>
      <w:r>
        <w:rPr>
          <w:b w:val="false"/>
          <w:bCs w:val="false"/>
          <w:sz w:val="18"/>
          <w:szCs w:val="18"/>
        </w:rPr>
      </w:r>
    </w:p>
    <w:p>
      <w:pPr>
        <w:pStyle w:val="BodyText"/>
        <w:rPr/>
      </w:pPr>
      <w:r>
        <w:rPr>
          <w:rStyle w:val="Strong"/>
          <w:b w:val="false"/>
          <w:bCs w:val="false"/>
          <w:sz w:val="18"/>
          <w:szCs w:val="18"/>
        </w:rPr>
        <w:t> </w:t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/>
      </w:pPr>
      <w:r>
        <w:rPr/>
      </w:r>
    </w:p>
    <w:sectPr>
      <w:headerReference w:type="default" r:id="rId20"/>
      <w:headerReference w:type="first" r:id="rId21"/>
      <w:footerReference w:type="default" r:id="rId22"/>
      <w:footerReference w:type="first" r:id="rId23"/>
      <w:type w:val="nextPage"/>
      <w:pgSz w:orient="landscape" w:w="16838" w:h="11906"/>
      <w:pgMar w:left="1135" w:right="992" w:gutter="0" w:header="1134" w:top="1417" w:footer="0" w:bottom="426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18"/>
        <w:szCs w:val="18"/>
      </w:rPr>
    </w:pPr>
    <w:r>
      <w:rPr>
        <w:sz w:val="18"/>
        <w:szCs w:val="18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15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/>
    </w:lvl>
    <w:lvl w:ilvl="1">
      <w:start w:val="1"/>
      <w:numFmt w:val="decimal"/>
      <w:lvlText w:val="%2."/>
      <w:lvlJc w:val="left"/>
      <w:pPr>
        <w:tabs>
          <w:tab w:val="num" w:pos="1066"/>
        </w:tabs>
        <w:ind w:left="1066" w:hanging="360"/>
      </w:pPr>
      <w:rPr/>
    </w:lvl>
    <w:lvl w:ilvl="2">
      <w:start w:val="1"/>
      <w:numFmt w:val="decimal"/>
      <w:lvlText w:val="%3."/>
      <w:lvlJc w:val="left"/>
      <w:pPr>
        <w:tabs>
          <w:tab w:val="num" w:pos="1426"/>
        </w:tabs>
        <w:ind w:left="1426" w:hanging="360"/>
      </w:pPr>
      <w:rPr/>
    </w:lvl>
    <w:lvl w:ilvl="3">
      <w:start w:val="1"/>
      <w:numFmt w:val="decimal"/>
      <w:lvlText w:val="%4."/>
      <w:lvlJc w:val="left"/>
      <w:pPr>
        <w:tabs>
          <w:tab w:val="num" w:pos="1786"/>
        </w:tabs>
        <w:ind w:left="1786" w:hanging="360"/>
      </w:pPr>
      <w:rPr/>
    </w:lvl>
    <w:lvl w:ilvl="4">
      <w:start w:val="1"/>
      <w:numFmt w:val="decimal"/>
      <w:lvlText w:val="%5."/>
      <w:lvlJc w:val="left"/>
      <w:pPr>
        <w:tabs>
          <w:tab w:val="num" w:pos="2146"/>
        </w:tabs>
        <w:ind w:left="2146" w:hanging="360"/>
      </w:pPr>
      <w:rPr/>
    </w:lvl>
    <w:lvl w:ilvl="5">
      <w:start w:val="1"/>
      <w:numFmt w:val="decimal"/>
      <w:lvlText w:val="%6."/>
      <w:lvlJc w:val="left"/>
      <w:pPr>
        <w:tabs>
          <w:tab w:val="num" w:pos="2506"/>
        </w:tabs>
        <w:ind w:left="2506" w:hanging="360"/>
      </w:pPr>
      <w:rPr/>
    </w:lvl>
    <w:lvl w:ilvl="6">
      <w:start w:val="1"/>
      <w:numFmt w:val="decimal"/>
      <w:lvlText w:val="%7."/>
      <w:lvlJc w:val="left"/>
      <w:pPr>
        <w:tabs>
          <w:tab w:val="num" w:pos="2866"/>
        </w:tabs>
        <w:ind w:left="2866" w:hanging="360"/>
      </w:pPr>
      <w:rPr/>
    </w:lvl>
    <w:lvl w:ilvl="7">
      <w:start w:val="1"/>
      <w:numFmt w:val="decimal"/>
      <w:lvlText w:val="%8."/>
      <w:lvlJc w:val="left"/>
      <w:pPr>
        <w:tabs>
          <w:tab w:val="num" w:pos="3226"/>
        </w:tabs>
        <w:ind w:left="3226" w:hanging="360"/>
      </w:pPr>
      <w:rPr/>
    </w:lvl>
    <w:lvl w:ilvl="8">
      <w:start w:val="1"/>
      <w:numFmt w:val="decimal"/>
      <w:lvlText w:val="%9."/>
      <w:lvlJc w:val="left"/>
      <w:pPr>
        <w:tabs>
          <w:tab w:val="num" w:pos="3586"/>
        </w:tabs>
        <w:ind w:left="3586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2"/>
    <w:qFormat/>
    <w:pPr>
      <w:numPr>
        <w:ilvl w:val="0"/>
        <w:numId w:val="0"/>
      </w:numPr>
      <w:ind w:left="1224" w:right="0" w:hanging="504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numPr>
        <w:ilvl w:val="0"/>
        <w:numId w:val="0"/>
      </w:numPr>
      <w:ind w:left="1224" w:right="0" w:hanging="504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0"/>
        <w:numId w:val="0"/>
      </w:numPr>
      <w:tabs>
        <w:tab w:val="clear" w:pos="720"/>
        <w:tab w:val="left" w:pos="0" w:leader="none"/>
      </w:tabs>
      <w:spacing w:before="120" w:after="60"/>
      <w:ind w:left="1224" w:right="0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0"/>
        <w:numId w:val="0"/>
      </w:numPr>
      <w:ind w:left="1224" w:right="0" w:hanging="504"/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1">
    <w:name w:val="Знак сноски1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11">
    <w:name w:val="Гиперссылка1"/>
    <w:qFormat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1">
    <w:name w:val="Strong1"/>
    <w:qFormat/>
    <w:rPr>
      <w:b/>
      <w:bCs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2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">
    <w:name w:val="Название Знак"/>
    <w:link w:val="17"/>
    <w:qFormat/>
    <w:rPr>
      <w:sz w:val="28"/>
    </w:rPr>
  </w:style>
  <w:style w:type="character" w:styleId="Style1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2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3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3">
    <w:name w:val="Подпункт Знак1"/>
    <w:link w:val="Style23"/>
    <w:qFormat/>
    <w:rPr>
      <w:sz w:val="28"/>
    </w:rPr>
  </w:style>
  <w:style w:type="character" w:styleId="Style4">
    <w:name w:val="Текст сноски Знак"/>
    <w:qFormat/>
    <w:rPr/>
  </w:style>
  <w:style w:type="character" w:styleId="Style5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6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7">
    <w:name w:val="комментарий"/>
    <w:qFormat/>
    <w:rPr>
      <w:b/>
      <w:i/>
      <w:shd w:fill="FFFF99" w:val="clear"/>
    </w:rPr>
  </w:style>
  <w:style w:type="character" w:styleId="Style8">
    <w:name w:val="Подподпункт Знак"/>
    <w:link w:val="Style31"/>
    <w:qFormat/>
    <w:rPr>
      <w:sz w:val="26"/>
      <w:szCs w:val="26"/>
    </w:rPr>
  </w:style>
  <w:style w:type="character" w:styleId="31">
    <w:name w:val="УРОВЕНЬ_Абзац_тип3 Знак"/>
    <w:link w:val="35"/>
    <w:qFormat/>
    <w:rPr>
      <w:rFonts w:eastAsia="Calibri"/>
      <w:sz w:val="26"/>
      <w:szCs w:val="28"/>
      <w:lang w:eastAsia="en-US"/>
    </w:rPr>
  </w:style>
  <w:style w:type="character" w:styleId="Style9">
    <w:name w:val="Верхний колонтитул Знак"/>
    <w:qFormat/>
    <w:rPr>
      <w:sz w:val="24"/>
      <w:szCs w:val="24"/>
    </w:rPr>
  </w:style>
  <w:style w:type="character" w:styleId="Style10">
    <w:name w:val="Текст примечания Знак"/>
    <w:link w:val="Annotationtext"/>
    <w:qFormat/>
    <w:rPr/>
  </w:style>
  <w:style w:type="character" w:styleId="Style11">
    <w:name w:val="Текст концевой сноски Знак"/>
    <w:basedOn w:val="DefaultParagraphFont"/>
    <w:qFormat/>
    <w:rPr/>
  </w:style>
  <w:style w:type="character" w:styleId="14">
    <w:name w:val="Знак концевой сноски1"/>
    <w:qFormat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22">
    <w:name w:val="Пункт2 Знак"/>
    <w:link w:val="24"/>
    <w:qFormat/>
    <w:rPr>
      <w:b/>
      <w:sz w:val="28"/>
    </w:rPr>
  </w:style>
  <w:style w:type="character" w:styleId="15">
    <w:name w:val="УРОВЕНЬ_1. Знак"/>
    <w:link w:val="111"/>
    <w:qFormat/>
    <w:rPr>
      <w:rFonts w:eastAsia="Calibri"/>
      <w:caps/>
      <w:sz w:val="28"/>
      <w:szCs w:val="28"/>
      <w:lang w:eastAsia="en-US"/>
    </w:rPr>
  </w:style>
  <w:style w:type="character" w:styleId="Style12">
    <w:name w:val="Ссылка указателя"/>
    <w:qFormat/>
    <w:rPr/>
  </w:style>
  <w:style w:type="character" w:styleId="Style13">
    <w:name w:val="Символ нумерации"/>
    <w:qFormat/>
    <w:rPr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Style14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5">
    <w:name w:val="Основной шрифт абзаца"/>
    <w:qFormat/>
    <w:rPr/>
  </w:style>
  <w:style w:type="character" w:styleId="Strong">
    <w:name w:val="Strong"/>
    <w:qFormat/>
    <w:rPr>
      <w:b/>
      <w:bCs/>
    </w:rPr>
  </w:style>
  <w:style w:type="character" w:styleId="Style1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5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>
    <w:name w:val="caption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1">
    <w:name w:val="index heading11"/>
    <w:basedOn w:val="Title"/>
    <w:qFormat/>
    <w:pPr/>
    <w:rPr/>
  </w:style>
  <w:style w:type="paragraph" w:styleId="Style19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20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4"/>
    <w:pPr/>
    <w:rPr>
      <w:sz w:val="20"/>
      <w:szCs w:val="20"/>
    </w:rPr>
  </w:style>
  <w:style w:type="paragraph" w:styleId="16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7">
    <w:name w:val="Название1"/>
    <w:basedOn w:val="Normal"/>
    <w:link w:val="Style"/>
    <w:qFormat/>
    <w:pPr>
      <w:jc w:val="center"/>
    </w:pPr>
    <w:rPr>
      <w:szCs w:val="20"/>
      <w:lang w:val="x-none" w:eastAsia="x-none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right="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>
    <w:name w:val="Подпункт"/>
    <w:basedOn w:val="Normal"/>
    <w:link w:val="13"/>
    <w:qFormat/>
    <w:pPr>
      <w:tabs>
        <w:tab w:val="clear" w:pos="720"/>
        <w:tab w:val="left" w:pos="1134" w:leader="none"/>
      </w:tabs>
      <w:snapToGrid w:val="false"/>
      <w:spacing w:lineRule="auto" w:line="360"/>
      <w:ind w:left="1134" w:right="0" w:hanging="1134"/>
      <w:jc w:val="both"/>
    </w:pPr>
    <w:rPr>
      <w:szCs w:val="20"/>
      <w:lang w:val="x-none" w:eastAsia="x-none"/>
    </w:rPr>
  </w:style>
  <w:style w:type="paragraph" w:styleId="24">
    <w:name w:val="Пункт2"/>
    <w:basedOn w:val="Normal"/>
    <w:link w:val="22"/>
    <w:qFormat/>
    <w:pPr>
      <w:keepNext w:val="true"/>
      <w:numPr>
        <w:ilvl w:val="0"/>
        <w:numId w:val="0"/>
      </w:numPr>
      <w:tabs>
        <w:tab w:val="clear" w:pos="720"/>
        <w:tab w:val="left" w:pos="1134" w:leader="none"/>
      </w:tabs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right="0" w:hanging="0"/>
    </w:pPr>
    <w:rPr>
      <w:rFonts w:cs="Calibri"/>
      <w:sz w:val="20"/>
      <w:szCs w:val="20"/>
    </w:rPr>
  </w:style>
  <w:style w:type="paragraph" w:styleId="Style24">
    <w:name w:val="Раздел регламента"/>
    <w:basedOn w:val="Normal"/>
    <w:qFormat/>
    <w:pPr/>
    <w:rPr/>
  </w:style>
  <w:style w:type="paragraph" w:styleId="Style25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8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right="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right="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tabs>
        <w:tab w:val="clear" w:pos="720"/>
        <w:tab w:val="left" w:pos="1120" w:leader="none"/>
        <w:tab w:val="right" w:pos="9911" w:leader="none"/>
      </w:tabs>
      <w:ind w:left="560" w:right="0" w:hanging="0"/>
    </w:pPr>
    <w:rPr>
      <w:rFonts w:cs="Calibri"/>
      <w:sz w:val="20"/>
      <w:szCs w:val="20"/>
    </w:rPr>
  </w:style>
  <w:style w:type="paragraph" w:styleId="25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Style26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"/>
    <w:qFormat/>
    <w:pPr>
      <w:ind w:left="1066" w:right="0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6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2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3"/>
    <w:qFormat/>
    <w:pPr/>
    <w:rPr>
      <w:rFonts w:eastAsia="Calibri"/>
      <w:sz w:val="24"/>
      <w:szCs w:val="24"/>
      <w:lang w:val="x-none" w:eastAsia="x-none"/>
    </w:rPr>
  </w:style>
  <w:style w:type="paragraph" w:styleId="Style27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>
    <w:name w:val="Маркированный список 4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>
    <w:name w:val="Пункт"/>
    <w:basedOn w:val="Normal"/>
    <w:qFormat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9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>
    <w:name w:val="Подподпункт"/>
    <w:basedOn w:val="Style23"/>
    <w:link w:val="Style8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right="0" w:hanging="567"/>
    </w:pPr>
    <w:rPr>
      <w:sz w:val="26"/>
      <w:szCs w:val="26"/>
      <w:lang w:val="ru-RU" w:eastAsia="ru-RU"/>
    </w:rPr>
  </w:style>
  <w:style w:type="paragraph" w:styleId="Style32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</w:tabs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1"/>
    <w:pPr/>
    <w:rPr>
      <w:sz w:val="20"/>
      <w:szCs w:val="20"/>
    </w:rPr>
  </w:style>
  <w:style w:type="paragraph" w:styleId="28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11">
    <w:name w:val="УРОВЕНЬ_1."/>
    <w:basedOn w:val="ListParagraph"/>
    <w:link w:val="15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right="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right="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right="0" w:hanging="0"/>
    </w:pPr>
    <w:rPr>
      <w:rFonts w:ascii="Calibri" w:hAnsi="Calibri" w:cs="Calibri"/>
      <w:sz w:val="20"/>
      <w:szCs w:val="20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jc w:val="center"/>
    </w:pPr>
    <w:rPr>
      <w:b/>
      <w:bCs/>
    </w:rPr>
  </w:style>
  <w:style w:type="paragraph" w:styleId="Style38">
    <w:name w:val="Обычный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112">
    <w:name w:val="Стиль1"/>
    <w:qFormat/>
  </w:style>
  <w:style w:type="numbering" w:styleId="29">
    <w:name w:val="Стиль2"/>
    <w:qFormat/>
  </w:style>
  <w:style w:type="numbering" w:styleId="32037998941">
    <w:name w:val="32037998941"/>
    <w:qFormat/>
  </w:style>
  <w:style w:type="numbering" w:styleId="41355696861">
    <w:name w:val="4135569686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footer" Target="footer5.xml"/><Relationship Id="rId15" Type="http://schemas.openxmlformats.org/officeDocument/2006/relationships/footer" Target="footer6.xml"/><Relationship Id="rId16" Type="http://schemas.openxmlformats.org/officeDocument/2006/relationships/header" Target="header9.xml"/><Relationship Id="rId17" Type="http://schemas.openxmlformats.org/officeDocument/2006/relationships/header" Target="header10.xml"/><Relationship Id="rId18" Type="http://schemas.openxmlformats.org/officeDocument/2006/relationships/footer" Target="footer7.xml"/><Relationship Id="rId19" Type="http://schemas.openxmlformats.org/officeDocument/2006/relationships/footer" Target="footer8.xml"/><Relationship Id="rId20" Type="http://schemas.openxmlformats.org/officeDocument/2006/relationships/header" Target="header11.xml"/><Relationship Id="rId21" Type="http://schemas.openxmlformats.org/officeDocument/2006/relationships/header" Target="header12.xml"/><Relationship Id="rId22" Type="http://schemas.openxmlformats.org/officeDocument/2006/relationships/footer" Target="footer9.xml"/><Relationship Id="rId23" Type="http://schemas.openxmlformats.org/officeDocument/2006/relationships/footer" Target="footer10.xml"/><Relationship Id="rId24" Type="http://schemas.openxmlformats.org/officeDocument/2006/relationships/numbering" Target="numbering.xml"/><Relationship Id="rId25" Type="http://schemas.openxmlformats.org/officeDocument/2006/relationships/fontTable" Target="fontTable.xml"/><Relationship Id="rId2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2276</TotalTime>
  <Application>AlterOffice/3.4.0.9$Linux_X86_64 LibreOffice_project/b8daf9e823b1a5463a2f48435ddc2e8696e7d4fc</Application>
  <AppVersion>15.0000</AppVersion>
  <Pages>21</Pages>
  <Words>3879</Words>
  <Characters>22352</Characters>
  <CharactersWithSpaces>25388</CharactersWithSpaces>
  <Paragraphs>1404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2024-10-31T02:10:00Z</dcterms:created>
  <dc:creator>Быстров Олег Геннадьевич</dc:creator>
  <dc:description/>
  <dc:language>ru-RU</dc:language>
  <cp:lastModifiedBy>sulekovaa@corp.gidroogk.com</cp:lastModifiedBy>
  <cp:lastPrinted>2026-08-13T16:01:25Z</cp:lastPrinted>
  <dcterms:modified xsi:type="dcterms:W3CDTF">2026-08-14T16:16:07Z</dcterms:modified>
  <cp:revision>57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