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sz w:val="24"/>
          <w:szCs w:val="24"/>
        </w:rPr>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Акционерное общество « Транспортная компания РусГидро»</w:t>
      </w:r>
      <w:r>
        <w:rPr>
          <w:sz w:val="24"/>
          <w:szCs w:val="24"/>
        </w:rPr>
        <w:t>(АО «ТК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 xml:space="preserve">в той мере, в какой указанные правила не противоречат законодательству Российской Федерации </w:t>
        <w:br/>
        <w:t>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w:t>
      </w:r>
      <w:bookmarkStart w:id="0" w:name="_GoBack"/>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bookmarkEnd w:id="0"/>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Cs/>
          <w:sz w:val="24"/>
          <w:szCs w:val="24"/>
          <w:lang w:eastAsia="en-US"/>
        </w:rPr>
        <w:t>л</w:t>
      </w:r>
      <w:r>
        <w:rPr>
          <w:rFonts w:eastAsia="Calibri"/>
          <w:b w:val="false"/>
          <w:bCs w:val="false"/>
          <w:i w:val="false"/>
          <w:iCs w:val="false"/>
          <w:sz w:val="24"/>
          <w:szCs w:val="24"/>
          <w:shd w:fill="auto" w:val="clear"/>
          <w:lang w:eastAsia="en-US"/>
        </w:rPr>
        <w:t>егковой автомобиль бизнес-класса повышенной проходимости</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Центрального филиала АО «ТК РусГидро».</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bCs/>
          <w:sz w:val="24"/>
          <w:szCs w:val="24"/>
          <w:shd w:fill="auto" w:val="clear"/>
        </w:rPr>
        <w:t xml:space="preserve">Российская Федерация, </w:t>
      </w:r>
      <w:r>
        <w:rPr>
          <w:bCs/>
          <w:sz w:val="24"/>
          <w:szCs w:val="24"/>
          <w:shd w:fill="auto" w:val="clear"/>
        </w:rPr>
        <w:t xml:space="preserve">г. Нижний Новгород </w:t>
      </w:r>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rPr>
        <w:t>с</w:t>
      </w:r>
      <w:r>
        <w:rPr>
          <w:bCs/>
          <w:sz w:val="24"/>
          <w:szCs w:val="24"/>
        </w:rPr>
        <w:t xml:space="preserve"> даты заключения договора.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rPr>
        <w:t>н</w:t>
      </w:r>
      <w:r>
        <w:rPr>
          <w:bCs/>
          <w:sz w:val="24"/>
          <w:szCs w:val="24"/>
        </w:rPr>
        <w:t>е позднее 30 (тридцати</w:t>
      </w:r>
      <w:r>
        <w:rPr>
          <w:bCs/>
          <w:sz w:val="24"/>
          <w:szCs w:val="24"/>
        </w:rPr>
        <w:t>)</w:t>
      </w:r>
      <w:r>
        <w:rPr>
          <w:bCs/>
          <w:sz w:val="24"/>
          <w:szCs w:val="24"/>
        </w:rPr>
        <w:t xml:space="preserve"> календарный дней с даты  заключения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shd w:fill="auto" w:val="clear"/>
        </w:rPr>
        <w:t xml:space="preserve">твердой </w:t>
      </w:r>
      <w:r>
        <w:rPr>
          <w:bCs/>
          <w:sz w:val="24"/>
          <w:szCs w:val="24"/>
        </w:rPr>
        <w:t xml:space="preserve">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shd w:fill="auto" w:val="clear"/>
        </w:rPr>
        <w:t>перемещение по территории Покупателя</w:t>
      </w:r>
      <w:r>
        <w:rPr>
          <w:rStyle w:val="FootnoteReference"/>
          <w:shd w:fill="auto" w:val="clear"/>
          <w:vertAlign w:val="superscript"/>
        </w:rPr>
        <w:footnoteReference w:id="2"/>
      </w:r>
      <w:r>
        <w:rPr>
          <w:bCs/>
          <w:sz w:val="24"/>
          <w:szCs w:val="24"/>
          <w:shd w:fill="auto" w:val="clear"/>
        </w:rPr>
        <w:t>,</w:t>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32"/>
          <w:szCs w:val="24"/>
        </w:rPr>
      </w:pPr>
      <w:r>
        <w:rPr>
          <w:sz w:val="24"/>
        </w:rPr>
        <w:t>Авансовые платежи за каждую партию Товара в размере 30 (тридцати) процентов от стоимости соответствующей партии Товара</w:t>
      </w:r>
      <w:r>
        <w:rPr>
          <w:rStyle w:val="FootnoteReference"/>
          <w:sz w:val="24"/>
        </w:rPr>
        <w:footnoteReference w:id="3"/>
      </w:r>
      <w:r>
        <w:rPr>
          <w:sz w:val="24"/>
        </w:rPr>
        <w:t xml:space="preserve"> выплачиваются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2.5.1, 2.5.4 Договора.</w:t>
      </w:r>
    </w:p>
    <w:p>
      <w:pPr>
        <w:pStyle w:val="ListParagraph"/>
        <w:numPr>
          <w:ilvl w:val="2"/>
          <w:numId w:val="2"/>
        </w:numPr>
        <w:tabs>
          <w:tab w:val="clear" w:pos="709"/>
        </w:tabs>
        <w:ind w:left="0" w:firstLine="709"/>
        <w:jc w:val="both"/>
        <w:rPr>
          <w:sz w:val="24"/>
        </w:rPr>
      </w:pPr>
      <w:r>
        <w:rPr>
          <w:sz w:val="24"/>
        </w:rPr>
        <w:t>Последующие платежи в размере 70 % (семидесяти процентов) от стоимости партии Товара</w:t>
      </w:r>
      <w:r>
        <w:rPr>
          <w:rStyle w:val="FootnoteReference"/>
          <w:sz w:val="24"/>
        </w:rPr>
        <w:footnoteReference w:id="4"/>
      </w:r>
      <w:r>
        <w:rPr>
          <w:sz w:val="24"/>
        </w:rPr>
        <w:t xml:space="preserve"> выплачиваются Поставщику в течение </w:t>
      </w:r>
      <w:r>
        <w:rPr>
          <w:sz w:val="24"/>
          <w:highlight w:val="lightGray"/>
        </w:rPr>
        <w:t xml:space="preserve"> 45 (сорока пяти) календарных дней</w:t>
      </w:r>
      <w:r>
        <w:rPr>
          <w:rStyle w:val="FootnoteReference"/>
          <w:sz w:val="24"/>
          <w:highlight w:val="lightGray"/>
        </w:rPr>
        <w:footnoteReference w:id="5"/>
      </w:r>
      <w:r>
        <w:rPr>
          <w:sz w:val="24"/>
          <w:highlight w:val="lightGray"/>
        </w:rPr>
        <w:t xml:space="preserve"> / 7 (семи) рабочих дней</w:t>
      </w:r>
      <w:r>
        <w:rPr>
          <w:rStyle w:val="FootnoteReference"/>
          <w:sz w:val="24"/>
          <w:highlight w:val="lightGray"/>
        </w:rPr>
        <w:footnoteReference w:id="6"/>
      </w:r>
      <w:r>
        <w:rPr>
          <w:sz w:val="24"/>
        </w:rPr>
        <w:t xml:space="preserve"> с даты подписания Сторонами накладной ТОРГ-12,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shd w:fill="auto" w:val="clear"/>
        </w:rPr>
        <w:t>1(одном)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технический паспорт на русском языке в 1(одном)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инструкция по эксплуатации на русском языке в 1(одном)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
        <w:t>упаковочный лист в 1(одном)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1(одном) экз.;</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
        <w:t>накладная ТОРГ-12 в 3 (трёх)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shd w:fill="auto" w:val="clear"/>
        </w:rPr>
        <w:t xml:space="preserve">и перемещение Товара (в том числе </w:t>
        <w:br/>
        <w:t>по территории Покупателя)</w:t>
      </w:r>
      <w:r>
        <w:rPr>
          <w:rStyle w:val="FootnoteReference"/>
          <w:sz w:val="24"/>
          <w:szCs w:val="24"/>
          <w:shd w:fill="auto" w:val="clear"/>
          <w:vertAlign w:val="superscript"/>
        </w:rPr>
        <w:footnoteReference w:id="7"/>
      </w:r>
      <w:r>
        <w:rPr>
          <w:sz w:val="24"/>
          <w:szCs w:val="24"/>
          <w:shd w:fill="auto" w:val="clear"/>
        </w:rPr>
        <w:t xml:space="preserve"> </w:t>
      </w:r>
      <w:r>
        <w:rPr>
          <w:bCs/>
          <w:sz w:val="24"/>
          <w:szCs w:val="24"/>
          <w:shd w:fill="auto" w:val="clear"/>
        </w:rPr>
        <w:t>осуществляется</w:t>
      </w:r>
      <w:r>
        <w:rPr>
          <w:sz w:val="24"/>
          <w:szCs w:val="24"/>
          <w:shd w:fill="auto" w:val="clear"/>
        </w:rPr>
        <w:t xml:space="preserve"> Поставщиком. Стоимость погрузки, доставки, разгрузки и перемещения Товара включена в </w:t>
      </w:r>
      <w:r>
        <w:rPr>
          <w:sz w:val="24"/>
          <w:szCs w:val="24"/>
        </w:rPr>
        <w:t>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 xml:space="preserve">Датой поставки партии Товара является дата подписания Сторонами накладной </w:t>
        <w:br/>
        <w:t>ТОРГ-12.</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w:t>
      </w:r>
      <w:r>
        <w:rPr>
          <w:sz w:val="24"/>
          <w:szCs w:val="24"/>
          <w:shd w:fill="auto" w:val="clear"/>
        </w:rPr>
        <w:t>у Товара до момента устранения выявленных нарушений. Поставщик обязан в течение 3 (трех) календа</w:t>
      </w:r>
      <w:r>
        <w:rPr>
          <w:sz w:val="24"/>
          <w:szCs w:val="24"/>
        </w:rPr>
        <w:t xml:space="preserve">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w:t>
      </w:r>
      <w:r>
        <w:rPr>
          <w:sz w:val="24"/>
          <w:szCs w:val="24"/>
          <w:shd w:fill="auto" w:val="clear"/>
        </w:rPr>
        <w:t>и упаковки производится Покупателем в присутствии представителя Поставщика в течение 10 (десяти) ра</w:t>
      </w:r>
      <w:r>
        <w:rPr>
          <w:sz w:val="24"/>
          <w:szCs w:val="24"/>
        </w:rPr>
        <w:t xml:space="preserve">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u w:val="none"/>
          <w:shd w:fill="auto" w:val="clear"/>
        </w:rPr>
        <w:t>не менее 36 месяцев или 150 000 км.</w:t>
      </w:r>
      <w:r>
        <w:rPr>
          <w:sz w:val="24"/>
          <w:szCs w:val="24"/>
        </w:rPr>
        <w:t>, в зависимости от того, что наступит раньше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Календарным графиком поставки Товара (Приложение № 3 к Договору)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8"/>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pPr>
      <w:r>
        <w:rPr>
          <w:sz w:val="24"/>
          <w:szCs w:val="24"/>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9"/>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r>
        <w:rPr>
          <w:bCs/>
          <w:sz w:val="24"/>
          <w:szCs w:val="24"/>
          <w:lang w:val="ru-RU"/>
        </w:rPr>
        <w:t>но не более 5% от несвоевременно уплаченной суммы</w:t>
      </w:r>
      <w:r>
        <w:rPr>
          <w:bCs/>
          <w:sz w:val="24"/>
          <w:szCs w:val="24"/>
        </w:rPr>
        <w:t>.</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5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shd w:fill="auto" w:val="clear"/>
        </w:rPr>
        <w:t xml:space="preserve">города Москвы </w:t>
      </w:r>
      <w:r>
        <w:rPr>
          <w:bCs/>
          <w:sz w:val="24"/>
          <w:szCs w:val="24"/>
        </w:rPr>
        <w:t>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w:t>
      </w:r>
      <w:r>
        <w:rPr>
          <w:bCs/>
          <w:sz w:val="24"/>
          <w:szCs w:val="24"/>
          <w:shd w:fill="auto" w:val="clear"/>
        </w:rPr>
        <w:t xml:space="preserve"> 14.8 </w:t>
      </w:r>
      <w:r>
        <w:rPr>
          <w:bCs/>
          <w:sz w:val="24"/>
          <w:szCs w:val="24"/>
        </w:rPr>
        <w:t>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w:t>
      </w:r>
      <w:r>
        <w:rPr>
          <w:sz w:val="24"/>
          <w:szCs w:val="24"/>
          <w:shd w:fill="auto" w:val="clear"/>
        </w:rPr>
        <w:t>м 14.8 Д</w:t>
      </w:r>
      <w:r>
        <w:rPr>
          <w:sz w:val="24"/>
          <w:szCs w:val="24"/>
        </w:rPr>
        <w:t>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9"/>
          <w:tab w:val="left" w:pos="142"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0"/>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1"/>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2"/>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1" w:name="sub_1"/>
      <w:bookmarkEnd w:id="1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 xml:space="preserve">Приложение № 4 -  </w:t>
      </w:r>
      <w:r>
        <w:rPr>
          <w:rFonts w:eastAsia="Calibri"/>
          <w:sz w:val="24"/>
          <w:szCs w:val="24"/>
          <w:lang w:eastAsia="en-US"/>
        </w:rPr>
        <w:t>Критерии отбора Банков-Гарантов.</w:t>
      </w:r>
    </w:p>
    <w:p>
      <w:pPr>
        <w:pStyle w:val="Normal"/>
        <w:widowControl/>
        <w:shd w:val="clear" w:color="auto" w:fill="FFFFFF"/>
        <w:tabs>
          <w:tab w:val="clear" w:pos="709"/>
          <w:tab w:val="left" w:pos="0" w:leader="none"/>
          <w:tab w:val="left" w:pos="2694" w:leader="none"/>
        </w:tabs>
        <w:suppressAutoHyphens w:val="true"/>
        <w:ind w:firstLine="709"/>
        <w:jc w:val="left"/>
        <w:rPr>
          <w:sz w:val="24"/>
          <w:szCs w:val="24"/>
          <w:lang w:eastAsia="x-none"/>
        </w:rPr>
      </w:pPr>
      <w:r>
        <w:rPr>
          <w:sz w:val="24"/>
          <w:szCs w:val="24"/>
          <w:lang w:eastAsia="x-none"/>
        </w:rPr>
        <w:t xml:space="preserve">Приложение № 5 -  </w:t>
      </w:r>
      <w:r>
        <w:rPr>
          <w:rFonts w:eastAsia="Calibri" w:cs="Times New Roman"/>
          <w:color w:val="auto"/>
          <w:kern w:val="0"/>
          <w:sz w:val="24"/>
          <w:szCs w:val="24"/>
          <w:lang w:val="ru-RU" w:eastAsia="en-US" w:bidi="ar-SA"/>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br w:type="page"/>
      </w:r>
    </w:p>
    <w:p>
      <w:pPr>
        <w:pStyle w:val="Normal"/>
        <w:widowControl/>
        <w:shd w:val="clear" w:color="auto" w:fill="FFFFFF"/>
        <w:tabs>
          <w:tab w:val="clear" w:pos="709"/>
          <w:tab w:val="left" w:pos="0" w:leader="none"/>
          <w:tab w:val="left" w:pos="2694" w:leader="none"/>
        </w:tabs>
        <w:suppressAutoHyphens w:val="true"/>
        <w:ind w:firstLine="709"/>
        <w:jc w:val="both"/>
        <w:rPr/>
      </w:pPr>
      <w:r>
        <w:rPr/>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rPr>
      </w:r>
      <w:bookmarkStart w:id="12" w:name="sub_1_Копия_1"/>
      <w:bookmarkStart w:id="13" w:name="sub_1_Копия_1"/>
      <w:bookmarkEnd w:id="13"/>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79"/>
        <w:gridCol w:w="36"/>
        <w:gridCol w:w="4750"/>
        <w:gridCol w:w="325"/>
      </w:tblGrid>
      <w:tr>
        <w:trPr/>
        <w:tc>
          <w:tcPr>
            <w:tcW w:w="4815" w:type="dxa"/>
            <w:gridSpan w:val="2"/>
            <w:tcBorders/>
          </w:tcPr>
          <w:p>
            <w:pPr>
              <w:pStyle w:val="Normal"/>
              <w:widowControl w:val="false"/>
              <w:rPr>
                <w:sz w:val="24"/>
                <w:szCs w:val="24"/>
              </w:rPr>
            </w:pPr>
            <w:r>
              <w:rPr>
                <w:sz w:val="24"/>
                <w:szCs w:val="24"/>
              </w:rPr>
              <w:t>ПОКУПАТЕЛЬ:</w:t>
            </w:r>
          </w:p>
        </w:tc>
        <w:tc>
          <w:tcPr>
            <w:tcW w:w="5075" w:type="dxa"/>
            <w:gridSpan w:val="2"/>
            <w:tcBorders/>
          </w:tcPr>
          <w:p>
            <w:pPr>
              <w:pStyle w:val="Normal"/>
              <w:widowControl w:val="false"/>
              <w:rPr>
                <w:sz w:val="24"/>
                <w:szCs w:val="24"/>
              </w:rPr>
            </w:pPr>
            <w:r>
              <w:rPr>
                <w:sz w:val="24"/>
                <w:szCs w:val="24"/>
              </w:rPr>
              <w:t>ПОСТАВЩИК:</w:t>
            </w:r>
          </w:p>
        </w:tc>
      </w:tr>
      <w:tr>
        <w:trPr/>
        <w:tc>
          <w:tcPr>
            <w:tcW w:w="4815"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b/>
                <w:color w:val="000000"/>
                <w:sz w:val="24"/>
                <w:szCs w:val="20"/>
                <w:shd w:fill="auto" w:val="clear"/>
                <w:lang w:val="ru-RU"/>
              </w:rPr>
              <w:t>АО «ТК РусГидро»</w:t>
            </w:r>
          </w:p>
          <w:p>
            <w:pPr>
              <w:pStyle w:val="Normal"/>
              <w:widowControl w:val="false"/>
              <w:rPr>
                <w:b/>
                <w:color w:val="000000"/>
                <w:sz w:val="24"/>
                <w:szCs w:val="20"/>
                <w:highlight w:val="none"/>
                <w:shd w:fill="auto" w:val="clear"/>
                <w:lang w:val="ru-RU"/>
              </w:rPr>
            </w:pPr>
            <w:r>
              <w:rPr>
                <w:b/>
                <w:color w:val="000000"/>
                <w:sz w:val="24"/>
                <w:szCs w:val="20"/>
                <w:shd w:fill="auto" w:val="clear"/>
                <w:lang w:val="ru-RU"/>
              </w:rPr>
            </w:r>
          </w:p>
          <w:p>
            <w:pPr>
              <w:pStyle w:val="Normal"/>
              <w:widowControl w:val="false"/>
              <w:rPr>
                <w:highlight w:val="none"/>
                <w:shd w:fill="auto" w:val="clear"/>
              </w:rPr>
            </w:pPr>
            <w:r>
              <w:rPr>
                <w:color w:val="000000"/>
                <w:sz w:val="24"/>
                <w:szCs w:val="20"/>
                <w:shd w:fill="auto" w:val="clear"/>
              </w:rPr>
              <w:t>Место нахождения: 655619, Республика Хакасия, г. Саяногорск, рп. Черемушки, стр. № 101</w:t>
            </w:r>
          </w:p>
          <w:p>
            <w:pPr>
              <w:pStyle w:val="Normal"/>
              <w:widowControl w:val="false"/>
              <w:rPr>
                <w:highlight w:val="none"/>
                <w:shd w:fill="auto" w:val="clear"/>
              </w:rPr>
            </w:pPr>
            <w:r>
              <w:rPr>
                <w:color w:val="000000"/>
                <w:sz w:val="24"/>
                <w:szCs w:val="20"/>
                <w:shd w:fill="auto" w:val="clear"/>
              </w:rPr>
              <w:t>Центральный филиал АО «ТК РусГидро»</w:t>
            </w:r>
          </w:p>
          <w:p>
            <w:pPr>
              <w:pStyle w:val="Normal"/>
              <w:widowControl w:val="false"/>
              <w:rPr>
                <w:highlight w:val="none"/>
                <w:shd w:fill="auto" w:val="clear"/>
              </w:rPr>
            </w:pPr>
            <w:r>
              <w:rPr>
                <w:color w:val="000000"/>
                <w:sz w:val="24"/>
                <w:szCs w:val="20"/>
                <w:shd w:fill="auto" w:val="clear"/>
              </w:rPr>
              <w:t xml:space="preserve">Адрес филиала: 141342, Российская Федерация, Московская область, Сергиево-Посадский городской округ, </w:t>
              <w:br/>
              <w:t>пгт. Богородское, д. 100.</w:t>
            </w:r>
          </w:p>
          <w:p>
            <w:pPr>
              <w:pStyle w:val="Normal"/>
              <w:widowControl w:val="false"/>
              <w:rPr>
                <w:highlight w:val="none"/>
                <w:shd w:fill="auto" w:val="clear"/>
              </w:rPr>
            </w:pPr>
            <w:r>
              <w:rPr>
                <w:color w:val="000000"/>
                <w:sz w:val="24"/>
                <w:szCs w:val="20"/>
                <w:shd w:fill="auto" w:val="clear"/>
              </w:rPr>
              <w:t xml:space="preserve">Почтовый адрес: 141342, Российская Федерация, Московская область, Сергиево-Посадский городской округ, </w:t>
              <w:br/>
              <w:t>пгт. Богородское, д. 100.</w:t>
            </w:r>
          </w:p>
          <w:p>
            <w:pPr>
              <w:pStyle w:val="Normal"/>
              <w:widowControl w:val="false"/>
              <w:rPr>
                <w:highlight w:val="none"/>
                <w:shd w:fill="auto" w:val="clear"/>
              </w:rPr>
            </w:pPr>
            <w:r>
              <w:rPr>
                <w:color w:val="000000"/>
                <w:sz w:val="24"/>
                <w:szCs w:val="20"/>
                <w:shd w:fill="auto" w:val="clear"/>
              </w:rPr>
              <w:t>Р/с 40702810940020015572</w:t>
            </w:r>
          </w:p>
          <w:p>
            <w:pPr>
              <w:pStyle w:val="Normal"/>
              <w:widowControl w:val="false"/>
              <w:rPr>
                <w:highlight w:val="none"/>
                <w:shd w:fill="auto" w:val="clear"/>
              </w:rPr>
            </w:pPr>
            <w:r>
              <w:rPr>
                <w:color w:val="000000"/>
                <w:sz w:val="24"/>
                <w:szCs w:val="20"/>
                <w:shd w:fill="auto" w:val="clear"/>
              </w:rPr>
              <w:t>в ПАО «Сбербанк России», г. Москва</w:t>
            </w:r>
          </w:p>
          <w:p>
            <w:pPr>
              <w:pStyle w:val="Normal"/>
              <w:widowControl w:val="false"/>
              <w:rPr>
                <w:highlight w:val="none"/>
                <w:shd w:fill="auto" w:val="clear"/>
              </w:rPr>
            </w:pPr>
            <w:r>
              <w:rPr>
                <w:color w:val="000000"/>
                <w:sz w:val="24"/>
                <w:szCs w:val="20"/>
                <w:shd w:fill="auto" w:val="clear"/>
              </w:rPr>
              <w:t>к/с 30101810400000000225</w:t>
            </w:r>
          </w:p>
          <w:p>
            <w:pPr>
              <w:pStyle w:val="Normal"/>
              <w:widowControl w:val="false"/>
              <w:rPr>
                <w:highlight w:val="none"/>
                <w:shd w:fill="auto" w:val="clear"/>
              </w:rPr>
            </w:pPr>
            <w:r>
              <w:rPr>
                <w:color w:val="000000"/>
                <w:sz w:val="24"/>
                <w:szCs w:val="20"/>
                <w:shd w:fill="auto" w:val="clear"/>
              </w:rPr>
              <w:t>БИК 044525225</w:t>
            </w:r>
          </w:p>
          <w:p>
            <w:pPr>
              <w:pStyle w:val="Normal"/>
              <w:widowControl w:val="false"/>
              <w:rPr>
                <w:highlight w:val="none"/>
                <w:shd w:fill="auto" w:val="clear"/>
              </w:rPr>
            </w:pPr>
            <w:r>
              <w:rPr>
                <w:color w:val="000000"/>
                <w:sz w:val="24"/>
                <w:szCs w:val="20"/>
                <w:shd w:fill="auto" w:val="clear"/>
              </w:rPr>
              <w:t>ИНН 1902018248</w:t>
            </w:r>
          </w:p>
          <w:p>
            <w:pPr>
              <w:pStyle w:val="Normal"/>
              <w:widowControl w:val="false"/>
              <w:rPr>
                <w:highlight w:val="none"/>
                <w:shd w:fill="auto" w:val="clear"/>
              </w:rPr>
            </w:pPr>
            <w:r>
              <w:rPr>
                <w:color w:val="000000"/>
                <w:sz w:val="24"/>
                <w:szCs w:val="20"/>
                <w:shd w:fill="auto" w:val="clear"/>
              </w:rPr>
              <w:t>КПП 504 243 001</w:t>
            </w:r>
          </w:p>
          <w:p>
            <w:pPr>
              <w:pStyle w:val="Normal"/>
              <w:widowControl w:val="false"/>
              <w:rPr>
                <w:highlight w:val="none"/>
                <w:shd w:fill="auto" w:val="clear"/>
              </w:rPr>
            </w:pPr>
            <w:r>
              <w:rPr>
                <w:color w:val="000000"/>
                <w:sz w:val="24"/>
                <w:szCs w:val="20"/>
                <w:shd w:fill="auto" w:val="clear"/>
              </w:rPr>
              <w:t>ОГРН 1031900676356</w:t>
            </w:r>
          </w:p>
          <w:p>
            <w:pPr>
              <w:pStyle w:val="Normal"/>
              <w:widowControl w:val="false"/>
              <w:rPr>
                <w:sz w:val="24"/>
                <w:szCs w:val="24"/>
                <w:highlight w:val="none"/>
                <w:shd w:fill="auto" w:val="clear"/>
              </w:rPr>
            </w:pPr>
            <w:r>
              <w:rPr>
                <w:sz w:val="24"/>
                <w:szCs w:val="24"/>
                <w:shd w:fill="auto" w:val="clear"/>
              </w:rPr>
              <w:t xml:space="preserve">Телефон: 8 (496) 545 31 62 </w:t>
            </w:r>
          </w:p>
        </w:tc>
        <w:tc>
          <w:tcPr>
            <w:tcW w:w="5075" w:type="dxa"/>
            <w:gridSpan w:val="2"/>
            <w:tcBorders/>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Место нахождения:</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
              <w:t>Почтовый адрес:</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ОГРН ___________________________</w:t>
            </w:r>
          </w:p>
          <w:p>
            <w:pPr>
              <w:pStyle w:val="Normal"/>
              <w:widowControl w:val="false"/>
              <w:rPr>
                <w:highlight w:val="none"/>
                <w:shd w:fill="auto" w:val="clear"/>
              </w:rPr>
            </w:pPr>
            <w:r>
              <w:rPr>
                <w:sz w:val="24"/>
                <w:szCs w:val="24"/>
                <w:shd w:fill="auto" w:val="clear"/>
              </w:rPr>
              <w:t>ИНН ____________ / КПП___________</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расчетного счета)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(наименование банка, в котором</w:t>
            </w:r>
          </w:p>
          <w:p>
            <w:pPr>
              <w:pStyle w:val="Normal"/>
              <w:widowControl w:val="false"/>
              <w:rPr>
                <w:highlight w:val="none"/>
                <w:shd w:fill="auto" w:val="clear"/>
              </w:rPr>
            </w:pPr>
            <w:r>
              <w:rPr>
                <w:sz w:val="24"/>
                <w:szCs w:val="24"/>
                <w:shd w:fill="auto" w:val="clear"/>
              </w:rPr>
              <w:t>открыт расчетный счет)</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корреспондентского счета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(БИК банка)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телефона)</w:t>
            </w:r>
          </w:p>
          <w:p>
            <w:pPr>
              <w:pStyle w:val="Normal"/>
              <w:widowControl w:val="false"/>
              <w:rPr>
                <w:highlight w:val="none"/>
                <w:shd w:fill="auto" w:val="clear"/>
              </w:rPr>
            </w:pPr>
            <w:r>
              <w:rPr>
                <w:sz w:val="24"/>
                <w:szCs w:val="24"/>
                <w:shd w:fill="auto" w:val="clear"/>
              </w:rPr>
              <w:t>_________________________________</w:t>
            </w:r>
          </w:p>
          <w:p>
            <w:pPr>
              <w:pStyle w:val="Normal"/>
              <w:widowControl w:val="false"/>
              <w:rPr>
                <w:highlight w:val="none"/>
                <w:shd w:fill="auto" w:val="clear"/>
              </w:rPr>
            </w:pPr>
            <w:r>
              <w:rPr>
                <w:sz w:val="24"/>
                <w:szCs w:val="24"/>
                <w:shd w:fill="auto" w:val="clear"/>
              </w:rPr>
              <w:t>(номер факса)</w:t>
            </w:r>
          </w:p>
          <w:p>
            <w:pPr>
              <w:pStyle w:val="Normal"/>
              <w:widowControl w:val="false"/>
              <w:rPr>
                <w:sz w:val="24"/>
                <w:szCs w:val="24"/>
                <w:highlight w:val="none"/>
                <w:shd w:fill="auto" w:val="clear"/>
              </w:rPr>
            </w:pPr>
            <w:r>
              <w:rPr>
                <w:sz w:val="24"/>
                <w:szCs w:val="24"/>
                <w:shd w:fill="auto" w:val="clear"/>
              </w:rPr>
            </w:r>
          </w:p>
        </w:tc>
      </w:tr>
      <w:tr>
        <w:trPr>
          <w:trHeight w:val="771" w:hRule="atLeast"/>
        </w:trPr>
        <w:tc>
          <w:tcPr>
            <w:tcW w:w="4779"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5"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VBand="1" w:noHBand="0" w:lastColumn="0" w:firstColumn="1" w:lastRow="0" w:firstRow="1"/>
      </w:tblPr>
      <w:tblGrid>
        <w:gridCol w:w="453"/>
        <w:gridCol w:w="391"/>
        <w:gridCol w:w="602"/>
        <w:gridCol w:w="610"/>
        <w:gridCol w:w="613"/>
        <w:gridCol w:w="774"/>
        <w:gridCol w:w="726"/>
        <w:gridCol w:w="624"/>
        <w:gridCol w:w="731"/>
        <w:gridCol w:w="691"/>
        <w:gridCol w:w="515"/>
        <w:gridCol w:w="647"/>
        <w:gridCol w:w="551"/>
        <w:gridCol w:w="515"/>
        <w:gridCol w:w="716"/>
        <w:gridCol w:w="475"/>
      </w:tblGrid>
      <w:tr>
        <w:trPr>
          <w:trHeight w:val="526" w:hRule="atLeast"/>
        </w:trPr>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3"/>
            </w:r>
          </w:p>
        </w:tc>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4"/>
            </w:r>
          </w:p>
          <w:p>
            <w:pPr>
              <w:pStyle w:val="Normal"/>
              <w:widowControl w:val="false"/>
              <w:jc w:val="center"/>
              <w:rPr>
                <w:bCs/>
              </w:rPr>
            </w:pPr>
            <w:r>
              <w:rPr>
                <w:bCs/>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suppressAutoHyphens w:val="true"/>
        <w:ind w:left="5103" w:right="96" w:firstLine="5103"/>
        <w:rPr>
          <w:sz w:val="22"/>
          <w:szCs w:val="22"/>
        </w:rPr>
      </w:pPr>
      <w:r>
        <w:rPr>
          <w:sz w:val="22"/>
          <w:szCs w:val="22"/>
        </w:rPr>
        <w:br/>
        <w:t>Приложение № 3</w:t>
      </w:r>
    </w:p>
    <w:p>
      <w:pPr>
        <w:pStyle w:val="Normal"/>
        <w:suppressAutoHyphens w:val="true"/>
        <w:ind w:right="96" w:firstLine="5103"/>
        <w:rPr>
          <w:sz w:val="22"/>
          <w:szCs w:val="22"/>
        </w:rPr>
      </w:pPr>
      <w:r>
        <w:rPr>
          <w:sz w:val="22"/>
          <w:szCs w:val="22"/>
        </w:rPr>
        <w:t>к Договору поставки</w:t>
      </w:r>
    </w:p>
    <w:p>
      <w:pPr>
        <w:pStyle w:val="Normal"/>
        <w:suppressAutoHyphens w:val="true"/>
        <w:ind w:right="96" w:firstLine="5103"/>
        <w:rPr>
          <w:sz w:val="22"/>
          <w:szCs w:val="22"/>
        </w:rPr>
      </w:pPr>
      <w:r>
        <w:rPr>
          <w:sz w:val="22"/>
          <w:szCs w:val="22"/>
        </w:rPr>
        <w:t>от «____» __________ 20 _ г. № ____</w:t>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991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706"/>
        <w:gridCol w:w="1835"/>
        <w:gridCol w:w="1848"/>
        <w:gridCol w:w="1843"/>
        <w:gridCol w:w="1139"/>
        <w:gridCol w:w="1196"/>
        <w:gridCol w:w="1350"/>
      </w:tblGrid>
      <w:tr>
        <w:trPr>
          <w:trHeight w:val="1150"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 xml:space="preserve">партии </w:t>
            </w:r>
          </w:p>
        </w:tc>
        <w:tc>
          <w:tcPr>
            <w:tcW w:w="18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Товара (партии Товара)</w:t>
            </w:r>
          </w:p>
        </w:tc>
        <w:tc>
          <w:tcPr>
            <w:tcW w:w="18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Обоснование стоимости, пункт Спецификации </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поставки Товара</w:t>
            </w:r>
          </w:p>
          <w:p>
            <w:pPr>
              <w:pStyle w:val="Normal"/>
              <w:widowControl w:val="false"/>
              <w:jc w:val="center"/>
              <w:rPr/>
            </w:pPr>
            <w:r>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Цена, руб. без НДС</w:t>
            </w:r>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 (___%), руб.</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Стоимость партии, руб. с НДС</w:t>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suppressAutoHyphens w:val="true"/>
        <w:rPr>
          <w:b/>
          <w:sz w:val="24"/>
          <w:szCs w:val="24"/>
        </w:rPr>
      </w:pPr>
      <w:r>
        <w:rPr>
          <w:b/>
          <w:sz w:val="24"/>
          <w:szCs w:val="24"/>
        </w:rPr>
      </w:r>
    </w:p>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5103"/>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p>
    <w:p>
      <w:pPr>
        <w:pStyle w:val="Normal"/>
        <w:pageBreakBefore w:val="false"/>
        <w:suppressAutoHyphens w:val="true"/>
        <w:ind w:right="96" w:firstLine="5103"/>
        <w:rPr/>
      </w:pPr>
      <w:r>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5"/>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6"/>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 xml:space="preserve">«Об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w:t>
        <w:br/>
        <w:t>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Иметь собственные средства (капитал) в размере не менее 30 млрд. рублей </w:t>
        <w:br/>
        <w:t xml:space="preserve">на 1 января текущего календарного года, опубликованного на официальном сайте ЦБ РФ </w:t>
        <w:br/>
        <w:t>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xml:space="preserve">»)» (далее – Методика </w:t>
        <w:br/>
        <w:t>ЦБ РФ) или иным документом, его заменяющим (в случае изменения или отмены указанного Положения).</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7"/>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8"/>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9"/>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1"/>
        <w:gridCol w:w="8508"/>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1"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8"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20"/>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1"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8"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 xml:space="preserve">-ой кредитной организации на 01 января текущего календарного года, опубликованный на официальном сайте ЦБ РФ </w:t>
              <w:br/>
              <w:t>в информационно-телекоммуникационной сети «Интернет» (</w:t>
            </w:r>
            <w:hyperlink r:id="rId12">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xml:space="preserve">) </w:t>
              <w:br/>
              <w:t>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1" w:type="dxa"/>
            <w:tcBorders/>
          </w:tcPr>
          <w:p>
            <w:pPr>
              <w:pStyle w:val="Normal"/>
              <w:widowControl w:val="false"/>
              <w:ind w:right="-108" w:hanging="0"/>
              <w:jc w:val="both"/>
              <w:rPr>
                <w:sz w:val="24"/>
                <w:szCs w:val="24"/>
                <w:lang w:val="en-GB"/>
              </w:rPr>
            </w:pPr>
            <w:r>
              <w:rPr>
                <w:sz w:val="24"/>
                <w:szCs w:val="24"/>
                <w:lang w:val="en-GB"/>
              </w:rPr>
              <w:t>-</w:t>
            </w:r>
          </w:p>
        </w:tc>
        <w:tc>
          <w:tcPr>
            <w:tcW w:w="8508"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21"/>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r>
        <w:br w:type="page"/>
      </w:r>
    </w:p>
    <w:p>
      <w:pPr>
        <w:pStyle w:val="Normal"/>
        <w:suppressAutoHyphens w:val="true"/>
        <w:ind w:firstLine="6237"/>
        <w:rPr>
          <w:sz w:val="24"/>
          <w:szCs w:val="24"/>
        </w:rPr>
      </w:pPr>
      <w:r>
        <w:rPr>
          <w:sz w:val="24"/>
          <w:szCs w:val="24"/>
        </w:rPr>
        <w:t>Приложение № 5</w:t>
      </w:r>
    </w:p>
    <w:p>
      <w:pPr>
        <w:pStyle w:val="Normal"/>
        <w:suppressAutoHyphens w:val="true"/>
        <w:ind w:firstLine="6237"/>
        <w:rPr>
          <w:sz w:val="24"/>
          <w:szCs w:val="24"/>
        </w:rPr>
      </w:pPr>
      <w:r>
        <w:rPr>
          <w:sz w:val="24"/>
          <w:szCs w:val="24"/>
        </w:rPr>
        <w:t>к Договору поставки</w:t>
      </w:r>
    </w:p>
    <w:p>
      <w:pPr>
        <w:pStyle w:val="Normal"/>
        <w:ind w:firstLine="6237"/>
        <w:rPr>
          <w:bCs/>
          <w:sz w:val="24"/>
          <w:szCs w:val="24"/>
        </w:rPr>
      </w:pPr>
      <w:r>
        <w:rPr>
          <w:sz w:val="24"/>
          <w:szCs w:val="24"/>
        </w:rPr>
        <w:t xml:space="preserve">от «____» ________20 _ г. № </w:t>
      </w:r>
    </w:p>
    <w:p>
      <w:pPr>
        <w:pStyle w:val="Normal"/>
        <w:widowControl/>
        <w:shd w:val="clear" w:color="auto" w:fill="FFFFFF"/>
        <w:tabs>
          <w:tab w:val="clear" w:pos="709"/>
          <w:tab w:val="left" w:pos="1418" w:leader="none"/>
        </w:tabs>
        <w:spacing w:before="0" w:after="0"/>
        <w:ind w:firstLine="6237"/>
        <w:contextualSpacing/>
        <w:jc w:val="center"/>
        <w:rPr>
          <w:bCs/>
          <w:sz w:val="24"/>
          <w:szCs w:val="24"/>
        </w:rPr>
      </w:pPr>
      <w:r>
        <w:rPr>
          <w:bCs/>
          <w:sz w:val="24"/>
          <w:szCs w:val="24"/>
        </w:rPr>
      </w:r>
    </w:p>
    <w:p>
      <w:pPr>
        <w:pStyle w:val="Normal"/>
        <w:widowControl/>
        <w:suppressAutoHyphens w:val="true"/>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rPr>
          <w:b/>
          <w:bCs/>
          <w:sz w:val="24"/>
          <w:szCs w:val="24"/>
        </w:rPr>
      </w:pPr>
      <w:r>
        <w:rPr/>
      </w:r>
    </w:p>
    <w:sectPr>
      <w:headerReference w:type="default" r:id="rId13"/>
      <w:headerReference w:type="first" r:id="rId14"/>
      <w:footerReference w:type="default" r:id="rId15"/>
      <w:footerReference w:type="first" r:id="rId16"/>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28</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проекта Договора).</w:t>
      </w:r>
    </w:p>
  </w:footnote>
  <w:footnote w:id="4">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5">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6">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8">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9">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0">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1">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4">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5">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16">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17">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8">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9">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0">
    <w:p>
      <w:pPr>
        <w:pStyle w:val="FootnoteText"/>
        <w:jc w:val="both"/>
        <w:rPr/>
      </w:pPr>
      <w:r>
        <w:rPr>
          <w:rStyle w:val="Style14"/>
        </w:rPr>
        <w:footnoteRef/>
      </w:r>
      <w:r>
        <w:rPr>
          <w:lang w:eastAsia="x-none"/>
        </w:rPr>
        <w:t xml:space="preserve"> </w:t>
      </w:r>
      <w:r>
        <w:rPr>
          <w:lang w:eastAsia="x-none"/>
        </w:rPr>
        <w:t xml:space="preserve">Значение показателя округляется в большую или меньшую сторону до суммы, кратной 100 млн. руб. </w:t>
        <w:br/>
        <w:t>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21">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/или рейтинговых агентств и/или </w:t>
        <w:br/>
        <w:t xml:space="preserve">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b w:val="false"/>
        <w:bCs w:val="false"/>
        <w:sz w:val="20"/>
        <w:szCs w:val="20"/>
      </w:rPr>
      <w:t>Приложение №2 к документации по запросу котировок</w:t>
    </w:r>
  </w:p>
  <w:p>
    <w:pPr>
      <w:pStyle w:val="Normal"/>
      <w:jc w:val="right"/>
      <w:rPr/>
    </w:pPr>
    <w:bookmarkStart w:id="14" w:name="_GoBack_Копия_1_Копия_1_Копия_1"/>
    <w:bookmarkStart w:id="15" w:name="_GoBack_Копия_1_Копия_1"/>
    <w:bookmarkEnd w:id="14"/>
    <w:bookmarkEnd w:id="15"/>
    <w:r>
      <w:rPr>
        <w:b w:val="false"/>
        <w:bCs w:val="false"/>
        <w:sz w:val="20"/>
        <w:szCs w:val="20"/>
        <w:lang w:val="ru-RU"/>
      </w:rPr>
      <w:t xml:space="preserve">в электронной форме лот № </w:t>
    </w:r>
    <w:r>
      <w:rPr>
        <w:rFonts w:eastAsia="Times New Roman" w:cs="Times New Roman"/>
        <w:b w:val="false"/>
        <w:bCs w:val="false"/>
        <w:color w:val="auto"/>
        <w:kern w:val="0"/>
        <w:sz w:val="20"/>
        <w:szCs w:val="20"/>
        <w:lang w:val="ru-RU" w:eastAsia="ru-RU" w:bidi="ar-SA"/>
      </w:rPr>
      <w:t>7163-ТПИР ОНМ-2026-ТК_Центр_фил</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cbr.ru/" TargetMode="Externa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Relationship Id="rId23" Type="http://schemas.openxmlformats.org/officeDocument/2006/relationships/customXml" Target="../customXml/item2.xml"/><Relationship Id="rId24" Type="http://schemas.openxmlformats.org/officeDocument/2006/relationships/customXml" Target="../customXml/item3.xml"/><Relationship Id="rId25"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70CD4F-2764-4595-AB6F-4B36397AE6DF}">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Application>AlterOffice/3.4.0.9$Linux_X86_64 LibreOffice_project/b8daf9e823b1a5463a2f48435ddc2e8696e7d4fc</Application>
  <AppVersion>15.0000</AppVersion>
  <Pages>28</Pages>
  <Words>9567</Words>
  <Characters>68055</Characters>
  <CharactersWithSpaces>77246</CharactersWithSpaces>
  <Paragraphs>458</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petrovai@corp.gidroogk.com</cp:lastModifiedBy>
  <cp:lastPrinted>2018-05-22T09:46:00Z</cp:lastPrinted>
  <dcterms:modified xsi:type="dcterms:W3CDTF">2026-08-17T13:22:26Z</dcterms:modified>
  <cp:revision>22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