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УТВЕРЖДАЮ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Директор Центрального филиала 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АО «ТК РусГидро»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________________М.В. Нешев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right"/>
        <w:rPr>
          <w:b/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>«____»________________2026 г.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b/>
          <w:sz w:val="24"/>
          <w:szCs w:val="24"/>
        </w:rPr>
      </w:pPr>
      <w:bookmarkStart w:id="0" w:name="_Toc124336829"/>
      <w:r>
        <w:rPr>
          <w:b/>
          <w:sz w:val="24"/>
          <w:szCs w:val="24"/>
        </w:rPr>
        <w:t>ТЕХНИЧЕСКИЕ ТРЕБОВАНИЯ</w:t>
      </w:r>
      <w:bookmarkEnd w:id="0"/>
      <w:r>
        <w:rPr>
          <w:b/>
          <w:sz w:val="24"/>
          <w:szCs w:val="24"/>
        </w:rPr>
        <w:t xml:space="preserve"> НА ПОСТАВКУ МТР</w:t>
      </w:r>
      <w:r>
        <w:rPr>
          <w:rFonts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  <w:tab/>
      </w:r>
    </w:p>
    <w:p>
      <w:pPr>
        <w:pStyle w:val="Normal"/>
        <w:widowControl/>
        <w:suppressAutoHyphens w:val="true"/>
        <w:bidi w:val="0"/>
        <w:spacing w:before="0" w:after="0"/>
        <w:ind w:left="0" w:right="-227" w:hanging="0"/>
        <w:jc w:val="center"/>
        <w:rPr>
          <w:rFonts w:eastAsia="Calibri"/>
          <w:b/>
          <w:sz w:val="24"/>
          <w:szCs w:val="24"/>
        </w:rPr>
      </w:pPr>
      <w:r>
        <w:rPr>
          <w:rFonts w:eastAsia="Calibri" w:cs="Times New Roman"/>
          <w:b/>
          <w:color w:val="auto"/>
          <w:kern w:val="0"/>
          <w:sz w:val="24"/>
          <w:szCs w:val="24"/>
          <w:lang w:val="ru-RU" w:eastAsia="ru-RU" w:bidi="ar-SA"/>
        </w:rPr>
        <w:t>ОКПД2 29.10.22.000 Поставка легкового автомобиля бизнес-класса повышенной проходимости для нужд Нижегородского транспортного участка Центрального филиала АО «ТК РусГидро»</w:t>
      </w:r>
    </w:p>
    <w:p>
      <w:pPr>
        <w:pStyle w:val="Normal"/>
        <w:jc w:val="center"/>
        <w:rPr>
          <w:rStyle w:val="Style8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/>
          <w:b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/>
          <w:b/>
          <w:color w:val="auto"/>
          <w:kern w:val="0"/>
          <w:sz w:val="24"/>
          <w:szCs w:val="24"/>
          <w:lang w:val="ru-RU" w:eastAsia="ru-RU" w:bidi="ar-SA"/>
        </w:rPr>
        <w:t>7218-ТПИР ОНМ-2026-ТК_Центр_фил</w:t>
      </w:r>
    </w:p>
    <w:p>
      <w:pPr>
        <w:pStyle w:val="Normal"/>
        <w:keepNext w:val="true"/>
        <w:keepLines/>
        <w:jc w:val="both"/>
        <w:rPr>
          <w:rFonts w:ascii="Times New Roman" w:hAnsi="Times New Roman" w:eastAsia="Calibri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/>
          <w:b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50225_2708347841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50227_2708347841">
            <w:r>
              <w:rPr>
                <w:webHidden/>
                <w:rStyle w:val="Style14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50229_2708347841">
            <w:r>
              <w:rPr>
                <w:webHidden/>
                <w:rStyle w:val="Style14"/>
                <w:vanish w:val="false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50231_2708347841">
            <w:r>
              <w:rPr>
                <w:webHidden/>
                <w:rStyle w:val="Style14"/>
                <w:vanish w:val="false"/>
              </w:rPr>
              <w:t>1.3.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50233_2708347841">
            <w:r>
              <w:rPr>
                <w:webHidden/>
                <w:rStyle w:val="Style14"/>
                <w:vanish w:val="false"/>
              </w:rPr>
              <w:t>2.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50235_2708347841">
            <w:r>
              <w:rPr>
                <w:webHidden/>
                <w:rStyle w:val="Style14"/>
                <w:vanish w:val="false"/>
              </w:rPr>
              <w:t xml:space="preserve"> </w:t>
            </w:r>
            <w:r>
              <w:rPr>
                <w:rStyle w:val="Style14"/>
              </w:rPr>
              <w:t>2.1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50237_2708347841">
            <w:r>
              <w:rPr>
                <w:webHidden/>
                <w:rStyle w:val="Style14"/>
                <w:vanish w:val="false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50239_2708347841">
            <w:r>
              <w:rPr>
                <w:webHidden/>
                <w:rStyle w:val="Style14"/>
                <w:vanish w:val="false"/>
              </w:rPr>
              <w:t>Таблица 1.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50241_2708347841">
            <w:r>
              <w:rPr>
                <w:webHidden/>
                <w:rStyle w:val="Style14"/>
                <w:vanish w:val="false"/>
              </w:rPr>
              <w:t>2.1.2. Требования к срокам поставки продукции.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50243_2708347841">
            <w:r>
              <w:rPr>
                <w:webHidden/>
                <w:rStyle w:val="Style14"/>
                <w:vanish w:val="false"/>
              </w:rPr>
              <w:t>Таблица 2. Требования по срокам поставки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50245_2708347841">
            <w:r>
              <w:rPr>
                <w:webHidden/>
                <w:rStyle w:val="Style14"/>
                <w:vanish w:val="false"/>
              </w:rPr>
              <w:t>2.2. Требования к качеству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50249_2708347841">
            <w:r>
              <w:rPr>
                <w:webHidden/>
                <w:rStyle w:val="Style14"/>
                <w:vanish w:val="false"/>
              </w:rPr>
              <w:t xml:space="preserve"> </w:t>
            </w:r>
            <w:r>
              <w:rPr>
                <w:rStyle w:val="Style14"/>
              </w:rPr>
              <w:t xml:space="preserve">Таблица 3. Требования к качеству продукции Наименование услуг/этапа услуг (позиция № 1 Таблицы 1.): </w:t>
            </w:r>
            <w:r>
              <w:rPr>
                <w:rStyle w:val="Style14"/>
                <w:i w:val="false"/>
                <w:iCs w:val="false"/>
              </w:rPr>
              <w:t>ОКПД2 29.10.22.000 Поставка легкового автомобиля бизнес-класса повышенной проходимости для нужд Нижегородского транспортного участка Центрального филиала АО «ТК РусГидро»</w:t>
            </w:r>
            <w:r>
              <w:rPr>
                <w:rStyle w:val="Style14"/>
              </w:rPr>
              <w:tab/>
              <w:t>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50255_2708347841">
            <w:r>
              <w:rPr>
                <w:webHidden/>
                <w:rStyle w:val="Style14"/>
                <w:vanish w:val="false"/>
              </w:rPr>
              <w:t>3.Требования к документации по ценообразованию на этапе закупки</w:t>
              <w:tab/>
              <w:t>12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0600_2252160145">
            <w:r>
              <w:rPr>
                <w:webHidden/>
                <w:rStyle w:val="Style14"/>
                <w:vanish w:val="false"/>
              </w:rPr>
              <w:t>4.  Приложения:</w:t>
              <w:tab/>
              <w:t>13</w:t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1"/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851" w:hanging="851"/>
        <w:rPr>
          <w:caps/>
        </w:rPr>
      </w:pPr>
      <w:bookmarkStart w:id="1" w:name="__RefHeading___Toc50225_2708347841"/>
      <w:bookmarkStart w:id="2" w:name="_Toc51339692"/>
      <w:bookmarkStart w:id="3" w:name="_Toc146782761"/>
      <w:bookmarkEnd w:id="1"/>
      <w:r>
        <w:rPr/>
        <w:t>Общие сведения</w:t>
      </w:r>
      <w:bookmarkEnd w:id="2"/>
      <w:bookmarkEnd w:id="3"/>
    </w:p>
    <w:p>
      <w:pPr>
        <w:pStyle w:val="Heading4"/>
        <w:numPr>
          <w:ilvl w:val="1"/>
          <w:numId w:val="3"/>
        </w:numPr>
        <w:ind w:left="851" w:hanging="851"/>
        <w:rPr/>
      </w:pPr>
      <w:bookmarkStart w:id="4" w:name="__RefHeading___Toc50227_2708347841"/>
      <w:bookmarkStart w:id="5" w:name="_Toc146782762"/>
      <w:bookmarkStart w:id="6" w:name="_Toc46743505"/>
      <w:bookmarkEnd w:id="4"/>
      <w:r>
        <w:rPr/>
        <w:t>Обозначения и сокращения</w:t>
      </w:r>
      <w:bookmarkEnd w:id="5"/>
      <w:bookmarkEnd w:id="6"/>
    </w:p>
    <w:p>
      <w:pPr>
        <w:pStyle w:val="Normal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tbl>
      <w:tblPr>
        <w:tblW w:w="98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838"/>
        <w:gridCol w:w="8011"/>
      </w:tblGrid>
      <w:tr>
        <w:trPr>
          <w:trHeight w:val="358" w:hRule="atLeast"/>
          <w:cantSplit w:val="true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АО «ТК РусГидро»</w:t>
            </w:r>
          </w:p>
        </w:tc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Акционерное общество «Транспортная компания РусГидро»</w:t>
            </w:r>
          </w:p>
        </w:tc>
      </w:tr>
      <w:tr>
        <w:trPr>
          <w:cantSplit w:val="true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ПТС</w:t>
            </w:r>
          </w:p>
        </w:tc>
        <w:tc>
          <w:tcPr>
            <w:tcW w:w="8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Паспорт транспортного средства</w:t>
            </w:r>
          </w:p>
        </w:tc>
      </w:tr>
      <w:tr>
        <w:trPr>
          <w:cantSplit w:val="true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ЭПТС</w:t>
            </w:r>
          </w:p>
        </w:tc>
        <w:tc>
          <w:tcPr>
            <w:tcW w:w="8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Электронный паспорт транспортного средства</w:t>
            </w:r>
          </w:p>
        </w:tc>
      </w:tr>
      <w:tr>
        <w:trPr>
          <w:cantSplit w:val="true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ТС</w:t>
            </w:r>
          </w:p>
        </w:tc>
        <w:tc>
          <w:tcPr>
            <w:tcW w:w="8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ОТТС</w:t>
            </w:r>
          </w:p>
        </w:tc>
        <w:tc>
          <w:tcPr>
            <w:tcW w:w="8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Одобрение типа транспортного средства</w:t>
            </w:r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851" w:hanging="851"/>
        <w:rPr/>
      </w:pPr>
      <w:bookmarkStart w:id="7" w:name="__RefHeading___Toc50229_2708347841"/>
      <w:bookmarkStart w:id="8" w:name="_Toc146782763"/>
      <w:bookmarkEnd w:id="7"/>
      <w:r>
        <w:rPr/>
        <w:t>Наименование закупаемой продукции</w:t>
      </w:r>
      <w:bookmarkEnd w:id="8"/>
    </w:p>
    <w:p>
      <w:pPr>
        <w:pStyle w:val="Normal"/>
        <w:jc w:val="both"/>
        <w:rPr>
          <w:rStyle w:val="Style8"/>
          <w:b w:val="false"/>
          <w:bCs/>
          <w:sz w:val="24"/>
          <w:szCs w:val="24"/>
        </w:rPr>
      </w:pPr>
      <w:r>
        <w:rPr>
          <w:rFonts w:eastAsia="Calibri"/>
          <w:sz w:val="24"/>
          <w:szCs w:val="24"/>
        </w:rPr>
        <w:t>ОКПД2 29.10.22.000 Поставка легкового автомобиля бизнес-класса повышенной проходимости для нужд Нижегородского транспортного участка Центрального филиала АО «ТК РусГидро»</w:t>
      </w:r>
    </w:p>
    <w:p>
      <w:pPr>
        <w:pStyle w:val="Heading4"/>
        <w:numPr>
          <w:ilvl w:val="1"/>
          <w:numId w:val="3"/>
        </w:numPr>
        <w:ind w:left="851" w:hanging="851"/>
        <w:rPr/>
      </w:pPr>
      <w:bookmarkStart w:id="9" w:name="__RefHeading___Toc50231_2708347841"/>
      <w:bookmarkStart w:id="10" w:name="_Toc146782764"/>
      <w:bookmarkStart w:id="11" w:name="_Toc46743507"/>
      <w:bookmarkEnd w:id="9"/>
      <w:r>
        <w:rPr/>
        <w:t xml:space="preserve">Цель </w:t>
      </w:r>
      <w:bookmarkEnd w:id="11"/>
      <w:r>
        <w:rPr/>
        <w:t>использования закупаемой продукции</w:t>
      </w:r>
      <w:bookmarkEnd w:id="10"/>
      <w:r>
        <w:rPr/>
        <w:t xml:space="preserve"> 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highlight w:val="none"/>
          <w:shd w:fill="auto" w:val="clear"/>
        </w:rPr>
      </w:pPr>
      <w:r>
        <w:rPr>
          <w:rFonts w:eastAsia="Calibri"/>
          <w:sz w:val="24"/>
          <w:szCs w:val="24"/>
          <w:shd w:fill="auto" w:val="clear"/>
        </w:rPr>
        <w:t xml:space="preserve">Обеспечение  директора филиалов ПАО «РусГидро» «Нижегородская ГЭС» и «Чебоксарская ГЭС» персональным транспортным средством. </w:t>
      </w:r>
    </w:p>
    <w:p>
      <w:pPr>
        <w:pStyle w:val="Heading1"/>
        <w:numPr>
          <w:ilvl w:val="0"/>
          <w:numId w:val="3"/>
        </w:numPr>
        <w:ind w:left="0" w:hanging="0"/>
        <w:rPr/>
      </w:pPr>
      <w:bookmarkStart w:id="12" w:name="__RefHeading___Toc50233_2708347841"/>
      <w:bookmarkStart w:id="13" w:name="_Toc146782765"/>
      <w:bookmarkStart w:id="14" w:name="_Toc51339693"/>
      <w:bookmarkStart w:id="15" w:name="_Toc124170681"/>
      <w:bookmarkEnd w:id="12"/>
      <w:r>
        <w:rPr/>
        <w:t>Требования к продукции</w:t>
      </w:r>
      <w:bookmarkEnd w:id="13"/>
      <w:bookmarkEnd w:id="14"/>
      <w:bookmarkEnd w:id="15"/>
    </w:p>
    <w:p>
      <w:pPr>
        <w:pStyle w:val="Heading4"/>
        <w:tabs>
          <w:tab w:val="clear" w:pos="0"/>
          <w:tab w:val="left" w:pos="851" w:leader="none"/>
        </w:tabs>
        <w:ind w:left="-425" w:hanging="0"/>
        <w:rPr/>
      </w:pPr>
      <w:bookmarkStart w:id="16" w:name="__RefHeading___Toc50235_2708347841"/>
      <w:bookmarkEnd w:id="16"/>
      <w:r>
        <w:rPr>
          <w:lang w:val="ru-RU"/>
        </w:rPr>
        <w:t xml:space="preserve">        </w:t>
      </w:r>
      <w:bookmarkStart w:id="17" w:name="_Toc146782766"/>
      <w:r>
        <w:rPr>
          <w:lang w:val="ru-RU"/>
        </w:rPr>
        <w:t xml:space="preserve">2.1      </w:t>
      </w:r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7"/>
    </w:p>
    <w:p>
      <w:pPr>
        <w:pStyle w:val="Heading3"/>
        <w:numPr>
          <w:ilvl w:val="2"/>
          <w:numId w:val="3"/>
        </w:numPr>
        <w:ind w:left="851" w:hanging="851"/>
        <w:rPr/>
      </w:pPr>
      <w:bookmarkStart w:id="18" w:name="__RefHeading___Toc50237_2708347841"/>
      <w:bookmarkStart w:id="19" w:name="_Toc146782767"/>
      <w:bookmarkEnd w:id="18"/>
      <w:r>
        <w:rPr/>
        <w:t>Перечень и объем закупаемой продукции</w:t>
      </w:r>
      <w:bookmarkEnd w:id="19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20" w:name="__RefHeading___Toc50239_2708347841"/>
      <w:bookmarkStart w:id="21" w:name="_Toc146782768"/>
      <w:bookmarkStart w:id="22" w:name="_Toc51339695"/>
      <w:bookmarkEnd w:id="20"/>
      <w:r>
        <w:rPr>
          <w:sz w:val="24"/>
          <w:szCs w:val="24"/>
        </w:rPr>
        <w:t xml:space="preserve">Таблица 1. Перечень </w:t>
      </w:r>
      <w:bookmarkEnd w:id="22"/>
      <w:r>
        <w:rPr>
          <w:sz w:val="24"/>
          <w:szCs w:val="24"/>
        </w:rPr>
        <w:t>и объем закупаемой продукции</w:t>
      </w:r>
      <w:bookmarkEnd w:id="21"/>
    </w:p>
    <w:tbl>
      <w:tblPr>
        <w:tblW w:w="1015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46"/>
        <w:gridCol w:w="2989"/>
        <w:gridCol w:w="3855"/>
        <w:gridCol w:w="1410"/>
        <w:gridCol w:w="1150"/>
      </w:tblGrid>
      <w:tr>
        <w:trPr>
          <w:tblHeader w:val="true"/>
          <w:trHeight w:val="675" w:hRule="atLeast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Тип, марка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>
        <w:trPr>
          <w:trHeight w:val="341" w:hRule="atLeast"/>
        </w:trPr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5</w:t>
            </w:r>
          </w:p>
        </w:tc>
      </w:tr>
      <w:tr>
        <w:trPr>
          <w:trHeight w:val="341" w:hRule="atLeast"/>
        </w:trPr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Автомобиль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Style w:val="Style8"/>
                <w:b w:val="false"/>
                <w:bCs/>
                <w:sz w:val="24"/>
                <w:szCs w:val="24"/>
              </w:rPr>
            </w:pPr>
            <w:r>
              <w:rPr>
                <w:rFonts w:eastAsia="Calibri" w:cs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Легковой автомобиль бизнес-класса повышенной проходимости.  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</w:t>
            </w: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1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3"/>
        </w:numPr>
        <w:ind w:left="851" w:hanging="851"/>
        <w:rPr/>
      </w:pPr>
      <w:bookmarkStart w:id="23" w:name="__RefHeading___Toc50241_2708347841"/>
      <w:bookmarkStart w:id="24" w:name="_Toc146782769"/>
      <w:bookmarkStart w:id="25" w:name="_Toc51339696"/>
      <w:bookmarkEnd w:id="23"/>
      <w:r>
        <w:rPr/>
        <w:t xml:space="preserve">Требования </w:t>
      </w:r>
      <w:bookmarkEnd w:id="25"/>
      <w:r>
        <w:rPr/>
        <w:t>к срокам поставки продукции</w:t>
      </w:r>
      <w:bookmarkEnd w:id="24"/>
      <w:r>
        <w:rPr/>
        <w:t>.</w:t>
      </w:r>
    </w:p>
    <w:p>
      <w:pPr>
        <w:pStyle w:val="Heading1"/>
        <w:tabs>
          <w:tab w:val="clear" w:pos="0"/>
        </w:tabs>
        <w:ind w:left="0" w:hanging="0"/>
        <w:rPr>
          <w:rFonts w:ascii="Times New Roman" w:hAnsi="Times New Roman"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</w:pPr>
      <w:bookmarkStart w:id="26" w:name="__RefHeading___Toc50243_2708347841"/>
      <w:bookmarkStart w:id="27" w:name="_Toc146782770"/>
      <w:bookmarkStart w:id="28" w:name="_Toc51339697"/>
      <w:bookmarkStart w:id="29" w:name="_Toc50125127"/>
      <w:bookmarkStart w:id="30" w:name="_Toc501251261"/>
      <w:bookmarkEnd w:id="26"/>
      <w:bookmarkEnd w:id="30"/>
      <w:r>
        <w:rPr>
          <w:rFonts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  <w:t xml:space="preserve">Таблица 2.  </w:t>
      </w:r>
      <w:bookmarkStart w:id="31" w:name="_Hlk50465284"/>
      <w:r>
        <w:rPr>
          <w:rFonts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  <w:t xml:space="preserve">Требования по срокам </w:t>
      </w:r>
      <w:bookmarkEnd w:id="28"/>
      <w:bookmarkEnd w:id="29"/>
      <w:bookmarkEnd w:id="31"/>
      <w:r>
        <w:rPr>
          <w:rFonts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  <w:t>поставки продукции</w:t>
      </w:r>
      <w:bookmarkEnd w:id="27"/>
      <w:r>
        <w:rPr>
          <w:rFonts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  <w:t xml:space="preserve"> </w:t>
      </w:r>
    </w:p>
    <w:tbl>
      <w:tblPr>
        <w:tblW w:w="98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02"/>
        <w:gridCol w:w="3339"/>
        <w:gridCol w:w="2670"/>
        <w:gridCol w:w="3370"/>
      </w:tblGrid>
      <w:tr>
        <w:trPr/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ОКПД2 29.10.22.000 Поставка легкового автомобиля бизнес-класса повышенной проходимости для нужд Нижегородского транспортного участка Центрального филиала АО «ТК РусГидро»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С даты заключения договора.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Не позднее 30 (тридцати</w:t>
            </w:r>
            <w:r>
              <w:rPr>
                <w:i w:val="false"/>
                <w:iCs w:val="false"/>
                <w:sz w:val="24"/>
                <w:szCs w:val="24"/>
              </w:rPr>
              <w:t>)</w:t>
            </w:r>
            <w:r>
              <w:rPr>
                <w:i w:val="false"/>
                <w:iCs w:val="false"/>
                <w:sz w:val="24"/>
                <w:szCs w:val="24"/>
              </w:rPr>
              <w:t xml:space="preserve"> календарный дней с даты  заключения договора.</w:t>
            </w:r>
          </w:p>
        </w:tc>
      </w:tr>
    </w:tbl>
    <w:p>
      <w:pPr>
        <w:pStyle w:val="Heading1"/>
        <w:numPr>
          <w:ilvl w:val="1"/>
          <w:numId w:val="3"/>
        </w:numPr>
        <w:rPr>
          <w:sz w:val="24"/>
          <w:szCs w:val="24"/>
        </w:rPr>
      </w:pPr>
      <w:bookmarkStart w:id="32" w:name="__RefHeading___Toc50245_2708347841"/>
      <w:bookmarkStart w:id="33" w:name="_Toc46743511_Копия_2"/>
      <w:bookmarkStart w:id="34" w:name="_Toc146782771_Копия_1"/>
      <w:bookmarkEnd w:id="32"/>
      <w:r>
        <w:rPr>
          <w:sz w:val="24"/>
          <w:szCs w:val="24"/>
        </w:rPr>
        <w:t xml:space="preserve">Требования </w:t>
      </w:r>
      <w:bookmarkEnd w:id="33"/>
      <w:bookmarkEnd w:id="34"/>
      <w:r>
        <w:rPr>
          <w:sz w:val="24"/>
          <w:szCs w:val="24"/>
        </w:rPr>
        <w:t xml:space="preserve">к </w:t>
      </w:r>
      <w:r>
        <w:rPr>
          <w:sz w:val="24"/>
          <w:szCs w:val="24"/>
          <w:lang w:val="ru-RU"/>
        </w:rPr>
        <w:t>качеству продукции</w:t>
      </w:r>
    </w:p>
    <w:p>
      <w:pPr>
        <w:pStyle w:val="Normal"/>
        <w:ind w:left="851" w:hanging="851"/>
        <w:rPr>
          <w:rFonts w:ascii="Times New Roman" w:hAnsi="Times New Roman"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</w:pPr>
      <w:r>
        <w:rPr>
          <w:rFonts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</w:r>
      <w:bookmarkStart w:id="35" w:name="__RefHeading___Toc50247_2708347841"/>
      <w:bookmarkStart w:id="36" w:name="__RefHeading___Toc50247_2708347841"/>
      <w:bookmarkEnd w:id="36"/>
    </w:p>
    <w:p>
      <w:pPr>
        <w:pStyle w:val="Heading1"/>
        <w:tabs>
          <w:tab w:val="clear" w:pos="0"/>
        </w:tabs>
        <w:ind w:left="0" w:hanging="0"/>
        <w:rPr/>
      </w:pPr>
      <w:bookmarkStart w:id="37" w:name="__RefHeading___Toc50249_2708347841"/>
      <w:bookmarkEnd w:id="37"/>
      <w:r>
        <w:rPr>
          <w:rFonts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  <w:t xml:space="preserve"> </w:t>
      </w:r>
      <w:bookmarkStart w:id="38" w:name="_Toc146782772"/>
      <w:bookmarkStart w:id="39" w:name="_Toc128412774"/>
      <w:r>
        <w:rPr>
          <w:rFonts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  <w:t>Таблица 3.</w:t>
      </w:r>
      <w:r>
        <w:rPr/>
        <w:t xml:space="preserve"> </w:t>
      </w:r>
      <w:bookmarkEnd w:id="38"/>
      <w:bookmarkEnd w:id="39"/>
      <w:r>
        <w:rPr>
          <w:sz w:val="24"/>
          <w:szCs w:val="24"/>
          <w:lang w:val="ru-RU"/>
        </w:rPr>
        <w:t>Требования к качеству про</w:t>
      </w:r>
      <w:r>
        <w:rPr>
          <w:sz w:val="24"/>
          <w:szCs w:val="24"/>
          <w:shd w:fill="auto" w:val="clear"/>
          <w:lang w:val="ru-RU"/>
        </w:rPr>
        <w:t xml:space="preserve">дукции </w:t>
        <w:br/>
      </w:r>
      <w:r>
        <w:rPr>
          <w:b/>
          <w:bCs/>
          <w:sz w:val="24"/>
          <w:szCs w:val="24"/>
          <w:shd w:fill="auto" w:val="clear"/>
          <w:lang w:val="ru-RU"/>
        </w:rPr>
        <w:t xml:space="preserve">Наименование услуг/этапа услуг (позиция </w:t>
      </w:r>
      <w:r>
        <w:rPr>
          <w:rFonts w:eastAsia="Calibri" w:cs="Times New Roman"/>
          <w:b/>
          <w:bCs/>
          <w:color w:val="000000"/>
          <w:kern w:val="0"/>
          <w:sz w:val="24"/>
          <w:szCs w:val="24"/>
          <w:shd w:fill="auto" w:val="clear"/>
          <w:lang w:val="ru-RU" w:eastAsia="x-none" w:bidi="ar-SA"/>
        </w:rPr>
        <w:t>№ 1</w:t>
      </w:r>
      <w:r>
        <w:rPr>
          <w:rStyle w:val="Style8"/>
          <w:rFonts w:eastAsia="Calibri" w:cs="Times New Roman"/>
          <w:b/>
          <w:bCs/>
          <w:color w:val="000000"/>
          <w:kern w:val="0"/>
          <w:sz w:val="24"/>
          <w:szCs w:val="24"/>
          <w:shd w:fill="auto" w:val="clear"/>
          <w:lang w:val="ru-RU" w:eastAsia="x-none" w:bidi="ar-SA"/>
        </w:rPr>
        <w:t xml:space="preserve"> </w:t>
      </w:r>
      <w:r>
        <w:rPr>
          <w:rFonts w:eastAsia="Calibri" w:cs="Times New Roman"/>
          <w:b/>
          <w:bCs/>
          <w:color w:val="000000"/>
          <w:kern w:val="0"/>
          <w:sz w:val="24"/>
          <w:szCs w:val="24"/>
          <w:shd w:fill="auto" w:val="clear"/>
          <w:lang w:val="ru-RU" w:eastAsia="x-none" w:bidi="ar-SA"/>
        </w:rPr>
        <w:t>Таб</w:t>
      </w:r>
      <w:r>
        <w:rPr>
          <w:b/>
          <w:bCs/>
          <w:sz w:val="24"/>
          <w:szCs w:val="24"/>
          <w:shd w:fill="auto" w:val="clear"/>
          <w:lang w:val="ru-RU"/>
        </w:rPr>
        <w:t>л</w:t>
      </w:r>
      <w:r>
        <w:rPr>
          <w:b/>
          <w:bCs/>
          <w:sz w:val="24"/>
          <w:szCs w:val="24"/>
          <w:lang w:val="ru-RU"/>
        </w:rPr>
        <w:t xml:space="preserve">ицы 1.): </w:t>
      </w:r>
      <w:r>
        <w:rPr>
          <w:rFonts w:eastAsia="Calibri"/>
          <w:b w:val="false"/>
          <w:bCs w:val="false"/>
          <w:i w:val="false"/>
          <w:iCs w:val="false"/>
          <w:sz w:val="24"/>
          <w:szCs w:val="24"/>
          <w:lang w:val="ru-RU"/>
        </w:rPr>
        <w:t>ОКПД2 29.10.22.000 Поставка легкового автомобиля бизнес-класса повышенной проходимости для нужд Нижегородского транспортного участка Центрального филиала АО «ТК РусГидро»</w:t>
      </w:r>
    </w:p>
    <w:tbl>
      <w:tblPr>
        <w:tblW w:w="102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00"/>
        <w:gridCol w:w="2039"/>
        <w:gridCol w:w="32"/>
        <w:gridCol w:w="2459"/>
        <w:gridCol w:w="1576"/>
        <w:gridCol w:w="1721"/>
        <w:gridCol w:w="1545"/>
        <w:gridCol w:w="17"/>
      </w:tblGrid>
      <w:tr>
        <w:trPr>
          <w:trHeight w:val="62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/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/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/>
            </w:r>
          </w:p>
        </w:tc>
        <w:tc>
          <w:tcPr>
            <w:tcW w:w="3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/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/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28" w:hRule="atLeast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0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Наименование параметра</w:t>
            </w:r>
          </w:p>
        </w:tc>
        <w:tc>
          <w:tcPr>
            <w:tcW w:w="249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Требования заказчика</w:t>
            </w:r>
          </w:p>
        </w:tc>
        <w:tc>
          <w:tcPr>
            <w:tcW w:w="32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Способ подтверждения участником соответствия требованиям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28" w:hRule="atLeast"/>
        </w:trPr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0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4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2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40" w:hRule="atLeast"/>
        </w:trPr>
        <w:tc>
          <w:tcPr>
            <w:tcW w:w="5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/>
              <w:rPr/>
            </w:pPr>
            <w:r>
              <w:rPr>
                <w:b/>
                <w:bCs/>
                <w:sz w:val="24"/>
                <w:szCs w:val="24"/>
              </w:rPr>
              <w:t>1. 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Наименование детали/оборудования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1.1.1.</w:t>
            </w:r>
          </w:p>
        </w:tc>
        <w:tc>
          <w:tcPr>
            <w:tcW w:w="4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Легковой автомобиль бизнес-класса повышенной проходимости.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/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/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54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120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bookmarkStart w:id="40" w:name="__RefHeading___Toc50251_2708347841_Копия"/>
            <w:bookmarkStart w:id="41" w:name="_Toc146782773_Копия_1"/>
            <w:bookmarkEnd w:id="40"/>
            <w:r>
              <w:rPr>
                <w:rFonts w:eastAsia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1.2. Общие технические данные</w:t>
            </w:r>
            <w:bookmarkEnd w:id="41"/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/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/>
              <w:jc w:val="both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Длина, мм 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От 4620 до 4770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 w:val="false"/>
                <w:bCs w:val="false"/>
                <w:strike/>
                <w:sz w:val="24"/>
                <w:szCs w:val="24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/>
            </w:pPr>
            <w:r>
              <w:rPr>
                <w:sz w:val="24"/>
                <w:szCs w:val="24"/>
              </w:rPr>
              <w:t>1.2.2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59"/>
              <w:rPr/>
            </w:pPr>
            <w:r>
              <w:rPr>
                <w:rFonts w:eastAsia="Times New Roman"/>
              </w:rPr>
              <w:t>Ширина, мм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 1920 до 1940 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 w:val="false"/>
                <w:bCs w:val="false"/>
                <w:strike/>
                <w:sz w:val="24"/>
                <w:szCs w:val="24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/>
            </w:pPr>
            <w:r>
              <w:rPr>
                <w:sz w:val="24"/>
                <w:szCs w:val="24"/>
              </w:rPr>
              <w:t>1.2.3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59"/>
              <w:rPr/>
            </w:pPr>
            <w:r>
              <w:rPr>
                <w:rFonts w:eastAsia="Times New Roman"/>
              </w:rPr>
              <w:t>Высота, мм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 1900 до 1920 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 w:val="false"/>
                <w:bCs w:val="false"/>
                <w:strike/>
                <w:sz w:val="24"/>
                <w:szCs w:val="24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1.2.4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/>
            </w:pPr>
            <w:r>
              <w:rPr>
                <w:rFonts w:eastAsia="Times New Roman"/>
                <w:lang w:eastAsia="en-US"/>
              </w:rPr>
              <w:t>Колесная база, мм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От 2740 до 2760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 w:val="false"/>
                <w:bCs w:val="false"/>
                <w:strike/>
                <w:sz w:val="24"/>
                <w:szCs w:val="24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/>
            </w:pPr>
            <w:r>
              <w:rPr>
                <w:sz w:val="24"/>
                <w:szCs w:val="24"/>
              </w:rPr>
              <w:t>1.2.5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Масса ТС в снаряженном состоянии, кг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/>
            </w:pPr>
            <w:r>
              <w:rPr>
                <w:lang w:eastAsia="en-US"/>
              </w:rPr>
              <w:t xml:space="preserve">От 2000 до 2500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 w:val="false"/>
                <w:bCs w:val="false"/>
                <w:strike/>
                <w:sz w:val="24"/>
                <w:szCs w:val="24"/>
              </w:rPr>
              <w:t>-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1.2.6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/>
            </w:pPr>
            <w:r>
              <w:rPr>
                <w:rStyle w:val="Strong"/>
                <w:rFonts w:eastAsia="Calibri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Клиренс (дорожный просвет), мм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/>
            </w:pPr>
            <w:r>
              <w:rPr>
                <w:lang w:eastAsia="en-US"/>
              </w:rPr>
              <w:t>От 215 до 240 мм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 w:val="false"/>
                <w:bCs w:val="false"/>
                <w:strike/>
                <w:sz w:val="24"/>
                <w:szCs w:val="24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/>
            </w:pPr>
            <w:r>
              <w:rPr>
                <w:sz w:val="24"/>
                <w:szCs w:val="24"/>
              </w:rPr>
              <w:t>1.2.7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/>
            </w:pPr>
            <w:r>
              <w:rPr>
                <w:lang w:eastAsia="en-US"/>
              </w:rPr>
              <w:t>Колея передних колес, мм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/>
            </w:pPr>
            <w:r>
              <w:rPr>
                <w:lang w:eastAsia="en-US"/>
              </w:rPr>
              <w:t>От 1600 до 1620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 w:val="false"/>
                <w:bCs w:val="false"/>
                <w:strike/>
                <w:sz w:val="24"/>
                <w:szCs w:val="24"/>
              </w:rPr>
              <w:t>-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/>
            </w:pPr>
            <w:r>
              <w:rPr>
                <w:sz w:val="24"/>
                <w:szCs w:val="24"/>
              </w:rPr>
              <w:t>1.2.8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/>
            </w:pPr>
            <w:r>
              <w:rPr/>
              <w:t>Колея задних колес, мм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/>
            </w:pPr>
            <w:r>
              <w:rPr/>
              <w:t>От 1600 до 1620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 w:val="false"/>
                <w:bCs w:val="false"/>
                <w:strike/>
                <w:sz w:val="24"/>
                <w:szCs w:val="24"/>
              </w:rPr>
              <w:t>-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/>
            </w:pPr>
            <w:r>
              <w:rPr>
                <w:sz w:val="24"/>
                <w:szCs w:val="24"/>
              </w:rPr>
              <w:t>1.2.9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/>
            </w:pPr>
            <w:r>
              <w:rPr>
                <w:rStyle w:val="Strong"/>
                <w:rFonts w:eastAsia="Calibri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Снаряженная масса, кг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/>
            </w:pPr>
            <w:r>
              <w:rPr>
                <w:lang w:eastAsia="en-US"/>
              </w:rPr>
              <w:t>От 2200 до 2300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 w:val="false"/>
                <w:bCs w:val="false"/>
                <w:strike/>
                <w:sz w:val="24"/>
                <w:szCs w:val="24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1.2.10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/>
            </w:pPr>
            <w:r>
              <w:rPr>
                <w:rStyle w:val="Strong"/>
                <w:rFonts w:eastAsia="Calibri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Полная масса, кг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/>
            </w:pPr>
            <w:r>
              <w:rPr>
                <w:lang w:eastAsia="en-US"/>
              </w:rPr>
              <w:t xml:space="preserve">От 2550 до 2750 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 w:val="false"/>
                <w:bCs w:val="false"/>
                <w:strike/>
                <w:sz w:val="24"/>
                <w:szCs w:val="24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51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/>
            </w:pPr>
            <w:r>
              <w:rPr>
                <w:b/>
                <w:lang w:eastAsia="en-US"/>
              </w:rPr>
              <w:t>Двигатель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/>
            </w:pPr>
            <w:r>
              <w:rPr>
                <w:sz w:val="24"/>
                <w:szCs w:val="24"/>
              </w:rPr>
              <w:t>1.3.1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Максимальная мощность, л.с.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От 210 до 230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/>
            </w:pPr>
            <w:r>
              <w:rPr>
                <w:sz w:val="24"/>
                <w:szCs w:val="24"/>
              </w:rPr>
              <w:t>1.3.2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Рабочий объем двигателя, см</w:t>
            </w:r>
            <w:r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От 1800 до 2200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/>
            </w:pPr>
            <w:r>
              <w:rPr>
                <w:sz w:val="24"/>
                <w:szCs w:val="24"/>
              </w:rPr>
              <w:t>1.3.3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Тип двигателя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Бензиновый, с непосредственным впрыском топлива и турбонаддувом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/>
            </w:pPr>
            <w:r>
              <w:rPr>
                <w:sz w:val="24"/>
                <w:szCs w:val="24"/>
              </w:rPr>
              <w:t>1.3.4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Количество цилиндров, шт.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/>
            </w:pPr>
            <w:r>
              <w:rPr>
                <w:sz w:val="24"/>
                <w:szCs w:val="24"/>
              </w:rPr>
              <w:t>1.3.5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Расположение цилиндров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Рядное продольное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4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/>
            </w:pPr>
            <w:r>
              <w:rPr>
                <w:rFonts w:eastAsia="Times New Roman"/>
                <w:b/>
              </w:rPr>
              <w:t>Потребление топлива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/>
            </w:pPr>
            <w:r>
              <w:rPr>
                <w:sz w:val="24"/>
                <w:szCs w:val="24"/>
              </w:rPr>
              <w:t>1.4.1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Вид топлива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Бензин с октановым числом не менее 92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/>
            </w:pPr>
            <w:r>
              <w:rPr>
                <w:sz w:val="24"/>
                <w:szCs w:val="24"/>
              </w:rPr>
              <w:t>1.4.2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Емкость топливного баков, л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Не менее 80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1.4.3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Расход топлива в городском цикле, л.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Не более 14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1.4.4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Расход топлива в загородном цикле, л.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Не более 10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1.4.5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Расход топлива в смешанном цикле, л.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Не более 12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4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/>
            </w:pPr>
            <w:r>
              <w:rPr>
                <w:rFonts w:eastAsia="Times New Roman"/>
                <w:b/>
              </w:rPr>
              <w:t>Трансмиссия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/>
            </w:pPr>
            <w:r>
              <w:rPr>
                <w:sz w:val="24"/>
                <w:szCs w:val="24"/>
              </w:rPr>
              <w:t>1.5.1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Тип коробки передач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Автоматическая, 8-ступенчатая, гидромеханическая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/>
            </w:pPr>
            <w:r>
              <w:rPr>
                <w:sz w:val="24"/>
                <w:szCs w:val="24"/>
              </w:rPr>
              <w:t>1.5.2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Тип привода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Полный, с многодисковой муфтой в приводе передних колес и понижающей передачей.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1.5.3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Система полного привода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en-US" w:eastAsia="en-US" w:bidi="ar-SA"/>
              </w:rPr>
              <w:t>Torque—On—Demand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4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/>
            </w:pPr>
            <w:r>
              <w:rPr>
                <w:rFonts w:eastAsia="Times New Roman"/>
                <w:b/>
              </w:rPr>
              <w:t>Рулевое управление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/>
            </w:pPr>
            <w:r>
              <w:rPr>
                <w:sz w:val="24"/>
                <w:szCs w:val="24"/>
              </w:rPr>
              <w:t>1.6.1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Тип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 электроусилителем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1.7</w:t>
            </w:r>
          </w:p>
        </w:tc>
        <w:tc>
          <w:tcPr>
            <w:tcW w:w="4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/>
            </w:pPr>
            <w:r>
              <w:rPr>
                <w:rFonts w:eastAsia="Times New Roman"/>
                <w:b/>
              </w:rPr>
              <w:t>Тормозная система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/>
            </w:pPr>
            <w:r>
              <w:rPr>
                <w:sz w:val="24"/>
                <w:szCs w:val="24"/>
              </w:rPr>
              <w:t>1.7.1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Антиблокировочная система тормозов (АБС)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/>
            </w:pPr>
            <w:r>
              <w:rPr>
                <w:sz w:val="24"/>
                <w:szCs w:val="24"/>
              </w:rPr>
              <w:t>1.7.2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Передние тормоза 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Дисковые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/>
            </w:pPr>
            <w:r>
              <w:rPr>
                <w:sz w:val="24"/>
                <w:szCs w:val="24"/>
              </w:rPr>
              <w:t>1.7.3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Задние тормоза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Дисковые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1.8</w:t>
            </w:r>
          </w:p>
        </w:tc>
        <w:tc>
          <w:tcPr>
            <w:tcW w:w="4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/>
            </w:pPr>
            <w:r>
              <w:rPr>
                <w:b/>
                <w:lang w:eastAsia="en-US"/>
              </w:rPr>
              <w:t>Подвеска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/>
            </w:pPr>
            <w:r>
              <w:rPr>
                <w:sz w:val="24"/>
                <w:szCs w:val="24"/>
              </w:rPr>
              <w:t>1.8.1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Передняя подвеска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Независимая, пружинная, двухрычажная, со стабилизатором поперечной̆устойчивости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/>
            </w:pPr>
            <w:r>
              <w:rPr>
                <w:sz w:val="24"/>
                <w:szCs w:val="24"/>
              </w:rPr>
              <w:t>1.8.2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Задняя подвеска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shd w:fill="FFFFFF" w:val="clear"/>
                <w:lang w:eastAsia="en-US"/>
              </w:rPr>
              <w:t>Зависимая, пружинная, рычажная, со стабилизатором поперечной устойчивости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1.9</w:t>
            </w:r>
          </w:p>
        </w:tc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/>
            </w:pPr>
            <w:r>
              <w:rPr>
                <w:b/>
                <w:lang w:eastAsia="en-US"/>
              </w:rPr>
              <w:t>Кузов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92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/>
            </w:pPr>
            <w:r>
              <w:rPr>
                <w:sz w:val="24"/>
                <w:szCs w:val="24"/>
              </w:rPr>
              <w:t>1.9.1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Тип кузова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2"/>
                <w:szCs w:val="22"/>
                <w:shd w:fill="FFFFFF" w:val="clear"/>
                <w:lang w:eastAsia="en-US"/>
              </w:rPr>
              <w:t>Рамный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81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/>
            </w:pPr>
            <w:r>
              <w:rPr>
                <w:sz w:val="24"/>
                <w:szCs w:val="24"/>
              </w:rPr>
              <w:t>1.9.3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дверей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2"/>
                <w:szCs w:val="22"/>
                <w:shd w:fill="FFFFFF" w:val="clear"/>
                <w:lang w:eastAsia="en-US"/>
              </w:rPr>
              <w:t xml:space="preserve">5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/>
            </w:pPr>
            <w:r>
              <w:rPr>
                <w:sz w:val="24"/>
                <w:szCs w:val="24"/>
              </w:rPr>
              <w:t>1.9.4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Количество мест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  <w:shd w:fill="FFFFFF" w:val="clear"/>
              </w:rPr>
              <w:t>5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1.9.5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Объем багажника, л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color w:val="auto"/>
                <w:kern w:val="0"/>
                <w:sz w:val="22"/>
                <w:szCs w:val="22"/>
                <w:shd w:fill="FFFFFF" w:val="clear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От 380 до 420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1.9.6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Объем багажника при сложенных задних сиденьях, л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color w:val="auto"/>
                <w:kern w:val="0"/>
                <w:sz w:val="22"/>
                <w:szCs w:val="22"/>
                <w:shd w:fill="FFFFFF" w:val="clear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Не менее 1600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1.9.7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Тип двери багажника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color w:val="auto"/>
                <w:kern w:val="0"/>
                <w:sz w:val="22"/>
                <w:szCs w:val="22"/>
                <w:shd w:fill="FFFFFF" w:val="clear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Распашная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</w:t>
            </w:r>
          </w:p>
        </w:tc>
        <w:tc>
          <w:tcPr>
            <w:tcW w:w="4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b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4"/>
                <w:szCs w:val="24"/>
                <w:lang w:val="ru-RU" w:eastAsia="en-US" w:bidi="ar-SA"/>
              </w:rPr>
              <w:t>Комплектация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1.10.1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Цвет кузова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Чёрный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/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1.10.2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Цвет салона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Чёрный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/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1.10.3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Стеклоподъемники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  <w:shd w:fill="FFFFFF" w:val="clear"/>
              </w:rPr>
              <w:t>Электрические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1.10.4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Полноразмерное запасное колесо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  <w:shd w:fill="FFFFFF" w:val="clear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1.10.5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Климат-контроль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  <w:shd w:fill="FFFFFF" w:val="clear"/>
              </w:rPr>
              <w:t>Двухзонный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1.10.6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Люк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  <w:shd w:fill="FFFFFF" w:val="clear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1.10.7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Мультимедиа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  <w:shd w:fill="FFFFFF" w:val="clear"/>
              </w:rPr>
              <w:t xml:space="preserve">Мультимедийная система с  цветным сенсорным дисплеем, поддерживающая протоколы подключения смартфона Apple Carplay и Android Auto, с количеством динамиков не менее 8 и сабвуфером.  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1.10.8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Защита двигателя и коробки передач снизу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  <w:shd w:fill="FFFFFF" w:val="clear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1.10.9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Рулевое колесо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  <w:shd w:fill="FFFFFF" w:val="clear"/>
              </w:rPr>
              <w:t>Мультифункциональное рулевое колесо с функцией подогрева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Подрулевые лепестки переключения передач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Приборная панель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Цифровая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Материал отделки сидений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Кожа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Вентиляция передних сидений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Подогрев передних и задних сидений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Водительское сиденье с функцией массажа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16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Сиденье водителя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 электрорегулировкой в 8 направлениях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17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Сиденье переднего пассажира 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 электрорегулировкой в 4-х направлениях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18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Комплект ковриков для салона и багажника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  <w:shd w:fill="FFFFFF" w:val="clear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19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Электрообогрев лобового стекла и форсунок омывателя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  <w:shd w:fill="FFFFFF" w:val="clear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20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Зеркала заднего вида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 электроуправлением, электроприводом механизма складывания и обогревом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21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Светодиодные фары ближнего и дальнего света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22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Датчик света и дождя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23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Система бесключевого доступа и запуск автомобиля кнопкой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24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Электронная система стабилизации с расширенными возможностями (ESP+TCS+RMI)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25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Система помощи при экстренном торможении автомобиля (BAS)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26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Функция автоматического торможения на малой скорости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27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Адаптивный круиз-контроль (ACC) 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28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Система предупреждения о выходе из полосы движения с функциями возврата в полосу и удержания в центре полосы (LDW+LKA+LCK)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29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Камера кругового обзора с функцией "прозрачного" капота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30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Система контроля усталости водителя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31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Фронтальные и передние боковые подушки безопасности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32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Система распознавания дорожных знаков (TSR)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33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Автоматическая система торможения (AEB) с функцией предупреждения о возможном столкновении при движении вперед (FCW) и функцией распознавания пешеходов и велосипедистов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34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Адаптивный круиз-контроль с функцией интеллектуального круиз-контроля (ICA) с функцией ассистента движения в пробке (TJA)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35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Система помощи при выезде с парковки задним ходом (RCTA) с функцией торможения (RCTB)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36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Система помощи при перестроении, мониторинг слепых зон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37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Функция предотвращения столкновений при проезде перекрестков (AEB Crossroad)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38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Функция «умного уклонения»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1.10.</w:t>
            </w:r>
          </w:p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39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Шторки безопасности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rFonts w:eastAsia="Calibri"/>
                <w:strike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1.11</w:t>
            </w:r>
          </w:p>
        </w:tc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/>
            </w:pPr>
            <w:r>
              <w:rPr>
                <w:b/>
                <w:lang w:eastAsia="en-US"/>
              </w:rPr>
              <w:t>Колеса и шины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/>
            </w:pPr>
            <w:r>
              <w:rPr>
                <w:sz w:val="24"/>
                <w:szCs w:val="24"/>
              </w:rPr>
              <w:t>1.11.1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/>
            </w:pPr>
            <w:r>
              <w:rPr>
                <w:lang w:eastAsia="en-US"/>
              </w:rPr>
              <w:t>Размер шин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/>
            </w:pPr>
            <w:r>
              <w:rPr>
                <w:lang w:eastAsia="en-US"/>
              </w:rPr>
              <w:t xml:space="preserve">Не менее 260/60 R18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1.11.2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Сезонность установленных шин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rPr/>
            </w:pPr>
            <w:r>
              <w:rPr/>
              <w:t>Летние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/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1.11.3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rPr/>
            </w:pPr>
            <w:r>
              <w:rPr/>
              <w:t>Дополнительный комплект зимних шин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/>
            </w:pPr>
            <w:r>
              <w:rPr/>
              <w:t>Наличие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/>
            </w:pPr>
            <w:r>
              <w:rPr/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1.12</w:t>
            </w:r>
          </w:p>
        </w:tc>
        <w:tc>
          <w:tcPr>
            <w:tcW w:w="4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 w:eastAsia="Calibri" w:cs="Times New Roman"/>
                <w:b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auto"/>
                <w:kern w:val="0"/>
                <w:sz w:val="24"/>
                <w:szCs w:val="24"/>
                <w:lang w:val="ru-RU" w:eastAsia="en-US" w:bidi="ar-SA"/>
              </w:rPr>
              <w:t>Эксплуатационные характеристики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1.12.1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Время разгона </w:t>
              <w:br/>
              <w:t>0–100 км/ч, с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Не более 11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1.12.2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Максимальная скорость, км/ч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Не менее 170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79" w:hRule="atLeast"/>
        </w:trPr>
        <w:tc>
          <w:tcPr>
            <w:tcW w:w="5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widowControl w:val="false"/>
              <w:spacing w:before="0" w:after="120"/>
              <w:rPr/>
            </w:pPr>
            <w:bookmarkStart w:id="42" w:name="__RefHeading___Toc50253_2708347841"/>
            <w:bookmarkEnd w:id="42"/>
            <w:r>
              <w:rPr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bCs/>
                <w:iCs/>
                <w:sz w:val="24"/>
                <w:szCs w:val="24"/>
                <w:lang w:eastAsia="en-US"/>
              </w:rPr>
              <w:t xml:space="preserve">2. </w:t>
            </w:r>
            <w:bookmarkStart w:id="43" w:name="_Toc146782774"/>
            <w:r>
              <w:rPr>
                <w:b/>
                <w:bCs/>
                <w:iCs/>
                <w:sz w:val="24"/>
                <w:szCs w:val="24"/>
                <w:lang w:eastAsia="en-US"/>
              </w:rPr>
              <w:t>Требования к безопасности</w:t>
            </w:r>
            <w:bookmarkEnd w:id="43"/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39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Поставляемое ТС  должно соответствовать требованиям технического регламента таможенного союза Т</w:t>
            </w: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ТР ТС 018/2011 «О безопасности колесных транспортных средств» </w:t>
            </w:r>
            <w:r>
              <w:rPr>
                <w:rFonts w:eastAsia="Calibri"/>
                <w:iCs/>
                <w:sz w:val="24"/>
                <w:szCs w:val="24"/>
                <w:lang w:eastAsia="en-US"/>
              </w:rPr>
              <w:t xml:space="preserve">и иметь действующий  </w:t>
            </w: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сертификат  ОТТС, выданного органом сертификации Российской Федерации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 xml:space="preserve">Предоставление в составе заявки действующего сертификата/декларации в соответствии с требованиями тех. регламента Таможенного Союза </w:t>
            </w: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Р ТС 018/2011 «О безопасности колесных транспортных средств»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39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0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iCs/>
                <w:sz w:val="24"/>
                <w:szCs w:val="24"/>
              </w:rPr>
              <w:t>Безопасность</w:t>
            </w:r>
          </w:p>
        </w:tc>
        <w:tc>
          <w:tcPr>
            <w:tcW w:w="2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Система оповещения экстренных служб «ЭРА-ГЛОНАСС» 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39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4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b/>
                <w:iCs/>
                <w:sz w:val="24"/>
                <w:szCs w:val="24"/>
                <w:lang w:eastAsia="en-US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39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i w:val="false"/>
                <w:iCs w:val="false"/>
                <w:sz w:val="24"/>
                <w:szCs w:val="24"/>
              </w:rPr>
              <w:t>Российская Федерация, г.Нижний Новгород.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39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Способ доставки до места поставки (получения)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40" w:hanging="0"/>
              <w:rPr/>
            </w:pPr>
            <w:r>
              <w:rPr>
                <w:bCs/>
                <w:sz w:val="24"/>
                <w:szCs w:val="24"/>
              </w:rPr>
              <w:t>Доставка осуществляется силами Поставщика: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При поступлении ТС в место поставки продукции пробег ТС на одометре не должен превышать 500 км.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39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4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b/>
                <w:iCs/>
                <w:sz w:val="24"/>
                <w:szCs w:val="24"/>
                <w:lang w:eastAsia="en-US"/>
              </w:rPr>
              <w:t>Требования к эксплуатации, обеспечению и утилизации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39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Продукция должна быть новой и ранее не использовавшейся.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Год изготовления товара – не ранее 2026.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39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4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iCs/>
                <w:sz w:val="24"/>
                <w:szCs w:val="24"/>
              </w:rPr>
              <w:t>Наличие информации об уплате утилизационного сбора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39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b/>
                <w:iCs/>
                <w:sz w:val="24"/>
                <w:szCs w:val="24"/>
                <w:lang w:eastAsia="en-US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39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Срок гарантии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  <w:r>
              <w:rPr>
                <w:rFonts w:eastAsia="Calibri"/>
                <w:sz w:val="24"/>
                <w:szCs w:val="24"/>
                <w:shd w:fill="auto" w:val="clear"/>
                <w:lang w:eastAsia="en-US"/>
              </w:rPr>
              <w:t>арантия  не менее 36 месяцев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или 150 000 км., в зависимости от тог</w:t>
            </w:r>
            <w:bookmarkStart w:id="44" w:name="_GoBack"/>
            <w:bookmarkEnd w:id="44"/>
            <w:r>
              <w:rPr>
                <w:rFonts w:eastAsia="Calibri"/>
                <w:sz w:val="24"/>
                <w:szCs w:val="24"/>
                <w:lang w:eastAsia="en-US"/>
              </w:rPr>
              <w:t>о, что наступит раньше.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39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-//-</w:t>
            </w:r>
          </w:p>
        </w:tc>
        <w:tc>
          <w:tcPr>
            <w:tcW w:w="1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19" w:hRule="atLeast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6.1</w:t>
            </w:r>
          </w:p>
        </w:tc>
        <w:tc>
          <w:tcPr>
            <w:tcW w:w="20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4"/>
                <w:szCs w:val="24"/>
              </w:rPr>
              <w:t>Документы, передаваемые вместе с продукцией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ПТС или ЭПТС</w:t>
            </w:r>
          </w:p>
        </w:tc>
        <w:tc>
          <w:tcPr>
            <w:tcW w:w="15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17" w:type="dxa"/>
            <w:vMerge w:val="restart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19" w:hRule="atLeast"/>
        </w:trPr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0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Сертификат соответствия (копия) в 1 экз.</w:t>
            </w:r>
          </w:p>
        </w:tc>
        <w:tc>
          <w:tcPr>
            <w:tcW w:w="15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17" w:type="dxa"/>
            <w:vMerge w:val="continue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19" w:hRule="atLeast"/>
        </w:trPr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0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Руководство по эксплуатации на русском языке в 1 экз.</w:t>
            </w:r>
          </w:p>
        </w:tc>
        <w:tc>
          <w:tcPr>
            <w:tcW w:w="15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17" w:type="dxa"/>
            <w:vMerge w:val="continue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19" w:hRule="atLeast"/>
        </w:trPr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0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Сервисная книжка с отметкой о предпродажной подготовке в 1 экз.</w:t>
            </w:r>
          </w:p>
        </w:tc>
        <w:tc>
          <w:tcPr>
            <w:tcW w:w="15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17" w:type="dxa"/>
            <w:vMerge w:val="continue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19" w:hRule="atLeast"/>
        </w:trPr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0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08"/>
                <w:tab w:val="left" w:pos="851" w:leader="none"/>
                <w:tab w:val="left" w:pos="1418" w:leader="none"/>
              </w:tabs>
              <w:ind w:left="0" w:right="0" w:hanging="0"/>
              <w:jc w:val="left"/>
              <w:rPr/>
            </w:pPr>
            <w:r>
              <w:rPr>
                <w:sz w:val="24"/>
                <w:szCs w:val="24"/>
                <w:lang w:val="ru-RU"/>
              </w:rPr>
              <w:t>Действующее одобрение типа транспортного средства (ОТТС) в 1 экз., (копия)</w:t>
            </w:r>
          </w:p>
        </w:tc>
        <w:tc>
          <w:tcPr>
            <w:tcW w:w="15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17" w:type="dxa"/>
            <w:vMerge w:val="continue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19" w:hRule="atLeast"/>
        </w:trPr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0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08"/>
                <w:tab w:val="left" w:pos="851" w:leader="none"/>
                <w:tab w:val="left" w:pos="1418" w:leader="none"/>
              </w:tabs>
              <w:ind w:left="0" w:right="0" w:hanging="0"/>
              <w:jc w:val="left"/>
              <w:rPr/>
            </w:pPr>
            <w:r>
              <w:rPr>
                <w:sz w:val="24"/>
                <w:szCs w:val="24"/>
                <w:lang w:val="ru-RU"/>
              </w:rPr>
              <w:t>Накладная ТОРГ-12/УПД в 3 (трёх) экз.</w:t>
            </w:r>
          </w:p>
        </w:tc>
        <w:tc>
          <w:tcPr>
            <w:tcW w:w="15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17" w:type="dxa"/>
            <w:vMerge w:val="continue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19" w:hRule="atLeast"/>
        </w:trPr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0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08"/>
                <w:tab w:val="left" w:pos="851" w:leader="none"/>
                <w:tab w:val="left" w:pos="1418" w:leader="none"/>
              </w:tabs>
              <w:ind w:left="0" w:right="0" w:hanging="0"/>
              <w:jc w:val="left"/>
              <w:rPr/>
            </w:pPr>
            <w:r>
              <w:rPr>
                <w:sz w:val="24"/>
                <w:szCs w:val="24"/>
                <w:lang w:val="ru-RU"/>
              </w:rPr>
              <w:t xml:space="preserve">Акт приема передачи по форме Приложения №1 в 3(трёх) экз. </w:t>
            </w:r>
          </w:p>
        </w:tc>
        <w:tc>
          <w:tcPr>
            <w:tcW w:w="15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17" w:type="dxa"/>
            <w:vMerge w:val="continue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9" w:hRule="atLeast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6.2</w:t>
            </w:r>
          </w:p>
        </w:tc>
        <w:tc>
          <w:tcPr>
            <w:tcW w:w="20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iCs/>
                <w:sz w:val="24"/>
                <w:szCs w:val="24"/>
              </w:rPr>
              <w:t>Комплектующие, передаваемые вместе с продукцией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Знак аварийной остановки</w:t>
            </w:r>
          </w:p>
        </w:tc>
        <w:tc>
          <w:tcPr>
            <w:tcW w:w="15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7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17" w:type="dxa"/>
            <w:vMerge w:val="restart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9" w:hRule="atLeast"/>
        </w:trPr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0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34" w:leader="none"/>
              </w:tabs>
              <w:ind w:left="0" w:hanging="0"/>
              <w:rPr/>
            </w:pPr>
            <w:r>
              <w:rPr>
                <w:color w:val="000000"/>
                <w:sz w:val="24"/>
                <w:szCs w:val="24"/>
              </w:rPr>
              <w:t>Медицинская автоаптечка (в соответствии с Приказом Минздрава России от 08.10.2020 N 1080н )</w:t>
            </w:r>
          </w:p>
        </w:tc>
        <w:tc>
          <w:tcPr>
            <w:tcW w:w="15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17" w:type="dxa"/>
            <w:vMerge w:val="continue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9" w:hRule="atLeast"/>
        </w:trPr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0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34" w:leader="none"/>
              </w:tabs>
              <w:ind w:left="0" w:hanging="0"/>
              <w:rPr/>
            </w:pPr>
            <w:r>
              <w:rPr>
                <w:color w:val="000000"/>
              </w:rPr>
              <w:t>Огнетушитель в соответствии с Постановлением Правительства РФ от 13.11.2013 №1013( ред. От 26.10.2020)</w:t>
            </w:r>
          </w:p>
        </w:tc>
        <w:tc>
          <w:tcPr>
            <w:tcW w:w="15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17" w:type="dxa"/>
            <w:vMerge w:val="continue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9" w:hRule="atLeast"/>
        </w:trPr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0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317" w:leader="none"/>
              </w:tabs>
              <w:ind w:left="0" w:hanging="0"/>
              <w:jc w:val="both"/>
              <w:rPr/>
            </w:pPr>
            <w:r>
              <w:rPr>
                <w:rFonts w:eastAsia="Calibri"/>
                <w:iCs/>
                <w:color w:val="000000"/>
                <w:lang w:eastAsia="en-US"/>
              </w:rPr>
              <w:t>Комплект запчастей, инструментов, принадлежностей и расходных материалов (ЗИП) в соответствии с комплектовочными ведомостями (или упаковочными листами) завода-изготовителя</w:t>
            </w:r>
          </w:p>
        </w:tc>
        <w:tc>
          <w:tcPr>
            <w:tcW w:w="15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17" w:type="dxa"/>
            <w:vMerge w:val="continue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Heading1"/>
        <w:tabs>
          <w:tab w:val="clear" w:pos="0"/>
        </w:tabs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Heading1"/>
        <w:tabs>
          <w:tab w:val="clear" w:pos="0"/>
        </w:tabs>
        <w:ind w:left="360" w:hanging="0"/>
        <w:rPr>
          <w:sz w:val="24"/>
          <w:szCs w:val="24"/>
        </w:rPr>
      </w:pPr>
      <w:bookmarkStart w:id="45" w:name="__RefHeading___Toc50255_2708347841"/>
      <w:bookmarkStart w:id="46" w:name="_Toc146782775"/>
      <w:bookmarkStart w:id="47" w:name="_Toc46743519"/>
      <w:bookmarkStart w:id="48" w:name="_Toc51339699"/>
      <w:bookmarkEnd w:id="45"/>
      <w:bookmarkEnd w:id="47"/>
      <w:bookmarkEnd w:id="48"/>
      <w:r>
        <w:rPr>
          <w:sz w:val="24"/>
          <w:szCs w:val="24"/>
          <w:lang w:val="ru-RU"/>
        </w:rPr>
        <w:t>3.</w:t>
      </w:r>
      <w:r>
        <w:rPr>
          <w:sz w:val="24"/>
          <w:szCs w:val="24"/>
        </w:rPr>
        <w:t>Требования к документации по ценообразованию на этапе закупки</w:t>
      </w:r>
      <w:bookmarkEnd w:id="46"/>
    </w:p>
    <w:p>
      <w:pPr>
        <w:pStyle w:val="ListParagraph"/>
        <w:widowControl/>
        <w:numPr>
          <w:ilvl w:val="1"/>
          <w:numId w:val="6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120" w:after="0"/>
        <w:ind w:left="0" w:right="113" w:hanging="0"/>
        <w:jc w:val="both"/>
        <w:rPr>
          <w:i w:val="false"/>
          <w:i w:val="false"/>
          <w:iCs w:val="false"/>
          <w:highlight w:val="none"/>
          <w:shd w:fill="auto" w:val="clear"/>
        </w:rPr>
      </w:pPr>
      <w:r>
        <w:rPr>
          <w:i w:val="false"/>
          <w:iCs w:val="false"/>
          <w:sz w:val="24"/>
          <w:shd w:fill="auto" w:val="clear"/>
        </w:rPr>
        <w:t>В</w:t>
      </w:r>
      <w:r>
        <w:rPr>
          <w:i w:val="false"/>
          <w:iCs w:val="false"/>
          <w:spacing w:val="1"/>
          <w:sz w:val="24"/>
          <w:shd w:fill="auto" w:val="clear"/>
        </w:rPr>
        <w:t xml:space="preserve"> </w:t>
      </w:r>
      <w:r>
        <w:rPr>
          <w:i w:val="false"/>
          <w:iCs w:val="false"/>
          <w:sz w:val="24"/>
          <w:shd w:fill="auto" w:val="clear"/>
        </w:rPr>
        <w:t>обоснование</w:t>
      </w:r>
      <w:r>
        <w:rPr>
          <w:i w:val="false"/>
          <w:iCs w:val="false"/>
          <w:spacing w:val="1"/>
          <w:sz w:val="24"/>
          <w:shd w:fill="auto" w:val="clear"/>
        </w:rPr>
        <w:t xml:space="preserve"> </w:t>
      </w:r>
      <w:r>
        <w:rPr>
          <w:i w:val="false"/>
          <w:iCs w:val="false"/>
          <w:sz w:val="24"/>
          <w:shd w:fill="auto" w:val="clear"/>
        </w:rPr>
        <w:t>стоимости</w:t>
      </w:r>
      <w:r>
        <w:rPr>
          <w:i w:val="false"/>
          <w:iCs w:val="false"/>
          <w:spacing w:val="1"/>
          <w:sz w:val="24"/>
          <w:shd w:fill="auto" w:val="clear"/>
        </w:rPr>
        <w:t xml:space="preserve"> </w:t>
      </w:r>
      <w:r>
        <w:rPr>
          <w:i w:val="false"/>
          <w:iCs w:val="false"/>
          <w:sz w:val="24"/>
          <w:shd w:fill="auto" w:val="clear"/>
        </w:rPr>
        <w:t>своей</w:t>
      </w:r>
      <w:r>
        <w:rPr>
          <w:i w:val="false"/>
          <w:iCs w:val="false"/>
          <w:spacing w:val="1"/>
          <w:sz w:val="24"/>
          <w:shd w:fill="auto" w:val="clear"/>
        </w:rPr>
        <w:t xml:space="preserve"> </w:t>
      </w:r>
      <w:r>
        <w:rPr>
          <w:i w:val="false"/>
          <w:iCs w:val="false"/>
          <w:sz w:val="24"/>
          <w:shd w:fill="auto" w:val="clear"/>
        </w:rPr>
        <w:t>заявки</w:t>
      </w:r>
      <w:r>
        <w:rPr>
          <w:i w:val="false"/>
          <w:iCs w:val="false"/>
          <w:spacing w:val="1"/>
          <w:sz w:val="24"/>
          <w:shd w:fill="auto" w:val="clear"/>
        </w:rPr>
        <w:t xml:space="preserve"> </w:t>
      </w:r>
      <w:r>
        <w:rPr>
          <w:i w:val="false"/>
          <w:iCs w:val="false"/>
          <w:sz w:val="24"/>
          <w:shd w:fill="auto" w:val="clear"/>
        </w:rPr>
        <w:t>Участник</w:t>
      </w:r>
      <w:r>
        <w:rPr>
          <w:i w:val="false"/>
          <w:iCs w:val="false"/>
          <w:spacing w:val="1"/>
          <w:sz w:val="24"/>
          <w:shd w:fill="auto" w:val="clear"/>
        </w:rPr>
        <w:t xml:space="preserve"> </w:t>
      </w:r>
      <w:r>
        <w:rPr>
          <w:i w:val="false"/>
          <w:iCs w:val="false"/>
          <w:sz w:val="24"/>
          <w:shd w:fill="auto" w:val="clear"/>
        </w:rPr>
        <w:t>предоставляет</w:t>
      </w:r>
      <w:r>
        <w:rPr>
          <w:i w:val="false"/>
          <w:iCs w:val="false"/>
          <w:spacing w:val="1"/>
          <w:sz w:val="24"/>
          <w:shd w:fill="auto" w:val="clear"/>
        </w:rPr>
        <w:t xml:space="preserve"> </w:t>
      </w:r>
      <w:r>
        <w:rPr>
          <w:i w:val="false"/>
          <w:iCs w:val="false"/>
          <w:sz w:val="24"/>
          <w:shd w:fill="auto" w:val="clear"/>
        </w:rPr>
        <w:t>Коммерческое</w:t>
      </w:r>
      <w:r>
        <w:rPr>
          <w:i w:val="false"/>
          <w:iCs w:val="false"/>
          <w:spacing w:val="-57"/>
          <w:sz w:val="24"/>
          <w:shd w:fill="auto" w:val="clear"/>
        </w:rPr>
        <w:t xml:space="preserve"> </w:t>
      </w:r>
      <w:r>
        <w:rPr>
          <w:i w:val="false"/>
          <w:iCs w:val="false"/>
          <w:sz w:val="24"/>
          <w:shd w:fill="auto" w:val="clear"/>
        </w:rPr>
        <w:t>предложение по форме (с учетом прилагаемой к ней инструкции по заполнению),</w:t>
      </w:r>
      <w:r>
        <w:rPr>
          <w:i w:val="false"/>
          <w:iCs w:val="false"/>
          <w:spacing w:val="1"/>
          <w:sz w:val="24"/>
          <w:shd w:fill="auto" w:val="clear"/>
        </w:rPr>
        <w:t xml:space="preserve"> </w:t>
      </w:r>
      <w:r>
        <w:rPr>
          <w:i w:val="false"/>
          <w:iCs w:val="false"/>
          <w:sz w:val="24"/>
          <w:shd w:fill="auto" w:val="clear"/>
        </w:rPr>
        <w:t>приведенной</w:t>
      </w:r>
      <w:r>
        <w:rPr>
          <w:i w:val="false"/>
          <w:iCs w:val="false"/>
          <w:spacing w:val="-1"/>
          <w:sz w:val="24"/>
          <w:shd w:fill="auto" w:val="clear"/>
        </w:rPr>
        <w:t xml:space="preserve"> </w:t>
      </w:r>
      <w:r>
        <w:rPr>
          <w:i w:val="false"/>
          <w:iCs w:val="false"/>
          <w:sz w:val="24"/>
          <w:shd w:fill="auto" w:val="clear"/>
        </w:rPr>
        <w:t>в</w:t>
      </w:r>
      <w:r>
        <w:rPr>
          <w:i w:val="false"/>
          <w:iCs w:val="false"/>
          <w:spacing w:val="-1"/>
          <w:sz w:val="24"/>
          <w:shd w:fill="auto" w:val="clear"/>
        </w:rPr>
        <w:t xml:space="preserve"> </w:t>
      </w:r>
      <w:r>
        <w:rPr>
          <w:i w:val="false"/>
          <w:iCs w:val="false"/>
          <w:sz w:val="24"/>
          <w:shd w:fill="auto" w:val="clear"/>
        </w:rPr>
        <w:t>Документации</w:t>
      </w:r>
      <w:r>
        <w:rPr>
          <w:i w:val="false"/>
          <w:iCs w:val="false"/>
          <w:spacing w:val="-1"/>
          <w:sz w:val="24"/>
          <w:shd w:fill="auto" w:val="clear"/>
        </w:rPr>
        <w:t xml:space="preserve"> </w:t>
      </w:r>
      <w:r>
        <w:rPr>
          <w:i w:val="false"/>
          <w:iCs w:val="false"/>
          <w:sz w:val="24"/>
          <w:shd w:fill="auto" w:val="clear"/>
        </w:rPr>
        <w:t>о закупке.</w:t>
      </w:r>
    </w:p>
    <w:p>
      <w:pPr>
        <w:pStyle w:val="ListParagraph"/>
        <w:widowControl/>
        <w:numPr>
          <w:ilvl w:val="1"/>
          <w:numId w:val="6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i w:val="false"/>
          <w:i w:val="false"/>
          <w:iCs w:val="false"/>
          <w:highlight w:val="none"/>
          <w:shd w:fill="auto" w:val="clear"/>
        </w:rPr>
      </w:pPr>
      <w:r>
        <w:rPr>
          <w:i w:val="false"/>
          <w:iCs w:val="false"/>
          <w:shd w:fill="auto" w:val="clear"/>
        </w:rPr>
        <w:t>Дополнительные</w:t>
      </w:r>
      <w:r>
        <w:rPr>
          <w:i w:val="false"/>
          <w:iCs w:val="false"/>
          <w:spacing w:val="-4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документы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по</w:t>
      </w:r>
      <w:r>
        <w:rPr>
          <w:i w:val="false"/>
          <w:iCs w:val="false"/>
          <w:spacing w:val="-2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ценообразованию</w:t>
      </w:r>
      <w:r>
        <w:rPr>
          <w:i w:val="false"/>
          <w:iCs w:val="false"/>
          <w:spacing w:val="2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в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состав</w:t>
      </w:r>
      <w:r>
        <w:rPr>
          <w:i w:val="false"/>
          <w:iCs w:val="false"/>
          <w:spacing w:val="-4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заявки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не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включаются.</w:t>
      </w:r>
    </w:p>
    <w:p>
      <w:pPr>
        <w:pStyle w:val="ListParagraph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i w:val="false"/>
          <w:i w:val="false"/>
          <w:iCs w:val="false"/>
          <w:highlight w:val="none"/>
          <w:shd w:fill="auto" w:val="clear"/>
        </w:rPr>
      </w:pPr>
      <w:r>
        <w:rPr>
          <w:i w:val="false"/>
          <w:iCs w:val="false"/>
          <w:shd w:fill="auto" w:val="clear"/>
        </w:rPr>
      </w:r>
    </w:p>
    <w:p>
      <w:pPr>
        <w:pStyle w:val="Heading1"/>
        <w:numPr>
          <w:ilvl w:val="0"/>
          <w:numId w:val="6"/>
        </w:numPr>
        <w:rPr>
          <w:i w:val="false"/>
          <w:i w:val="false"/>
          <w:iCs w:val="false"/>
          <w:highlight w:val="none"/>
          <w:shd w:fill="auto" w:val="clear"/>
        </w:rPr>
      </w:pPr>
      <w:bookmarkStart w:id="49" w:name="__RefHeading___Toc10600_2252160145"/>
      <w:bookmarkEnd w:id="49"/>
      <w:r>
        <w:rPr/>
        <w:t xml:space="preserve">  </w:t>
      </w:r>
      <w:r>
        <w:rPr/>
        <w:t>Приложения:</w:t>
      </w:r>
    </w:p>
    <w:p>
      <w:pPr>
        <w:pStyle w:val="ListParagraph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i w:val="false"/>
          <w:i w:val="false"/>
          <w:iCs w:val="false"/>
          <w:highlight w:val="none"/>
          <w:shd w:fill="auto" w:val="clear"/>
        </w:rPr>
      </w:pPr>
      <w:r>
        <w:rPr>
          <w:i w:val="false"/>
          <w:iCs w:val="false"/>
          <w:shd w:fill="auto" w:val="clear"/>
        </w:rPr>
        <w:t>4.1. Приложение №1</w:t>
      </w:r>
      <w:r>
        <w:rPr>
          <w:rFonts w:eastAsia="Times New Roman" w:cs="Times New Roman"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 АКТ ПРИЕМА-ПЕРЕДАЧИ  (Форма) 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  <w:bookmarkStart w:id="50" w:name="_Toc467435191"/>
      <w:bookmarkStart w:id="51" w:name="_Toc513396991"/>
      <w:bookmarkStart w:id="52" w:name="_Toc467435191"/>
      <w:bookmarkStart w:id="53" w:name="_Toc513396991"/>
      <w:bookmarkEnd w:id="52"/>
      <w:bookmarkEnd w:id="53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Руководитель Группы КЭО и РТС </w:t>
        <w:br/>
        <w:t>Центрального филиала АО «ТК РусГидро»</w:t>
        <w:tab/>
        <w:tab/>
        <w:tab/>
        <w:tab/>
        <w:t xml:space="preserve">            А.Н. Пышкин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x-none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x-none" w:bidi="ar-SA"/>
        </w:rPr>
        <w:t>Ведущий инженер по эксплуатации транспорта ГКОиРТС</w:t>
        <w:tab/>
        <w:tab/>
        <w:tab/>
        <w:t>А.И. Петров</w:t>
      </w:r>
      <w:r>
        <w:br w:type="page"/>
      </w:r>
    </w:p>
    <w:p>
      <w:pPr>
        <w:pStyle w:val="Normal"/>
        <w:suppressAutoHyphens w:val="true"/>
        <w:ind w:left="5103" w:right="96" w:firstLine="5103"/>
        <w:jc w:val="right"/>
        <w:rPr/>
      </w:pPr>
      <w:r>
        <w:rPr/>
        <w:br/>
      </w:r>
      <w:r>
        <w:rPr>
          <w:sz w:val="24"/>
          <w:szCs w:val="28"/>
        </w:rPr>
        <w:t>Приложение №1</w:t>
      </w:r>
    </w:p>
    <w:p>
      <w:pPr>
        <w:pStyle w:val="Normal"/>
        <w:suppressAutoHyphens w:val="true"/>
        <w:ind w:left="5103" w:right="96" w:firstLine="5103"/>
        <w:jc w:val="right"/>
        <w:rPr/>
      </w:pPr>
      <w:r>
        <w:rPr/>
      </w:r>
    </w:p>
    <w:p>
      <w:pPr>
        <w:pStyle w:val="Normal"/>
        <w:suppressAutoHyphens w:val="true"/>
        <w:ind w:left="5103" w:right="96" w:firstLine="5103"/>
        <w:jc w:val="right"/>
        <w:rPr/>
      </w:pPr>
      <w:r>
        <w:rPr/>
      </w:r>
    </w:p>
    <w:p>
      <w:pPr>
        <w:pStyle w:val="Normal"/>
        <w:suppressAutoHyphens w:val="true"/>
        <w:ind w:left="5103" w:right="96" w:firstLine="510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-142" w:right="0" w:firstLine="142"/>
        <w:jc w:val="center"/>
        <w:rPr>
          <w:b/>
          <w:color w:val="000000"/>
        </w:rPr>
      </w:pPr>
      <w:r>
        <w:rPr>
          <w:b/>
          <w:bCs/>
          <w:sz w:val="22"/>
          <w:szCs w:val="22"/>
        </w:rPr>
        <w:t xml:space="preserve">АКТ ПРИЕМА-ПЕРЕДАЧИ  (Форма) </w:t>
      </w:r>
    </w:p>
    <w:p>
      <w:pPr>
        <w:pStyle w:val="Normal"/>
        <w:jc w:val="center"/>
        <w:rPr>
          <w:b/>
          <w:color w:val="000000"/>
        </w:rPr>
      </w:pP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к договору поставки </w:t>
      </w:r>
      <w:r>
        <w:rPr>
          <w:b/>
          <w:sz w:val="22"/>
          <w:szCs w:val="22"/>
        </w:rPr>
        <w:t>№ ___________________от __________</w:t>
      </w:r>
      <w:r>
        <w:rPr>
          <w:b/>
          <w:bCs/>
          <w:sz w:val="22"/>
          <w:szCs w:val="22"/>
        </w:rPr>
        <w:t xml:space="preserve"> 2026 года.</w:t>
      </w:r>
    </w:p>
    <w:p>
      <w:pPr>
        <w:pStyle w:val="Normal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rPr>
          <w:b/>
          <w:color w:val="000000"/>
        </w:rPr>
      </w:pPr>
      <w:r>
        <w:rPr>
          <w:sz w:val="22"/>
          <w:szCs w:val="22"/>
        </w:rPr>
        <w:t xml:space="preserve">пгт. Богородское                                                                           </w:t>
        <w:tab/>
        <w:tab/>
        <w:t xml:space="preserve">  «    »  ___________ 2026г.</w:t>
      </w:r>
    </w:p>
    <w:p>
      <w:pPr>
        <w:pStyle w:val="Normal"/>
        <w:ind w:left="0" w:right="0" w:firstLine="567"/>
        <w:jc w:val="both"/>
        <w:rPr>
          <w:b/>
          <w:color w:val="000000"/>
        </w:rPr>
      </w:pPr>
      <w:r>
        <w:rPr>
          <w:sz w:val="22"/>
          <w:szCs w:val="22"/>
        </w:rPr>
        <w:t xml:space="preserve"> </w:t>
      </w:r>
    </w:p>
    <w:p>
      <w:pPr>
        <w:pStyle w:val="Normal"/>
        <w:jc w:val="both"/>
        <w:rPr>
          <w:b/>
          <w:color w:val="000000"/>
        </w:rPr>
      </w:pPr>
      <w:r>
        <w:rPr>
          <w:sz w:val="22"/>
          <w:szCs w:val="22"/>
        </w:rPr>
        <w:tab/>
        <w:t>Акционерное общество «Транспортная компания РусГидро» (АО «ТК РусГидро»), (далее - «Покупатель»), в лице _________________________действующего на основании ______________________________, с одной стороны, и _____________________________ (далее - «Поставщик»»), в лице ___________________________,  действующего на основании _________________, с другой стороны, совместно в дальнейшем именуемые «Стороны», а по отдельности – «Сторона», составили настоящий Акт приема-передачи о том, что согласно Договора поставки_№ _____________«Поставщик» передает в собственность транспортное средство:</w:t>
      </w:r>
    </w:p>
    <w:p>
      <w:pPr>
        <w:pStyle w:val="Normal"/>
        <w:ind w:left="0" w:right="0" w:firstLine="567"/>
        <w:jc w:val="both"/>
        <w:rPr>
          <w:b/>
          <w:color w:val="000000"/>
        </w:rPr>
      </w:pPr>
      <w:r>
        <w:rPr>
          <w:b/>
          <w:color w:val="000000"/>
        </w:rPr>
      </w:r>
    </w:p>
    <w:tbl>
      <w:tblPr>
        <w:tblW w:w="9633" w:type="dxa"/>
        <w:jc w:val="left"/>
        <w:tblInd w:w="-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  <w:gridCol w:w="4421"/>
      </w:tblGrid>
      <w:tr>
        <w:trPr/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Марка, модель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</w:tr>
      <w:tr>
        <w:trPr/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  <w:lang w:val="ru-RU"/>
              </w:rPr>
              <w:t>Идентификационный номер (</w:t>
            </w:r>
            <w:r>
              <w:rPr>
                <w:sz w:val="22"/>
                <w:szCs w:val="22"/>
                <w:lang w:val="en-US"/>
              </w:rPr>
              <w:t>VIN</w:t>
            </w:r>
            <w:r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Наименование (тип ТС)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Категория ТС 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</w:tr>
      <w:tr>
        <w:trPr/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Год изготовления ТС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</w:tr>
      <w:tr>
        <w:trPr/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Модель, № двигателя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</w:tr>
      <w:tr>
        <w:trPr/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Шасси (рама) №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</w:tr>
      <w:tr>
        <w:trPr/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Кузов (кабина, прицеп) №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</w:tr>
      <w:tr>
        <w:trPr/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Цвет кузова (кабины, прицепа)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</w:tr>
      <w:tr>
        <w:trPr/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  <w:lang w:val="ru-RU"/>
              </w:rPr>
              <w:t xml:space="preserve">№ </w:t>
            </w:r>
            <w:r>
              <w:rPr>
                <w:sz w:val="22"/>
                <w:szCs w:val="22"/>
                <w:lang w:val="ru-RU"/>
              </w:rPr>
              <w:t>ПТС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</w:tr>
      <w:tr>
        <w:trPr/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ПТС выдан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</w:tr>
      <w:tr>
        <w:trPr>
          <w:trHeight w:val="382" w:hRule="atLeast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Дополнительное оборудование: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</w:tr>
    </w:tbl>
    <w:p>
      <w:pPr>
        <w:pStyle w:val="Normal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both"/>
        <w:rPr>
          <w:b/>
          <w:color w:val="000000"/>
        </w:rPr>
      </w:pPr>
      <w:r>
        <w:rPr>
          <w:sz w:val="22"/>
          <w:szCs w:val="22"/>
        </w:rPr>
        <w:t xml:space="preserve">Транспортное средство находится в исправном состоянии. </w:t>
      </w:r>
    </w:p>
    <w:p>
      <w:pPr>
        <w:pStyle w:val="Normal"/>
        <w:jc w:val="both"/>
        <w:rPr>
          <w:b/>
          <w:color w:val="000000"/>
        </w:rPr>
      </w:pPr>
      <w:r>
        <w:rPr>
          <w:sz w:val="22"/>
          <w:szCs w:val="22"/>
        </w:rPr>
        <w:t xml:space="preserve">Все узлы и агрегаты работают в пределах нормы. </w:t>
      </w:r>
    </w:p>
    <w:p>
      <w:pPr>
        <w:pStyle w:val="Normal"/>
        <w:jc w:val="both"/>
        <w:rPr>
          <w:b/>
          <w:color w:val="000000"/>
        </w:rPr>
      </w:pPr>
      <w:r>
        <w:rPr>
          <w:sz w:val="22"/>
          <w:szCs w:val="22"/>
        </w:rPr>
        <w:t xml:space="preserve">Механические повреждения и нарушения лакокрасочного покрытия отсутствуют. </w:t>
      </w:r>
    </w:p>
    <w:p>
      <w:pPr>
        <w:pStyle w:val="Normal"/>
        <w:jc w:val="both"/>
        <w:rPr>
          <w:b/>
          <w:color w:val="000000"/>
        </w:rPr>
      </w:pPr>
      <w:r>
        <w:rPr>
          <w:b/>
          <w:sz w:val="22"/>
          <w:szCs w:val="22"/>
        </w:rPr>
        <w:t>Стороны друг к другу претензий не имеют.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tbl>
      <w:tblPr>
        <w:tblW w:w="10099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995"/>
        <w:gridCol w:w="5103"/>
      </w:tblGrid>
      <w:tr>
        <w:trPr/>
        <w:tc>
          <w:tcPr>
            <w:tcW w:w="499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03" w:type="dxa"/>
            <w:tcBorders/>
            <w:shd w:color="auto" w:fill="auto" w:val="clear"/>
          </w:tcPr>
          <w:p>
            <w:pPr>
              <w:pStyle w:val="Normal"/>
              <w:widowControl w:val="false"/>
              <w:ind w:firstLine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>
            <w:pPr>
              <w:pStyle w:val="Normal"/>
              <w:widowControl w:val="false"/>
              <w:spacing w:lineRule="auto" w:line="360"/>
              <w:ind w:firstLine="3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suppressAutoHyphens w:val="true"/>
        <w:ind w:right="96" w:firstLine="6237"/>
        <w:rPr>
          <w:sz w:val="24"/>
          <w:szCs w:val="24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0642389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56515804"/>
    </w:sdtPr>
    <w:sdtContent>
      <w:p>
        <w:pPr>
          <w:pStyle w:val="Header"/>
          <w:jc w:val="center"/>
          <w:rPr/>
        </w:pPr>
        <w:r>
          <w:rPr/>
        </w:r>
      </w:p>
    </w:sdtContent>
  </w:sdt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763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3"/>
      <w:numFmt w:val="decimal"/>
      <w:lvlText w:val="%1."/>
      <w:lvlJc w:val="left"/>
      <w:pPr>
        <w:tabs>
          <w:tab w:val="num" w:pos="0"/>
        </w:tabs>
        <w:ind w:left="1193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3" w:hanging="420"/>
      </w:pPr>
      <w:rPr/>
    </w:lvl>
    <w:lvl w:ilvl="2">
      <w:start w:val="0"/>
      <w:numFmt w:val="bullet"/>
      <w:lvlText w:val=""/>
      <w:lvlJc w:val="left"/>
      <w:pPr>
        <w:tabs>
          <w:tab w:val="num" w:pos="0"/>
        </w:tabs>
        <w:ind w:left="2247" w:hanging="42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34" w:hanging="42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22" w:hanging="42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09" w:hanging="4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96" w:hanging="42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4" w:hanging="42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71" w:hanging="420"/>
      </w:pPr>
      <w:rPr>
        <w:rFonts w:ascii="Symbol" w:hAnsi="Symbol" w:cs="Symbol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287613"/>
    <w:pPr>
      <w:keepNext w:val="true"/>
      <w:tabs>
        <w:tab w:val="clear" w:pos="708"/>
        <w:tab w:val="left" w:pos="0" w:leader="none"/>
      </w:tabs>
      <w:spacing w:before="120" w:after="60"/>
      <w:ind w:left="851" w:hanging="851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basedOn w:val="DefaultParagraphFont"/>
    <w:uiPriority w:val="99"/>
    <w:unhideWhenUsed/>
    <w:rsid w:val="00bc3e72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287613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WW8Num4z0">
    <w:name w:val="WW8Num4z0"/>
    <w:qFormat/>
    <w:rPr>
      <w:rFonts w:ascii="Symbol" w:hAnsi="Symbol" w:cs="Symbol"/>
    </w:rPr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" w:customStyle="1">
    <w:name w:val="index heading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766670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ind w:left="720" w:hanging="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[РГ] Текст"/>
    <w:basedOn w:val="Normal"/>
    <w:qFormat/>
    <w:rsid w:val="00ff3463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Default" w:customStyle="1">
    <w:name w:val="Default"/>
    <w:qFormat/>
    <w:rsid w:val="009a52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ru-RU" w:eastAsia="en-US" w:bidi="ar-SA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WW8Num4">
    <w:name w:val="WW8Num4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BB167-CEEB-442E-A4B2-FF8B4E473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2186</TotalTime>
  <Application>AlterOffice/3.4.0.9$Linux_X86_64 LibreOffice_project/b8daf9e823b1a5463a2f48435ddc2e8696e7d4fc</Application>
  <AppVersion>15.0000</AppVersion>
  <Pages>14</Pages>
  <Words>2003</Words>
  <Characters>12859</Characters>
  <CharactersWithSpaces>14330</CharactersWithSpaces>
  <Paragraphs>689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2023-08-31T12:35:00Z</dcterms:created>
  <dc:creator>Быстров Олег Геннадьевич</dc:creator>
  <dc:description/>
  <dc:language>ru-RU</dc:language>
  <cp:lastModifiedBy>petrovai@corp.gidroogk.com</cp:lastModifiedBy>
  <cp:lastPrinted>2026-01-15T11:04:13Z</cp:lastPrinted>
  <dcterms:modified xsi:type="dcterms:W3CDTF">2026-08-17T13:21:37Z</dcterms:modified>
  <cp:revision>105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