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er6.xml" ContentType="application/vnd.openxmlformats-officedocument.wordprocessingml.foot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0"/>
        <w:ind w:firstLine="524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ind w:firstLine="524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ind w:firstLine="524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ind w:firstLine="524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ind w:firstLine="524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ind w:firstLine="524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ind w:firstLine="524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ind w:firstLine="524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tabs>
          <w:tab w:val="clear" w:pos="708"/>
          <w:tab w:val="left" w:pos="6078" w:leader="none"/>
        </w:tabs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ab/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rFonts w:eastAsia="Calibri"/>
          <w:b/>
          <w:sz w:val="24"/>
          <w:szCs w:val="24"/>
        </w:rPr>
      </w:pPr>
      <w:bookmarkStart w:id="0" w:name="__RefHeading___Toc18127_2130071761"/>
      <w:bookmarkStart w:id="1" w:name="_Toc182317109"/>
      <w:bookmarkStart w:id="2" w:name="_Toc523836089"/>
      <w:bookmarkStart w:id="3" w:name="_Toc124933887"/>
      <w:bookmarkStart w:id="4" w:name="_Toc139856287_Копия_1"/>
      <w:bookmarkStart w:id="5" w:name="_Toc137554584_Копия_1"/>
      <w:bookmarkStart w:id="6" w:name="_Toc141696704_Копия_1"/>
      <w:bookmarkEnd w:id="0"/>
      <w:bookmarkEnd w:id="4"/>
      <w:bookmarkEnd w:id="5"/>
      <w:bookmarkEnd w:id="6"/>
      <w:r>
        <w:rPr>
          <w:b/>
          <w:bCs/>
          <w:kern w:val="2"/>
          <w:sz w:val="24"/>
          <w:szCs w:val="24"/>
        </w:rPr>
        <w:t>Т</w:t>
      </w:r>
      <w:bookmarkEnd w:id="2"/>
      <w:bookmarkEnd w:id="3"/>
      <w:r>
        <w:rPr>
          <w:b/>
          <w:bCs/>
          <w:kern w:val="2"/>
          <w:sz w:val="24"/>
          <w:szCs w:val="24"/>
        </w:rPr>
        <w:t xml:space="preserve">ехнические требования </w:t>
      </w:r>
      <w:r>
        <w:rPr>
          <w:rFonts w:eastAsia="Calibri"/>
          <w:b/>
          <w:sz w:val="24"/>
          <w:szCs w:val="24"/>
        </w:rPr>
        <w:t>на поставку МТР</w:t>
      </w:r>
      <w:bookmarkEnd w:id="1"/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bCs/>
          <w:kern w:val="2"/>
          <w:sz w:val="24"/>
          <w:szCs w:val="24"/>
        </w:rPr>
      </w:pPr>
      <w:r>
        <w:rPr>
          <w:b/>
          <w:bCs/>
          <w:kern w:val="2"/>
          <w:sz w:val="24"/>
          <w:szCs w:val="24"/>
        </w:rPr>
      </w:r>
    </w:p>
    <w:p>
      <w:pPr>
        <w:pStyle w:val="Normal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«ОКПД2 27.90.33 Поставка запасных частей и материалов для технического обслуживания оборудования релейной защиты и автоматики, систем автоматического управления, автоматики пожаротушения для нужд Филиала ПАО "РусГидро"-"Загорская ГАЭС"»</w:t>
      </w:r>
    </w:p>
    <w:p>
      <w:pPr>
        <w:pStyle w:val="Normal"/>
        <w:jc w:val="center"/>
        <w:rPr>
          <w:sz w:val="24"/>
          <w:szCs w:val="24"/>
          <w:shd w:fill="AFD095" w:val="clear"/>
        </w:rPr>
      </w:pPr>
      <w:r>
        <w:rPr>
          <w:sz w:val="24"/>
          <w:szCs w:val="24"/>
          <w:shd w:fill="AFD095" w:val="clear"/>
        </w:rPr>
      </w:r>
    </w:p>
    <w:p>
      <w:pPr>
        <w:pStyle w:val="Normal"/>
        <w:jc w:val="center"/>
        <w:rPr>
          <w:rFonts w:eastAsia="Calibri"/>
          <w:color w:val="000000"/>
          <w:sz w:val="26"/>
          <w:szCs w:val="26"/>
          <w:lang w:val="en-US" w:eastAsia="en-US"/>
        </w:rPr>
      </w:pPr>
      <w:r>
        <w:rPr/>
      </w:r>
      <w:r>
        <w:br w:type="page"/>
      </w:r>
    </w:p>
    <w:p>
      <w:pPr>
        <w:pStyle w:val="Normal"/>
        <w:keepNext w:val="true"/>
        <w:keepLines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r>
            <w:fldChar w:fldCharType="begin"/>
          </w:r>
          <w:r>
            <w:rPr>
              <w:rStyle w:val="Style15"/>
            </w:rPr>
            <w:instrText xml:space="preserve"> TOC \o "1-4" \h</w:instrText>
          </w:r>
          <w:r>
            <w:rPr>
              <w:rStyle w:val="Style15"/>
            </w:rPr>
            <w:fldChar w:fldCharType="separate"/>
          </w:r>
          <w:hyperlink w:anchor="__RefHeading___Toc18127_2130071761">
            <w:r>
              <w:rPr>
                <w:rStyle w:val="Style15"/>
              </w:rPr>
              <w:t>Технические требования на поставку МТР</w:t>
              <w:tab/>
              <w:t>1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8129_2130071761">
            <w:r>
              <w:rPr>
                <w:rStyle w:val="Style15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8131_2130071761">
            <w:r>
              <w:rPr>
                <w:rStyle w:val="Style15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8133_2130071761">
            <w:r>
              <w:rPr>
                <w:rStyle w:val="Style15"/>
              </w:rPr>
              <w:t>1.2. Наименование закупаемой продукции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8135_2130071761">
            <w:r>
              <w:rPr>
                <w:rStyle w:val="Style15"/>
              </w:rPr>
              <w:t>1.3. Цель использования закупаемой продукции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8137_2130071761">
            <w:r>
              <w:rPr>
                <w:rStyle w:val="Style15"/>
              </w:rPr>
              <w:t>1.4. Существующее положение</w:t>
              <w:tab/>
              <w:t>4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8139_2130071761">
            <w:r>
              <w:rPr>
                <w:rStyle w:val="Style15"/>
              </w:rPr>
              <w:t xml:space="preserve">2. </w:t>
            </w:r>
            <w:r>
              <w:rPr>
                <w:rStyle w:val="Style15"/>
                <w:iCs/>
              </w:rPr>
              <w:t>Требования к продукции</w:t>
            </w:r>
            <w:r>
              <w:rPr>
                <w:rStyle w:val="Style15"/>
              </w:rPr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8141_2130071761">
            <w:r>
              <w:rPr>
                <w:rStyle w:val="Style15"/>
              </w:rPr>
              <w:t>2.1. Требования к объемам и срокам поставки</w:t>
              <w:tab/>
              <w:t>4</w:t>
            </w:r>
          </w:hyperlink>
        </w:p>
        <w:p>
          <w:pPr>
            <w:pStyle w:val="TOC3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18143_2130071761">
            <w:r>
              <w:rPr>
                <w:rStyle w:val="Style15"/>
              </w:rPr>
              <w:t>2.1.1. Перечень и объем закупаемой продукции</w:t>
              <w:tab/>
              <w:t>4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8145_2130071761">
            <w:r>
              <w:rPr>
                <w:rStyle w:val="Style15"/>
              </w:rPr>
              <w:t>Таблица 1.1 Перечень и объем закупаемой продукции</w:t>
              <w:tab/>
              <w:t>4</w:t>
            </w:r>
          </w:hyperlink>
        </w:p>
        <w:p>
          <w:pPr>
            <w:pStyle w:val="TOC3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16382_3942172304">
            <w:r>
              <w:rPr>
                <w:rStyle w:val="Style15"/>
              </w:rPr>
              <w:t>2.1.2. Требования к срокам поставки продукции и оказания сопутствующих услуг</w:t>
              <w:tab/>
              <w:t>23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8149_2130071761">
            <w:r>
              <w:rPr>
                <w:rStyle w:val="Style15"/>
              </w:rPr>
              <w:t>Таблица 2.1 Требования по срокам поставки продукции</w:t>
              <w:tab/>
              <w:t>23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8151_2130071761">
            <w:r>
              <w:rPr>
                <w:rStyle w:val="Style15"/>
              </w:rPr>
              <w:t>2.2. Требования к качеству продукции</w:t>
              <w:tab/>
              <w:t>24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8153_2130071761">
            <w:r>
              <w:rPr>
                <w:rStyle w:val="Style15"/>
              </w:rPr>
              <w:t xml:space="preserve"> </w:t>
            </w:r>
            <w:r>
              <w:rPr>
                <w:rStyle w:val="Style15"/>
              </w:rPr>
              <w:t>Таблица 3. Требования к продукции</w:t>
              <w:tab/>
              <w:t>24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32478_2130071761">
            <w:r>
              <w:rPr>
                <w:rStyle w:val="Style15"/>
              </w:rPr>
              <w:t>Таблица 3.1. Требования к продукции (индивидуальные требования по каждой позиции перечня продукции)</w:t>
              <w:tab/>
              <w:t>31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8161_2130071761">
            <w:r>
              <w:rPr>
                <w:rStyle w:val="Style15"/>
              </w:rPr>
              <w:t>3. Требования к документации по ценообразованию на этапе закупки</w:t>
              <w:tab/>
              <w:t>95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8163_2130071761">
            <w:r>
              <w:rPr>
                <w:rStyle w:val="Style15"/>
              </w:rPr>
              <w:t>4. Приложения</w:t>
              <w:tab/>
              <w:t>95</w:t>
            </w:r>
          </w:hyperlink>
          <w:r>
            <w:rPr>
              <w:rStyle w:val="Style15"/>
            </w:rPr>
            <w:fldChar w:fldCharType="end"/>
          </w:r>
        </w:p>
      </w:sdtContent>
    </w:sdt>
    <w:p>
      <w:pPr>
        <w:pStyle w:val="TOC1"/>
        <w:tabs>
          <w:tab w:val="clear" w:pos="560"/>
          <w:tab w:val="clear" w:pos="9911"/>
          <w:tab w:val="right" w:pos="9921" w:leader="dot"/>
        </w:tabs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sz w:val="24"/>
          <w:szCs w:val="24"/>
          <w:lang w:val="ru-RU"/>
        </w:rPr>
      </w:pPr>
      <w:bookmarkStart w:id="7" w:name="__RefHeading___Toc18129_2130071761"/>
      <w:bookmarkStart w:id="8" w:name="_Toc51339692"/>
      <w:bookmarkStart w:id="9" w:name="_Toc124933888"/>
      <w:bookmarkStart w:id="10" w:name="_Toc182317110"/>
      <w:bookmarkEnd w:id="7"/>
      <w:r>
        <w:rPr>
          <w:sz w:val="24"/>
          <w:szCs w:val="24"/>
          <w:lang w:val="ru-RU"/>
        </w:rPr>
        <w:t>Общие сведения</w:t>
      </w:r>
      <w:bookmarkEnd w:id="8"/>
      <w:bookmarkEnd w:id="9"/>
      <w:bookmarkEnd w:id="10"/>
    </w:p>
    <w:p>
      <w:pPr>
        <w:pStyle w:val="Heading4"/>
        <w:numPr>
          <w:ilvl w:val="1"/>
          <w:numId w:val="3"/>
        </w:numPr>
        <w:rPr/>
      </w:pPr>
      <w:bookmarkStart w:id="11" w:name="__RefHeading___Toc18131_2130071761"/>
      <w:bookmarkStart w:id="12" w:name="_Toc46743505"/>
      <w:bookmarkStart w:id="13" w:name="_Toc75446567"/>
      <w:bookmarkStart w:id="14" w:name="_Toc182317111"/>
      <w:bookmarkEnd w:id="11"/>
      <w:r>
        <w:rPr/>
        <w:t>Обозначения и сокращения</w:t>
      </w:r>
      <w:bookmarkEnd w:id="12"/>
      <w:bookmarkEnd w:id="13"/>
      <w:bookmarkEnd w:id="14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1785"/>
        <w:gridCol w:w="7997"/>
      </w:tblGrid>
      <w:tr>
        <w:trPr>
          <w:trHeight w:val="340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ГАЭС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Гидроаккумулирующая электростанция</w:t>
            </w:r>
          </w:p>
        </w:tc>
      </w:tr>
      <w:tr>
        <w:trPr>
          <w:trHeight w:val="340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Межгосударственный стандарт</w:t>
            </w:r>
          </w:p>
        </w:tc>
      </w:tr>
      <w:tr>
        <w:trPr>
          <w:trHeight w:val="340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МТР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Материально - технические ресурсы</w:t>
            </w:r>
          </w:p>
        </w:tc>
      </w:tr>
      <w:tr>
        <w:trPr>
          <w:trHeight w:val="340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ПАО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Публичное акционерное общество</w:t>
            </w:r>
          </w:p>
        </w:tc>
      </w:tr>
      <w:tr>
        <w:trPr>
          <w:trHeight w:val="340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СИ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Средство измерения</w:t>
            </w:r>
          </w:p>
        </w:tc>
      </w:tr>
      <w:tr>
        <w:trPr>
          <w:trHeight w:val="340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shd w:fill="FFFF00" w:val="clear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СРЗАиМ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shd w:fill="FFFF00" w:val="clear"/>
              </w:rPr>
            </w:pPr>
            <w:r>
              <w:rPr>
                <w:sz w:val="24"/>
                <w:szCs w:val="24"/>
              </w:rPr>
              <w:t>Служба релейной защиты, автоматики и метрологии</w:t>
            </w:r>
          </w:p>
        </w:tc>
      </w:tr>
      <w:tr>
        <w:trPr>
          <w:trHeight w:val="340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ФИФ ОЕИ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информационный фонд по обеспечению единства измерений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15" w:name="__RefHeading___Toc18133_2130071761"/>
      <w:bookmarkStart w:id="16" w:name="_Toc182317112"/>
      <w:bookmarkStart w:id="17" w:name="_Toc46743506"/>
      <w:bookmarkStart w:id="18" w:name="_Toc124933889"/>
      <w:bookmarkEnd w:id="15"/>
      <w:r>
        <w:rPr/>
        <w:t>Наименование закупаемой продукции</w:t>
      </w:r>
      <w:bookmarkEnd w:id="16"/>
      <w:bookmarkEnd w:id="17"/>
      <w:bookmarkEnd w:id="18"/>
    </w:p>
    <w:p>
      <w:pPr>
        <w:pStyle w:val="Normal"/>
        <w:ind w:firstLine="709"/>
        <w:jc w:val="both"/>
        <w:rPr>
          <w:b/>
          <w:sz w:val="24"/>
          <w:szCs w:val="24"/>
        </w:rPr>
      </w:pPr>
      <w:r>
        <w:rPr>
          <w:rFonts w:eastAsia="Calibri"/>
          <w:sz w:val="24"/>
          <w:szCs w:val="24"/>
        </w:rPr>
        <w:t>ОКПД2 27.90.33 Поставка запасных частей и материалов для технического обслуживания оборудования релейной защиты и автоматики, систем автоматического управления, автоматики пожаротушения для нужд Филиала ПАО "РусГидро"-"Загорская ГАЭС"».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19" w:name="__RefHeading___Toc18135_2130071761"/>
      <w:bookmarkStart w:id="20" w:name="_Toc124933890"/>
      <w:bookmarkStart w:id="21" w:name="_Toc182317113"/>
      <w:bookmarkStart w:id="22" w:name="_Toc46743507"/>
      <w:bookmarkEnd w:id="19"/>
      <w:r>
        <w:rPr/>
        <w:t xml:space="preserve">Цель </w:t>
      </w:r>
      <w:bookmarkEnd w:id="22"/>
      <w:r>
        <w:rPr>
          <w:lang w:val="ru-RU"/>
        </w:rPr>
        <w:t>использования закупаемой продукции</w:t>
      </w:r>
      <w:bookmarkEnd w:id="20"/>
      <w:bookmarkEnd w:id="21"/>
    </w:p>
    <w:p>
      <w:pPr>
        <w:pStyle w:val="Normal"/>
        <w:spacing w:before="0" w:after="240"/>
        <w:ind w:firstLine="708"/>
        <w:jc w:val="both"/>
        <w:rPr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>Обеспечение оборудования СРЗАиМ запасными частями, необходимыми для технического обслуживания оборудования релейной защиты и автоматики, систем автоматического управления, автоматики пожаротушения для нужд</w:t>
      </w:r>
      <w:r>
        <w:rPr>
          <w:sz w:val="24"/>
          <w:szCs w:val="24"/>
        </w:rPr>
        <w:t xml:space="preserve"> Филиала ПАО "РусГидро"-"Загорская ГАЭС".</w:t>
      </w:r>
    </w:p>
    <w:p>
      <w:pPr>
        <w:pStyle w:val="Heading4"/>
        <w:numPr>
          <w:ilvl w:val="1"/>
          <w:numId w:val="3"/>
        </w:numPr>
        <w:rPr/>
      </w:pPr>
      <w:bookmarkStart w:id="23" w:name="__RefHeading___Toc18137_2130071761"/>
      <w:bookmarkStart w:id="24" w:name="_Toc124933891"/>
      <w:bookmarkStart w:id="25" w:name="_Toc182317114"/>
      <w:bookmarkStart w:id="26" w:name="_Toc46743508"/>
      <w:bookmarkEnd w:id="23"/>
      <w:r>
        <w:rPr/>
        <w:t>Существующее положение</w:t>
      </w:r>
      <w:bookmarkEnd w:id="24"/>
      <w:bookmarkEnd w:id="25"/>
      <w:bookmarkEnd w:id="26"/>
      <w:r>
        <w:rPr>
          <w:lang w:val="ru-RU"/>
        </w:rPr>
        <w:t xml:space="preserve"> </w:t>
      </w:r>
    </w:p>
    <w:p>
      <w:pPr>
        <w:pStyle w:val="Normal"/>
        <w:ind w:firstLine="720"/>
        <w:jc w:val="both"/>
        <w:rPr>
          <w:iCs/>
          <w:sz w:val="24"/>
          <w:szCs w:val="24"/>
        </w:rPr>
      </w:pPr>
      <w:bookmarkStart w:id="27" w:name="_Toc50125126"/>
      <w:bookmarkStart w:id="28" w:name="_Toc75446572"/>
      <w:bookmarkEnd w:id="27"/>
      <w:bookmarkEnd w:id="28"/>
      <w:r>
        <w:rPr>
          <w:iCs/>
          <w:sz w:val="24"/>
          <w:szCs w:val="24"/>
        </w:rPr>
        <w:t xml:space="preserve">Настоящие технические требования сформированы с учетом характеристик существующего оборудования Филиала ПАО «РусГидро» - «Загорская ГАЭС» в целях </w:t>
      </w:r>
      <w:r>
        <w:rPr>
          <w:rFonts w:eastAsia="Calibri"/>
          <w:iCs/>
          <w:kern w:val="2"/>
          <w:sz w:val="24"/>
          <w:szCs w:val="24"/>
        </w:rPr>
        <w:t xml:space="preserve">технического обслуживания оборудования релейной защиты и автоматики, систем автоматического управления, автоматики пожаротушения </w:t>
      </w:r>
      <w:r>
        <w:rPr>
          <w:iCs/>
          <w:sz w:val="24"/>
          <w:szCs w:val="24"/>
        </w:rPr>
        <w:t>на оборудовании СРЗАиМ.</w:t>
      </w:r>
    </w:p>
    <w:p>
      <w:pPr>
        <w:pStyle w:val="Normal"/>
        <w:tabs>
          <w:tab w:val="clear" w:pos="708"/>
          <w:tab w:val="left" w:pos="720" w:leader="none"/>
          <w:tab w:val="left" w:pos="3780" w:leader="none"/>
          <w:tab w:val="left" w:pos="4320" w:leader="none"/>
        </w:tabs>
        <w:ind w:firstLine="720"/>
        <w:jc w:val="both"/>
        <w:rPr/>
      </w:pPr>
      <w:r>
        <w:rPr>
          <w:rFonts w:eastAsia="Calibri"/>
          <w:iCs/>
          <w:kern w:val="2"/>
          <w:sz w:val="24"/>
          <w:szCs w:val="24"/>
        </w:rPr>
        <w:t>Оборудование релейной защиты и автоматики систем автоматического управления, автоматики пожаротушения нуждается в периодическом техническом обслуживании. Для обеспечения проведения технического обслуживания в 2027 году необходима поставка запасных частей (далее – продукции) в соответствии с настоящими техническими требованиями.</w:t>
      </w:r>
    </w:p>
    <w:p>
      <w:pPr>
        <w:pStyle w:val="Normal"/>
        <w:tabs>
          <w:tab w:val="clear" w:pos="708"/>
          <w:tab w:val="left" w:pos="720" w:leader="none"/>
          <w:tab w:val="left" w:pos="3780" w:leader="none"/>
          <w:tab w:val="left" w:pos="4320" w:leader="none"/>
        </w:tabs>
        <w:ind w:firstLine="720"/>
        <w:jc w:val="both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sz w:val="24"/>
          <w:szCs w:val="24"/>
          <w:lang w:val="ru-RU"/>
        </w:rPr>
      </w:pPr>
      <w:bookmarkStart w:id="29" w:name="__RefHeading___Toc18139_2130071761"/>
      <w:bookmarkStart w:id="30" w:name="_Toc124933892"/>
      <w:bookmarkStart w:id="31" w:name="_Toc51339693"/>
      <w:bookmarkStart w:id="32" w:name="_Toc182317115"/>
      <w:bookmarkStart w:id="33" w:name="_Toc75446572_Копия_1"/>
      <w:bookmarkEnd w:id="29"/>
      <w:bookmarkEnd w:id="33"/>
      <w:r>
        <w:rPr>
          <w:iCs/>
          <w:sz w:val="24"/>
          <w:szCs w:val="24"/>
        </w:rPr>
        <w:t>Требования к продукции</w:t>
      </w:r>
      <w:bookmarkEnd w:id="30"/>
      <w:bookmarkEnd w:id="31"/>
      <w:bookmarkEnd w:id="32"/>
    </w:p>
    <w:p>
      <w:pPr>
        <w:pStyle w:val="Heading4"/>
        <w:numPr>
          <w:ilvl w:val="1"/>
          <w:numId w:val="3"/>
        </w:numPr>
        <w:rPr/>
      </w:pPr>
      <w:bookmarkStart w:id="34" w:name="__RefHeading___Toc18141_2130071761"/>
      <w:bookmarkStart w:id="35" w:name="_Toc124933893"/>
      <w:bookmarkStart w:id="36" w:name="_Toc182317116"/>
      <w:bookmarkEnd w:id="3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35"/>
      <w:bookmarkEnd w:id="36"/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37" w:name="__RefHeading___Toc18143_2130071761"/>
      <w:bookmarkStart w:id="38" w:name="_Toc124933894"/>
      <w:bookmarkStart w:id="39" w:name="_Toc182317117"/>
      <w:bookmarkEnd w:id="37"/>
      <w:r>
        <w:rPr>
          <w:lang w:val="ru-RU"/>
        </w:rPr>
        <w:t>Перечень и объем закупаемой продукции</w:t>
      </w:r>
      <w:bookmarkEnd w:id="38"/>
      <w:bookmarkEnd w:id="39"/>
    </w:p>
    <w:p>
      <w:pPr>
        <w:pStyle w:val="Heading4"/>
        <w:ind w:left="432" w:hanging="0"/>
        <w:rPr>
          <w:lang w:val="ru-RU"/>
        </w:rPr>
      </w:pPr>
      <w:r>
        <w:rPr>
          <w:lang w:val="ru-RU"/>
        </w:rPr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40" w:name="__RefHeading___Toc18145_2130071761"/>
      <w:bookmarkStart w:id="41" w:name="_Toc182317118"/>
      <w:bookmarkStart w:id="42" w:name="_Toc124933895"/>
      <w:bookmarkStart w:id="43" w:name="_Toc51339695"/>
      <w:bookmarkEnd w:id="40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43"/>
      <w:r>
        <w:rPr>
          <w:sz w:val="24"/>
          <w:szCs w:val="24"/>
          <w:lang w:val="ru-RU"/>
        </w:rPr>
        <w:t>и объем закупаемой продукции</w:t>
      </w:r>
      <w:bookmarkEnd w:id="41"/>
      <w:bookmarkEnd w:id="42"/>
    </w:p>
    <w:tbl>
      <w:tblPr>
        <w:tblW w:w="50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686"/>
        <w:gridCol w:w="2887"/>
        <w:gridCol w:w="1944"/>
        <w:gridCol w:w="2203"/>
        <w:gridCol w:w="1380"/>
        <w:gridCol w:w="820"/>
      </w:tblGrid>
      <w:tr>
        <w:trPr>
          <w:trHeight w:val="950" w:hRule="atLeast"/>
          <w:cantSplit w:val="true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 (с наименованием)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  <w:lang w:val="en-US"/>
              </w:rPr>
              <w:t>ерения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  <w:lang w:val="en-US"/>
              </w:rPr>
              <w:t>ичест</w:t>
            </w:r>
            <w:r>
              <w:rPr>
                <w:sz w:val="24"/>
                <w:szCs w:val="24"/>
              </w:rPr>
              <w:t>во</w:t>
            </w:r>
          </w:p>
        </w:tc>
      </w:tr>
      <w:tr>
        <w:trPr>
          <w:cantSplit w:val="true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3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6</w:t>
            </w:r>
          </w:p>
        </w:tc>
      </w:tr>
      <w:tr>
        <w:trPr>
          <w:cantSplit w:val="true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Выключатель автоматический модульный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27.12.22.000</w:t>
              <w:br/>
              <w:t>Выключатели автоматические на напряжение не более 1 кВ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Национальный режим предоставляется **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>
        <w:trPr>
          <w:cantSplit w:val="true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Выключатель автоматический модульный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27.12.22.000</w:t>
              <w:br/>
              <w:t>Выключатели автоматические на напряжение не более 1 кВ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Национальный режим предоставляется **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>
        <w:trPr>
          <w:cantSplit w:val="true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Выключатель автоматический модульный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27.12.22.000</w:t>
              <w:br/>
              <w:t>Выключатели автоматические на напряжение не более 1 кВ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Национальный режим предоставляется **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</w:tr>
      <w:tr>
        <w:trPr>
          <w:cantSplit w:val="true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Выключатель автоматический модульный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27.12.22.000</w:t>
              <w:br/>
              <w:t>Выключатели автоматические на напряжение не более 1 кВ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Национальный режим предоставляется **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</w:tr>
      <w:tr>
        <w:trPr>
          <w:cantSplit w:val="true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Выключатель автоматический модульный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27.12.22.000</w:t>
              <w:br/>
              <w:t>Выключатели автоматические на напряжение не более 1 кВ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Национальный режим предоставляется **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</w:tr>
      <w:tr>
        <w:trPr>
          <w:cantSplit w:val="true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Контроллер двухпроводной линии связи С2000-КДЛ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26.30.50.123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Станции пожарной сигнализации, приборы управления и оповещатели пожарные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Национальный режим предоставляется ***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cantSplit w:val="true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Извещатель пожарный дымовой адресно-аналоговый оптико-электронный ДИП-34А-04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26.30.50.121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Извещатели пожарные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Национальный режим предоставляется ***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>
        <w:trPr>
          <w:trHeight w:val="1186" w:hRule="atLeast"/>
          <w:cantSplit w:val="true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Извещатель тепловой адресно-аналоговый максимально-дифференциальный С2000-ИП-03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26.30.50.121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Извещатели пожарные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Национальный режим предоставляется ***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>
        <w:trPr>
          <w:cantSplit w:val="true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Извещатель пожарный тепловой максимально-дифференциальный адресно-аналоговый С2000-ИП-ПА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26.30.50.121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Извещатели пожарные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Национальный режим предоставляется ***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>
        <w:trPr>
          <w:cantSplit w:val="true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Извещатель пожарный ручной адресный электроконтактный ИПР513-3АМ исп.01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26.30.50.121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Извещатели пожарные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Национальный режим предоставляется ***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Извещатель пожарный ручной ИПР-513-3м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26.30.50.121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Извещатели пожарные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Национальный режим предоставляется ***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Оповещатель пожарный световой «Выход»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26.30.50.123</w:t>
              <w:br/>
              <w:t>Станции пожарной сигнализации, приборы управления и оповещатели пожарные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Оповещатель пожарный световой «Пожар»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26.30.50.123</w:t>
              <w:br/>
              <w:t>Станции пожарной сигнализации, приборы управления и оповещатели пожарные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Преобразователь интерфейсов  C2000-Ethernet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26.30.50.129</w:t>
              <w:br/>
              <w:t>Приборы и аппаратура для систем автоматического пожаротушения и пожарной сигнализации прочие, не включенные в другие группировки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Национальный режим предоставляется ***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Извещатель пожарный дымовой оптико-электронный ИП212-141М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26.30.50.121 </w:t>
              <w:br/>
              <w:t>Извещатели пожарные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Национальный режим предоставляется ***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Лампа сигнальная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27.40.15.150</w:t>
              <w:br/>
              <w:t>Лампы светодиодные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Прибор управления пожаротушением С2000-АСПТ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26.30.50.123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Станции пожарной сигнализации, приборы управления и оповещатели пожарные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Национальный режим предоставляется ***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Прибор управления пожарный Сигнал-10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26.30.50.123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Станции пожарной сигнализации, приборы управления и оповещатели пожарные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Национальный режим предоставляется ***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Прибор управления пожарный Сигнал-20П исп.01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26.30.50.123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Станции пожарной сигнализации, приборы управления и оповещатели пожарные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Национальный режим предоставляется ***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Модуль преобразования напряжения МП24/12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26.30.50.129</w:t>
              <w:br/>
              <w:t>Приборы и аппаратура для систем автоматического пожаротушения и пожарной сигнализации прочие, не включенные в другие группировки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Национальный режим предоставляется ***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Преобразователь протокола С2000ПП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26.30.50.129</w:t>
              <w:br/>
              <w:t>Приборы и аппаратура для систем автоматического пожаротушения и пожарной сигнализации прочие, не включенные в другие группировки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Национальный режим предоставляется ***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 xml:space="preserve">Панель оператора сенсорная Weintek MT8150XE </w:t>
            </w:r>
            <w:r>
              <w:rPr>
                <w:rFonts w:eastAsia="Calibri" w:ascii="Calibri" w:hAnsi="Calibri"/>
                <w:i/>
                <w:iCs/>
                <w:color w:val="000000"/>
                <w:sz w:val="24"/>
                <w:szCs w:val="24"/>
                <w:lang w:eastAsia="en-US"/>
              </w:rPr>
              <w:t>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 xml:space="preserve">26.20.16.140 </w:t>
              <w:br/>
              <w:t>Терминалы ввода/вывода данных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Устройство измерительное многофункциональное ЭНИП-245/100-220-А2Е4х2FХ-41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26.51.45.190 Приборы и аппаратура для измерения или контроля электрических величин прочие, не включенные в другие группировки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Национальный режим предоставляется ***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Устройство измерительное многофункциональное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26.51.45.190 Приборы и аппаратура для измерения или контроля электрических величин прочие, не включенные в другие группировки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Мегаваттметр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26.51.43.134 Ваттметры и варметры щитовые аналоговые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Мегаварметр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26.51.43.134 Ваттметры и варметры щитовые аналоговые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Термопреобразователи сопротивления с коммутационной головкой ДТС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26.51.51.160 </w:t>
              <w:br/>
              <w:t>Датчики многофункциональные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Термопреобразователи сопротивления с кабельным выводом ДТС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26.51.51.160 </w:t>
              <w:br/>
              <w:t>Датчики многофункциональные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Термопреобразователь сопротивления ДТС045-100М.0,5.120.МГ.И., -50…+180°С 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26.51.51.160 </w:t>
              <w:br/>
              <w:t>Датчики многофункциональные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Термопреобразователь сопротивления ДТС105М-PT100.0,5.60.И, 0…+200°С 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26.51.51.160 </w:t>
              <w:br/>
              <w:t>Датчики многофункциональные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i/>
                <w:color w:val="000000"/>
                <w:sz w:val="24"/>
              </w:rPr>
              <w:t xml:space="preserve">Преобразователь давления ПД100-ДИ1,6-171-0,5 </w:t>
            </w:r>
            <w:r>
              <w:rPr>
                <w:i/>
                <w:iCs/>
                <w:color w:val="000000"/>
                <w:sz w:val="24"/>
                <w:szCs w:val="24"/>
              </w:rPr>
              <w:t>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>26.51.52.130</w:t>
              <w:br/>
              <w:t>Приборы для измерения или контроля давления жидкостей и газов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i/>
                <w:color w:val="000000"/>
                <w:sz w:val="24"/>
              </w:rPr>
              <w:t xml:space="preserve">Преобразователь давления ПД100-ДИ6,0-181-0,5 штуцер: G1/4 </w:t>
            </w:r>
            <w:r>
              <w:rPr>
                <w:i/>
                <w:iCs/>
                <w:color w:val="000000"/>
                <w:sz w:val="24"/>
                <w:szCs w:val="24"/>
              </w:rPr>
              <w:t>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>26.51.52.130</w:t>
              <w:br/>
              <w:t>Приборы для измерения или контроля давления жидкостей и газов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i/>
                <w:color w:val="000000"/>
                <w:sz w:val="24"/>
              </w:rPr>
              <w:t xml:space="preserve">Датчик давления ОВЕН ПД100-ДИ6,0-181-0,5 </w:t>
            </w:r>
            <w:r>
              <w:rPr>
                <w:i/>
                <w:iCs/>
                <w:color w:val="000000"/>
                <w:sz w:val="24"/>
                <w:szCs w:val="24"/>
              </w:rPr>
              <w:t>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26.51.52.130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Приборы для измерения или контроля давления жидкостей и газов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i/>
                <w:color w:val="000000"/>
                <w:sz w:val="24"/>
              </w:rPr>
              <w:t xml:space="preserve">Датчик давления ОВЕН ПД100-ДИ1,0-181-0,5 </w:t>
            </w:r>
            <w:r>
              <w:rPr>
                <w:i/>
                <w:iCs/>
                <w:color w:val="000000"/>
                <w:sz w:val="24"/>
                <w:szCs w:val="24"/>
              </w:rPr>
              <w:t>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26.51.52.130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Приборы для измерения или контроля давления жидкостей и газов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>Датчик давления ОВЕН ПД100-ДИ1,6-181-0,5 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26.51.52.130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Приборы для измерения или контроля давления жидкостей и газов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>Датчик давления ОВЕН ПД100-ДИ0,6-181-0,5 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26.51.52.130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Приборы для измерения или контроля давления жидкостей и газов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>Датчик давления ОВЕН ПД100-ДИ10,0-181-0,5 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26.51.52.130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Приборы для измерения или контроля давления жидкостей и газов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Датчик давления МИДА-Ди-15-П-0,25/0,0025 МПа 01-М20-К с кабелем 5 м </w:t>
            </w:r>
            <w:r>
              <w:rPr>
                <w:i/>
                <w:iCs/>
                <w:color w:val="000000"/>
                <w:sz w:val="24"/>
                <w:szCs w:val="24"/>
              </w:rPr>
              <w:t>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>26.51.52.130</w:t>
              <w:br/>
              <w:t>Приборы для измерения или контроля давления жидкостей и газов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Датчик давления МИДА-Ди-15-П-0,25/0,006 МПа 01-М20-К с кабелем 5 м </w:t>
            </w:r>
            <w:r>
              <w:rPr>
                <w:i/>
                <w:iCs/>
                <w:color w:val="000000"/>
                <w:sz w:val="24"/>
                <w:szCs w:val="24"/>
              </w:rPr>
              <w:t>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>26.51.52.130</w:t>
              <w:br/>
              <w:t>Приборы для измерения или контроля давления жидкостей и газов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Датчик давления МИДА-Ди-15-П-0,25/0,01МПа 01-М20-К с кабелем 5 м </w:t>
            </w:r>
            <w:r>
              <w:rPr>
                <w:i/>
                <w:iCs/>
                <w:color w:val="000000"/>
                <w:sz w:val="24"/>
                <w:szCs w:val="24"/>
              </w:rPr>
              <w:t>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>26.51.52.130</w:t>
              <w:br/>
              <w:t>Приборы для измерения или контроля давления жидкостей и газов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Датчик давления МИДА-Ди-15-П-0,25/0,016 МПа 01-М20-К с кабелем 5 м </w:t>
            </w:r>
            <w:r>
              <w:rPr>
                <w:i/>
                <w:iCs/>
                <w:color w:val="000000"/>
                <w:sz w:val="24"/>
                <w:szCs w:val="24"/>
              </w:rPr>
              <w:t>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>26.51.52.130</w:t>
              <w:br/>
              <w:t>Приборы для измерения или контроля давления жидкостей и газов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Реле Finder 55.34.9.024.0040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27.12.24.110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Реле управления промежуточные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Реле Finder 55.34.9.220.0040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27.12.24.110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Реле управления промежуточные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Реле Finder 55.34.8.230.0040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27.12.24.110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Реле управления промежуточные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i/>
                <w:iCs/>
                <w:sz w:val="24"/>
                <w:szCs w:val="24"/>
              </w:rPr>
              <w:t xml:space="preserve">Блок дополнительный контактный </w:t>
            </w:r>
            <w:r>
              <w:rPr>
                <w:i/>
                <w:iCs/>
                <w:color w:val="000000"/>
                <w:sz w:val="24"/>
                <w:szCs w:val="24"/>
              </w:rPr>
              <w:t>Schneider Electric LADR0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27.33.13.120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Соединители электрические, зажимы контактные, наборы зажимов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Блок вспомогательных контактов </w:t>
            </w:r>
            <w:r>
              <w:rPr>
                <w:i/>
                <w:iCs/>
                <w:color w:val="000000"/>
                <w:sz w:val="24"/>
                <w:szCs w:val="24"/>
              </w:rPr>
              <w:t>Schneider Electric LADT0 TeSys Deca, 1НО + 1НЗ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27.33.13.120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Соединители электрические, зажимы контактные, наборы зажимов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sz w:val="24"/>
                <w:szCs w:val="24"/>
                <w:lang w:val="en-US"/>
              </w:rPr>
            </w:pPr>
            <w:r>
              <w:rPr>
                <w:i/>
                <w:iCs/>
                <w:sz w:val="24"/>
                <w:szCs w:val="24"/>
              </w:rPr>
              <w:t>Блок</w:t>
            </w:r>
            <w:r>
              <w:rPr>
                <w:i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контактный</w:t>
            </w:r>
            <w:r>
              <w:rPr>
                <w:i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iCs/>
                <w:color w:val="000000"/>
                <w:sz w:val="24"/>
                <w:szCs w:val="24"/>
                <w:lang w:val="en-US"/>
              </w:rPr>
              <w:t>Schneider Electric LADT2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27.33.13.120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Соединители электрические, зажимы контактные, наборы зажимов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Переключатель </w:t>
            </w:r>
            <w:r>
              <w:rPr>
                <w:i/>
                <w:iCs/>
                <w:color w:val="000000"/>
                <w:sz w:val="24"/>
                <w:szCs w:val="24"/>
                <w:lang w:val="en-US"/>
              </w:rPr>
              <w:t>Schneider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00"/>
                <w:sz w:val="24"/>
                <w:szCs w:val="24"/>
                <w:lang w:val="en-US"/>
              </w:rPr>
              <w:t>Electric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00"/>
                <w:sz w:val="24"/>
                <w:szCs w:val="24"/>
                <w:lang w:val="en-US"/>
              </w:rPr>
              <w:t>XB</w:t>
            </w:r>
            <w:r>
              <w:rPr>
                <w:i/>
                <w:iCs/>
                <w:color w:val="000000"/>
                <w:sz w:val="24"/>
                <w:szCs w:val="24"/>
              </w:rPr>
              <w:t>4-</w:t>
            </w:r>
            <w:r>
              <w:rPr>
                <w:i/>
                <w:iCs/>
                <w:color w:val="000000"/>
                <w:sz w:val="24"/>
                <w:szCs w:val="24"/>
                <w:lang w:val="en-US"/>
              </w:rPr>
              <w:t>BD</w:t>
            </w:r>
            <w:r>
              <w:rPr>
                <w:i/>
                <w:iCs/>
                <w:color w:val="000000"/>
                <w:sz w:val="24"/>
                <w:szCs w:val="24"/>
              </w:rPr>
              <w:t>53 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27.33.11.130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Выключатели и переключатели пакетные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Контактор </w:t>
            </w:r>
            <w:r>
              <w:rPr>
                <w:i/>
                <w:iCs/>
                <w:color w:val="000000"/>
                <w:sz w:val="24"/>
                <w:szCs w:val="24"/>
              </w:rPr>
              <w:t>Schneider Electric LC1D09MD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27.33.13.140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Контакторы электромагнитные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sz w:val="24"/>
                <w:szCs w:val="24"/>
                <w:lang w:val="en-US"/>
              </w:rPr>
            </w:pPr>
            <w:r>
              <w:rPr>
                <w:i/>
                <w:iCs/>
                <w:sz w:val="24"/>
                <w:szCs w:val="24"/>
              </w:rPr>
              <w:t>Контакт</w:t>
            </w:r>
            <w:r>
              <w:rPr>
                <w:i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сигнальный</w:t>
            </w:r>
            <w:r>
              <w:rPr>
                <w:i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iCs/>
                <w:color w:val="000000"/>
                <w:sz w:val="24"/>
                <w:szCs w:val="24"/>
                <w:lang w:val="en-US"/>
              </w:rPr>
              <w:t>Schneider Electric A9A26924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27.33.13.120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Соединители электрические, зажимы контактные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Контакт сигнальный </w:t>
            </w:r>
            <w:r>
              <w:rPr>
                <w:i/>
                <w:iCs/>
                <w:color w:val="000000"/>
                <w:sz w:val="24"/>
                <w:szCs w:val="24"/>
              </w:rPr>
              <w:t>Siemens 3RV1921-1M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27.33.13.120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Соединители электрические, зажимы контактные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Вспомогательное реле </w:t>
            </w:r>
            <w:r>
              <w:rPr>
                <w:i/>
                <w:iCs/>
                <w:color w:val="000000"/>
                <w:sz w:val="24"/>
                <w:szCs w:val="24"/>
              </w:rPr>
              <w:t>Siemens 3TH4382-0BM4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27.12.24.190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Реле прочие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Клемма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27.33.13.120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Соединители электрические, зажимы контактные, наборы зажимов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49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Реле контроля синхронизма Орион НФ-220В </w:t>
            </w:r>
            <w:r>
              <w:rPr>
                <w:i/>
                <w:iCs/>
                <w:color w:val="000000"/>
                <w:sz w:val="24"/>
                <w:szCs w:val="24"/>
              </w:rPr>
              <w:t>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27.12.24.190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Реле прочие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Источник питания </w:t>
            </w:r>
            <w:r>
              <w:rPr>
                <w:i/>
                <w:iCs/>
                <w:color w:val="000000"/>
                <w:sz w:val="24"/>
                <w:szCs w:val="24"/>
                <w:lang w:val="en-US"/>
              </w:rPr>
              <w:t>Phoenix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00"/>
                <w:sz w:val="24"/>
                <w:szCs w:val="24"/>
                <w:lang w:val="en-US"/>
              </w:rPr>
              <w:t>Contact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00"/>
                <w:sz w:val="24"/>
                <w:szCs w:val="24"/>
                <w:lang w:val="en-US"/>
              </w:rPr>
              <w:t>MINI</w:t>
            </w:r>
            <w:r>
              <w:rPr>
                <w:i/>
                <w:iCs/>
                <w:color w:val="000000"/>
                <w:sz w:val="24"/>
                <w:szCs w:val="24"/>
              </w:rPr>
              <w:t>-</w:t>
            </w:r>
            <w:r>
              <w:rPr>
                <w:i/>
                <w:iCs/>
                <w:color w:val="000000"/>
                <w:sz w:val="24"/>
                <w:szCs w:val="24"/>
                <w:lang w:val="en-US"/>
              </w:rPr>
              <w:t>PS</w:t>
            </w:r>
            <w:r>
              <w:rPr>
                <w:i/>
                <w:iCs/>
                <w:color w:val="000000"/>
                <w:sz w:val="24"/>
                <w:szCs w:val="24"/>
              </w:rPr>
              <w:t>-100-240</w:t>
            </w:r>
            <w:r>
              <w:rPr>
                <w:i/>
                <w:iCs/>
                <w:color w:val="000000"/>
                <w:sz w:val="24"/>
                <w:szCs w:val="24"/>
                <w:lang w:val="en-US"/>
              </w:rPr>
              <w:t>AC</w:t>
            </w:r>
            <w:r>
              <w:rPr>
                <w:i/>
                <w:iCs/>
                <w:color w:val="000000"/>
                <w:sz w:val="24"/>
                <w:szCs w:val="24"/>
              </w:rPr>
              <w:t>/24</w:t>
            </w:r>
            <w:r>
              <w:rPr>
                <w:i/>
                <w:iCs/>
                <w:color w:val="000000"/>
                <w:sz w:val="24"/>
                <w:szCs w:val="24"/>
                <w:lang w:val="en-US"/>
              </w:rPr>
              <w:t>DC</w:t>
            </w:r>
            <w:r>
              <w:rPr>
                <w:i/>
                <w:iCs/>
                <w:color w:val="000000"/>
                <w:sz w:val="24"/>
                <w:szCs w:val="24"/>
              </w:rPr>
              <w:t>/2 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26.20.40.115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Преобразователи электроэнергии переменный ток в постоянный ток AC/DC (выпрямители)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Реле контроля напряжения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27.12.24.120</w:t>
              <w:br/>
              <w:t>Реле напряжения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Предохранитель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27.12.21.000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Предохранители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Предохранитель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27.12.21.000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Предохранители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Предохранитель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27.12.21.000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Предохранители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Предохранитель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27.12.21.000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Предохранители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Предохранитель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27.12.21.000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Предохранители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Резистор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27.90.60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Резисторы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Резистор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27.90.60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Резисторы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Резистор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27.90.60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Резисторы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Резистор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27.90.60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Резисторы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Резистор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27.90.60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Резисторы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Аэрозоль / cпрей для тестирования датчиков дыма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20.11.13.120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Воздух сжатый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Сжатый воздух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20.11.13.120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Воздух сжатый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Реле</w:t>
            </w:r>
            <w:r>
              <w:rPr>
                <w:i/>
                <w:iCs/>
                <w:color w:val="000000"/>
                <w:sz w:val="24"/>
                <w:szCs w:val="24"/>
                <w:lang w:val="en-US"/>
              </w:rPr>
              <w:t xml:space="preserve"> Phoenix contact PLC-RSC-230UC/21-21 220 VDC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27.12.24.110</w:t>
              <w:br/>
              <w:t>Реле управления промежуточные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Реле универсальное Omron ММ2XP-D 24DC DPDT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27.12.24.110</w:t>
              <w:br/>
              <w:t>Реле управления промежуточные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Реле MM4XP DC200/220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27.12.24.110</w:t>
              <w:br/>
              <w:t>Реле управления промежуточные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Таймер аналоговый Omron H3DK-M2 AC/DC24/240 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27.12.24.130 </w:t>
              <w:br/>
              <w:t>Реле времени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Предохранитель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27.12.21.000 </w:t>
              <w:br/>
              <w:t>Предохранители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Термистор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27.90.60.000</w:t>
              <w:br/>
              <w:t>Резисторы, кроме нагревательных резисторов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Маркировка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27.33.14.000</w:t>
              <w:br/>
              <w:t>Арматура электроизоляционная из пластмасс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Клеммный ограничитель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27.33.13.120</w:t>
              <w:br/>
              <w:t>Соединители электрические, зажимы контактные, наборы зажимов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Mодуль Нагрузочный 8-канальный Ракурс CCD RC8-01 (0.68µF, 275V)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26.11.40.130</w:t>
              <w:br/>
              <w:t>Платы печатные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Модуль силовой для контроллера ET200S. Заказной номер 6ES7138-4CA01-0AA0. SIMATIC DP, силовой модуль PM-E FOR, =24 DC с диагностикой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 xml:space="preserve">26.20.30.130 </w:t>
              <w:br/>
              <w:t>Микропроцессорные устройства ввода-вывода для цифровой обработки данных, измерения и формирования дискретных, временных, аналоговых и других сигналов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Национальный режим предоставляется ***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Модуль электронный дискретного ввода для контроллера ET200S. Заказной номер 6ES7131-4BF00-0AA0. SIMATIC DP, электронный модуль дискретного ввода, 8DI =24В, 15 мм ширина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 xml:space="preserve">26.20.30.130 </w:t>
              <w:br/>
              <w:t>Микропроцессорные устройства ввода-вывода для цифровой обработки данных, измерения и формирования дискретных, временных, аналоговых и других сигналов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Национальный режим предоставляется ***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Модуль ввода цифровой SM321, 6ES7321-1BL00-ОААО, DI32x VDC24, SIEMENS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 xml:space="preserve">26.20.30.130 </w:t>
              <w:br/>
              <w:t>Микропроцессорные устройства ввода-вывода для цифровой обработки данных, измерения и формирования дискретных, временных, аналоговых и других сигналов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Национальный режим предоставляется ***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Источник питания Phoenix contact QUINT-PS/1AC/24DC/10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 xml:space="preserve">26.20.40.112 </w:t>
              <w:br/>
              <w:t>Источники питания постоянного тока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Национальный режим предоставляется ***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Активный резервный модуль с технологией ACB и функциями контроля QUINT-ORING/24DC/2x10/1x20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 xml:space="preserve">26.20.40.112 </w:t>
              <w:br/>
              <w:t>Источники питания постоянного тока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Национальный режим предоставляется ***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 xml:space="preserve">Усилитель сигнала Phoenix Contact MACX MCR-EX-SL-RPSSI-I-SP 4..20mA/4..20mA с развязкой питания/развязкой по входу </w:t>
            </w:r>
            <w:r>
              <w:rPr>
                <w:i/>
                <w:iCs/>
                <w:color w:val="000000"/>
                <w:sz w:val="24"/>
                <w:szCs w:val="24"/>
              </w:rPr>
              <w:t>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26.51.43.117</w:t>
              <w:br/>
              <w:t>Преобразователи измерительные унифицирующие аналого-цифровые и цифро-аналоговые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Ограничесние на поставку товаров иностранного 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Реле ABB CR-M024DC4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27.12.24.110</w:t>
              <w:br/>
              <w:t>Реле управления промежуточные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Реле ABB CR-P024DC2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27.12.24.110</w:t>
              <w:br/>
              <w:t>Реле управления промежуточные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Устройство плавного пуска ABB PST105-600-70, 90/55кВт, 400В 105A 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27.33.13.169</w:t>
              <w:br/>
              <w:t>Аппараты электрические для управления электротехническими установками прочие, не включенные в другие группировки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Вентилятор фильтрующий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28.25.20.190 </w:t>
              <w:br/>
              <w:t>Вентиляторы прочие, кроме настольных, напольных, настенных, оконных, потолочных или вентиляторов для крыш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Датчик уровня WegaSWING 51 SG51.XXGATPVL 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26.51.51.160 </w:t>
              <w:br/>
              <w:t>Датчики многофункциональные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Calibri"/>
                <w:i/>
                <w:color w:val="000000"/>
                <w:sz w:val="24"/>
                <w:lang w:eastAsia="en-US"/>
              </w:rPr>
              <w:t xml:space="preserve">Преобразователь тока НПСИ-ДНТВ-С-220-0/ВС/М, 5А, 4-20 mA </w:t>
            </w:r>
            <w:r>
              <w:rPr>
                <w:rFonts w:eastAsia="Calibri" w:ascii="Calibri" w:hAnsi="Calibri"/>
                <w:i/>
                <w:iCs/>
                <w:color w:val="000000"/>
                <w:sz w:val="24"/>
                <w:szCs w:val="24"/>
                <w:lang w:eastAsia="en-US"/>
              </w:rPr>
              <w:t>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>26.51.43.117</w:t>
              <w:br/>
              <w:t>Преобразователи измерительные унифицирующие аналого-цифровые и цифро-аналоговые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Датчик давления BD Sensors DMP 331 110-6000-1-2-TR0-500-1-00R  </w:t>
            </w:r>
            <w:r>
              <w:rPr>
                <w:i/>
                <w:iCs/>
                <w:color w:val="000000"/>
                <w:sz w:val="24"/>
                <w:szCs w:val="24"/>
              </w:rPr>
              <w:t>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>26.51.52.130</w:t>
              <w:br/>
              <w:t>Приборы для измерения или контроля давления жидкостей и газов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i/>
                <w:sz w:val="24"/>
                <w:szCs w:val="24"/>
              </w:rPr>
              <w:t xml:space="preserve">Датчик давления Метран 150 CD 3Т 2 2 1 1 L3 А (-250…250 кПа) </w:t>
            </w:r>
            <w:r>
              <w:rPr>
                <w:i/>
                <w:iCs/>
                <w:color w:val="000000"/>
                <w:sz w:val="24"/>
                <w:szCs w:val="24"/>
              </w:rPr>
              <w:t>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>26.51.52.130</w:t>
              <w:br/>
              <w:t>Приборы для измерения или контроля давления жидкостей и газов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i/>
                <w:sz w:val="24"/>
                <w:szCs w:val="24"/>
              </w:rPr>
              <w:t xml:space="preserve">Датчик давления Метран 150 TG R3 2G 2 1 А М5 S5 SC </w:t>
            </w:r>
            <w:r>
              <w:rPr>
                <w:i/>
                <w:iCs/>
                <w:color w:val="000000"/>
                <w:sz w:val="24"/>
                <w:szCs w:val="24"/>
              </w:rPr>
              <w:t>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>26.51.52.130</w:t>
              <w:br/>
              <w:t>Приборы для измерения или контроля давления жидкостей и газов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Датчик динамического давления PCB 121A45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>26.51.52.130</w:t>
              <w:br/>
              <w:t>Приборы для измерения или контроля давления жидкостей и газов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Электронное реле давления HYDAC  EDS 348-5-100-000 </w:t>
            </w:r>
            <w:r>
              <w:rPr>
                <w:i/>
                <w:iCs/>
                <w:color w:val="000000"/>
                <w:sz w:val="24"/>
                <w:szCs w:val="24"/>
              </w:rPr>
              <w:t>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>26.51.52.130</w:t>
              <w:br/>
              <w:t>Приборы для измерения или контроля давления жидкостей и газов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Электронное реле давления HYDAC EDS 348-5-016-000 </w:t>
            </w:r>
            <w:r>
              <w:rPr>
                <w:i/>
                <w:iCs/>
                <w:color w:val="000000"/>
                <w:sz w:val="24"/>
                <w:szCs w:val="24"/>
              </w:rPr>
              <w:t>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>26.51.52.130</w:t>
              <w:br/>
              <w:t>Приборы для измерения или контроля давления жидкостей и газов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Электронное реле давления HYDAC EDS 345-1-100-000 </w:t>
            </w:r>
            <w:r>
              <w:rPr>
                <w:i/>
                <w:iCs/>
                <w:color w:val="000000"/>
                <w:sz w:val="24"/>
                <w:szCs w:val="24"/>
              </w:rPr>
              <w:t>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>26.51.52.130</w:t>
              <w:br/>
              <w:t>Приборы для измерения или контроля давления жидкостей и газов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Термопреобразователь ТС-1288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26.51.51.160 </w:t>
              <w:br/>
              <w:t>Датчики многофункциональные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Термопреобразователи сопротивления ТСМr-Кл1-2 </w:t>
            </w:r>
            <w:r>
              <w:rPr>
                <w:i/>
                <w:iCs/>
                <w:color w:val="000000"/>
                <w:sz w:val="24"/>
                <w:szCs w:val="24"/>
              </w:rPr>
              <w:t>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26.51.51.160 </w:t>
              <w:br/>
              <w:t>Датчики многофункциональные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Термопреобразователь сопротивления ТСП-Н; ВЗЛЕТ 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26.51.51.160 </w:t>
              <w:br/>
              <w:t>Датчики многофункциональные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Модуль сбора данных Невод </w:t>
            </w:r>
            <w:r>
              <w:rPr>
                <w:i/>
                <w:iCs/>
                <w:color w:val="000000"/>
                <w:sz w:val="24"/>
                <w:szCs w:val="24"/>
              </w:rPr>
              <w:t>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26.20.30.130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Микропроцессорные устройства ввода-вывода для цифровой обработки данных, измерения и формирования дискретных, временных, аналоговых и других сигналов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</w:rPr>
              <w:t xml:space="preserve">Термопреобразователь сопротивления ТС-1288 -/ 2/ -/ 50М/ -50...+200/ 160/ 6/ 1,5/ КММФЭ/ B/ -/ -/ №3/ ГП </w:t>
            </w:r>
            <w:r>
              <w:rPr>
                <w:i/>
                <w:iCs/>
                <w:color w:val="000000"/>
                <w:sz w:val="24"/>
                <w:szCs w:val="24"/>
              </w:rPr>
              <w:t>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26.51.51.160 </w:t>
              <w:br/>
              <w:t>Датчики многофункциональные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</w:rPr>
              <w:t xml:space="preserve">Термопреобразователь сопротивления ТС-1388 B V3/ 5/ -/ 50М/ -50...+200/ 250/ 6/1,5 / КММФЭ/С/ -/ -/ №3 </w:t>
            </w:r>
            <w:r>
              <w:rPr>
                <w:i/>
                <w:iCs/>
                <w:color w:val="000000"/>
                <w:sz w:val="24"/>
                <w:szCs w:val="24"/>
              </w:rPr>
              <w:t>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26.51.51.160 </w:t>
              <w:br/>
              <w:t>Датчики многофункциональные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</w:rPr>
              <w:t xml:space="preserve">Термопреобразователь сопротивления ТС-1288 -/ 2/ -/ 50М/ -50...+200/ 100/ 6/ 1,5/ КММФЭ/ B/ -/ -/ №3 </w:t>
            </w:r>
            <w:r>
              <w:rPr>
                <w:i/>
                <w:iCs/>
                <w:color w:val="000000"/>
                <w:sz w:val="24"/>
                <w:szCs w:val="24"/>
              </w:rPr>
              <w:t>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26.51.51.160 </w:t>
              <w:br/>
              <w:t>Датчики многофункциональные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Манометр технический МВП3-УУ2, -1-5 кгс/см2, класс точности 1,5, М20*1,5-8g. </w:t>
            </w:r>
            <w:r>
              <w:rPr>
                <w:i/>
                <w:iCs/>
                <w:color w:val="000000"/>
                <w:sz w:val="24"/>
                <w:szCs w:val="24"/>
              </w:rPr>
              <w:t>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26.51.52.130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Приборы для измерения или контроля давления жидкостей и газов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Манометр технический МП3-УУ2, 0-6 кгс/см2, класс точности 1,5, М20*1,5-8g. </w:t>
            </w:r>
            <w:r>
              <w:rPr>
                <w:i/>
                <w:iCs/>
                <w:color w:val="000000"/>
                <w:sz w:val="24"/>
                <w:szCs w:val="24"/>
              </w:rPr>
              <w:t>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26.51.52.130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Приборы для измерения или контроля давления жидкостей и газов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Манометр технический МП3-УУ2, 0-10 кгс/см2, класс точности 1,5, М20*1,5-8g. </w:t>
            </w:r>
            <w:r>
              <w:rPr>
                <w:i/>
                <w:iCs/>
                <w:color w:val="000000"/>
                <w:sz w:val="24"/>
                <w:szCs w:val="24"/>
              </w:rPr>
              <w:t>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26.51.52.130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Приборы для измерения или контроля давления жидкостей и газов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Манометр технический МП3-УУ2, 0-16 кгс/см2, класс точности 1,5, М20*1,5-8g. </w:t>
            </w:r>
            <w:r>
              <w:rPr>
                <w:i/>
                <w:iCs/>
                <w:color w:val="000000"/>
                <w:sz w:val="24"/>
                <w:szCs w:val="24"/>
              </w:rPr>
              <w:t>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26.51.52.130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Приборы для измерения или контроля давления жидкостей и газов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Манометр технический МП3-УУ2, 0-25 кгс/см2, класс точности 1,5, М20*1,5-8g. </w:t>
            </w:r>
            <w:r>
              <w:rPr>
                <w:i/>
                <w:iCs/>
                <w:color w:val="000000"/>
                <w:sz w:val="24"/>
                <w:szCs w:val="24"/>
              </w:rPr>
              <w:t>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26.51.52.130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Приборы для измерения или контроля давления жидкостей и газов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Манометр технический МП3-УУ2, 0-60 кгс/см2, класс точности 1,5, М20*1,5-8g. </w:t>
            </w:r>
            <w:r>
              <w:rPr>
                <w:i/>
                <w:iCs/>
                <w:color w:val="000000"/>
                <w:sz w:val="24"/>
                <w:szCs w:val="24"/>
              </w:rPr>
              <w:t>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26.51.52.130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Приборы для измерения или контроля давления жидкостей и газов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Манометр технический МП3-УУ2, 0-100 кгс/см2, класс точности 1,5, М20*1,5-8g. </w:t>
            </w:r>
            <w:r>
              <w:rPr>
                <w:i/>
                <w:iCs/>
                <w:color w:val="000000"/>
                <w:sz w:val="24"/>
                <w:szCs w:val="24"/>
              </w:rPr>
              <w:t>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26.51.52.130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Приборы для измерения или контроля давления жидкостей и газов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Манометр технический МП4-УУ2, 0-6 кгс/см2, класс точности 1,5, М20*1,5-8g. </w:t>
            </w:r>
            <w:r>
              <w:rPr>
                <w:i/>
                <w:iCs/>
                <w:color w:val="000000"/>
                <w:sz w:val="24"/>
                <w:szCs w:val="24"/>
              </w:rPr>
              <w:t>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26.51.52.130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Приборы для измерения или контроля давления жидкостей и газов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Манометр технический МП4-УУ2, 0-10 кгс/см2, класс точности 1,5, М20*1,5-8g. </w:t>
            </w:r>
            <w:r>
              <w:rPr>
                <w:i/>
                <w:iCs/>
                <w:color w:val="000000"/>
                <w:sz w:val="24"/>
                <w:szCs w:val="24"/>
              </w:rPr>
              <w:t>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26.51.52.130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Приборы для измерения или контроля давления жидкостей и газов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Манометр технический МП4-УУ2, 0-16 кгс/см2, класс точности 1,5, М20*1,5-8g. </w:t>
            </w:r>
            <w:r>
              <w:rPr>
                <w:i/>
                <w:iCs/>
                <w:color w:val="000000"/>
                <w:sz w:val="24"/>
                <w:szCs w:val="24"/>
              </w:rPr>
              <w:t>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26.51.52.130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Приборы для измерения или контроля давления жидкостей и газов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Манометр технический МП4-УУ2, 0-25 кгс/см2, класс точности 1,5, М20*1,5-8g. </w:t>
            </w:r>
            <w:r>
              <w:rPr>
                <w:i/>
                <w:iCs/>
                <w:color w:val="000000"/>
                <w:sz w:val="24"/>
                <w:szCs w:val="24"/>
              </w:rPr>
              <w:t>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26.51.52.130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Приборы для измерения или контроля давления жидкостей и газов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Манометр технический МП4-УУ2, 0-60 кгс/см2, класс точности 1,5, М20*1,5-8g. </w:t>
            </w:r>
            <w:r>
              <w:rPr>
                <w:i/>
                <w:iCs/>
                <w:color w:val="000000"/>
                <w:sz w:val="24"/>
                <w:szCs w:val="24"/>
              </w:rPr>
              <w:t>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26.51.52.130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Приборы для измерения или контроля давления жидкостей и газов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Манометр технический МП4-УУ2, 0-100 кгс/см2, класс точности 1,5, М20*1,5-8g. </w:t>
            </w:r>
            <w:r>
              <w:rPr>
                <w:i/>
                <w:iCs/>
                <w:color w:val="000000"/>
                <w:sz w:val="24"/>
                <w:szCs w:val="24"/>
              </w:rPr>
              <w:t>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26.51.52.130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Приборы для измерения или контроля давления жидкостей и газов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Манометр МТИ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26.51.52.130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Приборы для измерения или контроля давления жидкостей и газов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Манометр МТИ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26.51.52.130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Приборы для измерения или контроля давления жидкостей и газов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Манометр МТИ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26.51.52.130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Приборы для измерения или контроля давления жидкостей и газов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Манометр электроконтактный ДМ2005ф </w:t>
            </w:r>
            <w:r>
              <w:rPr>
                <w:i/>
                <w:iCs/>
                <w:color w:val="000000"/>
                <w:sz w:val="24"/>
                <w:szCs w:val="24"/>
              </w:rPr>
              <w:t>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26.51.52.130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Приборы для измерения или контроля давления жидкостей и газов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 xml:space="preserve">Манометр электронный ЭКМ-2005 </w:t>
            </w:r>
            <w:r>
              <w:rPr>
                <w:i/>
                <w:iCs/>
                <w:color w:val="000000"/>
                <w:sz w:val="24"/>
                <w:szCs w:val="24"/>
              </w:rPr>
              <w:t>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26.51.52.130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Приборы для измерения или контроля давления жидкостей и газов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Преобразователь температуры Термодат 11М3Т1/485/4А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 xml:space="preserve">26.20.30.130 </w:t>
              <w:br/>
              <w:t>Микропроцессорные устройства ввода-вывода для цифровой обработки данных, измерения и формирования дискретных, временных, аналоговых и других сигналов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Национальный режим предоставляется ***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Прибор мониторинга температуры трансформатора ТМТ2-30-М-ГП-1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 xml:space="preserve">26.20.30.130 </w:t>
              <w:br/>
              <w:t>Микропроцессорные устройства ввода-вывода для цифровой обработки данных, измерения и формирования дискретных, временных, аналоговых и других сигналов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Национальный режим предоставляется ***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</w:rPr>
              <w:t xml:space="preserve">Термометр многоканальный ТМ 5103 </w:t>
            </w:r>
            <w:r>
              <w:rPr>
                <w:i/>
                <w:iCs/>
                <w:color w:val="000000"/>
                <w:sz w:val="24"/>
                <w:szCs w:val="24"/>
              </w:rPr>
              <w:t>или эквивалент*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 xml:space="preserve">26.20.30.130 </w:t>
              <w:br/>
              <w:t>Микропроцессорные устройства ввода-вывода для цифровой обработки данных, измерения и формирования дискретных, временных, аналоговых и других сигналов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Тест переключатели 1052140000 KIT KLTR 4TR POCON 8 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26.51.66.190</w:t>
              <w:br/>
              <w:t>Инструменты, приборы и машины для измерения или контроля прочие, не включенные в другие группировки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Национальный режим предоставляется ***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Измерительная (испытательная) крышка 1052080000TCN 4TR POCON 8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26.51.66.190</w:t>
              <w:br/>
              <w:t>Инструменты, приборы и машины для измерения или контроля прочие, не включенные в другие группировки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Национальный режим предоставляется ***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Рабочая крышка 1052170000 SD ST 4TR POCON 8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26.51.66.190</w:t>
              <w:br/>
              <w:t>Инструменты, приборы и машины для измерения или контроля прочие, не включенные в другие группировки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Национальный режим предоставляется ***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3-х контактный мостик 1091680000 QV 3POL POCON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26.51.66.190</w:t>
              <w:br/>
              <w:t>Инструменты, приборы и машины для измерения или контроля прочие, не включенные в другие группировки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Национальный режим предоставляется ***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Розетка с винтовым зажимом для монтажа на поверхность или 35 мм рейку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27.33.13.110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Разъемы и розетки штепсельные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40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Реле</w:t>
            </w:r>
            <w:r>
              <w:rPr>
                <w:i/>
                <w:iCs/>
                <w:color w:val="000000"/>
                <w:sz w:val="24"/>
                <w:szCs w:val="24"/>
                <w:lang w:val="en-US"/>
              </w:rPr>
              <w:t xml:space="preserve"> Siemens 7PA2642-1AA00-2, 220 VDC.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27.12.24.190 </w:t>
              <w:br/>
              <w:t>Реле прочие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Реле</w:t>
            </w:r>
            <w:r>
              <w:rPr>
                <w:i/>
                <w:iCs/>
                <w:color w:val="000000"/>
                <w:sz w:val="24"/>
                <w:szCs w:val="24"/>
                <w:lang w:val="en-US"/>
              </w:rPr>
              <w:t xml:space="preserve"> Siemens 7PA2742-0AA00-2, 220 VDC.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27.12.24.190 </w:t>
              <w:br/>
              <w:t>Реле прочие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</w:tr>
      <w:tr>
        <w:trPr>
          <w:trHeight w:val="347" w:hRule="atLeast"/>
          <w:cantSplit w:val="true"/>
        </w:trPr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Силовое электромеханическое реле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27.12.24.110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Реле управления промежуточные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/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bCs/>
          <w:i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bCs/>
          <w:i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* Указанные в настоящем ТТ ссылки на ТУ, марку (тип) продукции (позиции  22, 29÷41, 48, 54÷55, 72, 83, 86, 88÷92, 94÷96, 98÷116, 120÷121, 124 ) носят описательный, а не обязательный характер.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bCs/>
          <w:i/>
          <w:i/>
          <w:sz w:val="24"/>
          <w:szCs w:val="24"/>
        </w:rPr>
      </w:pPr>
      <w:r>
        <w:rPr>
          <w:bCs/>
          <w:i/>
          <w:sz w:val="24"/>
          <w:szCs w:val="24"/>
        </w:rPr>
        <w:t>В случае, если Участником предлагается эквивалентная продукция требуемой Заказчику продукции или ее составных частей, он должен в 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bCs/>
          <w:i/>
          <w:i/>
          <w:sz w:val="24"/>
          <w:szCs w:val="24"/>
        </w:rPr>
      </w:pPr>
      <w:r>
        <w:rPr>
          <w:bCs/>
          <w:i/>
          <w:sz w:val="24"/>
          <w:szCs w:val="24"/>
        </w:rPr>
        <w:t>** Запрет не применяется в соответствии с подпунктом и) пункта 5 Постановления Правительства РФ от 23.12.2024 №1875.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bCs/>
          <w:i/>
          <w:i/>
          <w:sz w:val="24"/>
          <w:szCs w:val="24"/>
        </w:rPr>
      </w:pPr>
      <w:r>
        <w:rPr>
          <w:bCs/>
          <w:i/>
          <w:sz w:val="24"/>
          <w:szCs w:val="24"/>
        </w:rPr>
        <w:t>***Ограничение не применяется в соответствии с подпунктом б) пункта 6 Постановления Правительства РФ от 23.12.2024 №1875.</w:t>
      </w:r>
    </w:p>
    <w:p>
      <w:pPr>
        <w:pStyle w:val="Heading4"/>
        <w:ind w:left="432" w:hanging="0"/>
        <w:rPr/>
      </w:pPr>
      <w:r>
        <w:rPr/>
      </w:r>
      <w:bookmarkStart w:id="44" w:name="__RefHeading___Toc18141_2130071761_Копия"/>
      <w:bookmarkStart w:id="45" w:name="__RefHeading___Toc18141_2130071761_Копия"/>
      <w:bookmarkEnd w:id="45"/>
    </w:p>
    <w:p>
      <w:pPr>
        <w:pStyle w:val="Heading3"/>
        <w:numPr>
          <w:ilvl w:val="2"/>
          <w:numId w:val="3"/>
        </w:numPr>
        <w:rPr/>
      </w:pPr>
      <w:bookmarkStart w:id="46" w:name="__RefHeading___Toc16382_3942172304"/>
      <w:bookmarkStart w:id="47" w:name="_Toc75446578"/>
      <w:bookmarkStart w:id="48" w:name="_Toc182317119"/>
      <w:bookmarkStart w:id="49" w:name="_Toc124933896"/>
      <w:bookmarkStart w:id="50" w:name="_Toc51339696"/>
      <w:bookmarkStart w:id="51" w:name="_Toc182317117_Копия_1_Копия_2"/>
      <w:bookmarkStart w:id="52" w:name="_Toc124933894_Копия_1_Копия_2"/>
      <w:bookmarkEnd w:id="46"/>
      <w:bookmarkEnd w:id="51"/>
      <w:bookmarkEnd w:id="52"/>
      <w:r>
        <w:rPr/>
        <w:t xml:space="preserve">Требования </w:t>
      </w:r>
      <w:bookmarkEnd w:id="50"/>
      <w:r>
        <w:rPr/>
        <w:t>к срокам поставки продукции и оказания сопутствующих услуг</w:t>
      </w:r>
      <w:bookmarkEnd w:id="47"/>
      <w:bookmarkEnd w:id="48"/>
      <w:bookmarkEnd w:id="49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53" w:name="__RefHeading___Toc18149_2130071761"/>
      <w:bookmarkStart w:id="54" w:name="_Toc124933897"/>
      <w:bookmarkStart w:id="55" w:name="_Toc75446579"/>
      <w:bookmarkStart w:id="56" w:name="_Toc182317120"/>
      <w:bookmarkStart w:id="57" w:name="_Toc51339697"/>
      <w:bookmarkStart w:id="58" w:name="_Toc50125127"/>
      <w:bookmarkStart w:id="59" w:name="_Toc50125126_Копия_1"/>
      <w:bookmarkEnd w:id="53"/>
      <w:bookmarkEnd w:id="59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60" w:name="_Hlk50465284"/>
      <w:r>
        <w:rPr>
          <w:sz w:val="24"/>
          <w:szCs w:val="24"/>
        </w:rPr>
        <w:t xml:space="preserve">Требования по срокам </w:t>
      </w:r>
      <w:bookmarkEnd w:id="57"/>
      <w:bookmarkEnd w:id="58"/>
      <w:bookmarkEnd w:id="60"/>
      <w:r>
        <w:rPr>
          <w:sz w:val="24"/>
          <w:szCs w:val="24"/>
          <w:lang w:val="ru-RU"/>
        </w:rPr>
        <w:t>поставки продукции</w:t>
      </w:r>
      <w:bookmarkEnd w:id="54"/>
      <w:bookmarkEnd w:id="55"/>
      <w:bookmarkEnd w:id="56"/>
      <w:r>
        <w:rPr>
          <w:sz w:val="24"/>
          <w:szCs w:val="24"/>
          <w:lang w:val="ru-RU"/>
        </w:rPr>
        <w:t xml:space="preserve"> </w:t>
      </w:r>
    </w:p>
    <w:tbl>
      <w:tblPr>
        <w:tblW w:w="9776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67"/>
        <w:gridCol w:w="3404"/>
        <w:gridCol w:w="2892"/>
        <w:gridCol w:w="2912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bookmarkStart w:id="61" w:name="_Toc46743510"/>
            <w:r>
              <w:rPr>
                <w:sz w:val="24"/>
                <w:szCs w:val="24"/>
              </w:rPr>
              <w:t>4</w:t>
            </w:r>
            <w:bookmarkEnd w:id="61"/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/>
            </w:pPr>
            <w:r>
              <w:rPr/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 xml:space="preserve">Позиции 1÷37 </w:t>
            </w:r>
            <w:r>
              <w:rPr>
                <w:i/>
                <w:iCs/>
                <w:sz w:val="24"/>
                <w:szCs w:val="24"/>
              </w:rPr>
              <w:t>Перечня и объема закупаемой продукции</w:t>
            </w:r>
            <w:r>
              <w:rPr>
                <w:bCs/>
                <w:i/>
                <w:iCs/>
                <w:sz w:val="24"/>
                <w:szCs w:val="24"/>
              </w:rPr>
              <w:t xml:space="preserve"> в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 </w:t>
            </w:r>
            <w:r>
              <w:rPr>
                <w:bCs/>
                <w:i/>
                <w:iCs/>
                <w:sz w:val="24"/>
                <w:szCs w:val="24"/>
              </w:rPr>
              <w:t>соответствии с Таблицей 1.1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  <w:iCs/>
                <w:sz w:val="24"/>
                <w:szCs w:val="24"/>
              </w:rPr>
              <w:t>Шестьдесят пятый рабочий день с даты заключения договора.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  <w:iCs/>
                <w:sz w:val="24"/>
                <w:szCs w:val="24"/>
              </w:rPr>
              <w:t>Шестьдесят пятый рабочий день с даты заключения договора.</w:t>
            </w:r>
          </w:p>
        </w:tc>
      </w:tr>
      <w:tr>
        <w:trPr/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/>
            </w:pPr>
            <w:r>
              <w:rPr/>
            </w:r>
          </w:p>
        </w:tc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 xml:space="preserve">Позиции 38÷41  </w:t>
            </w:r>
            <w:r>
              <w:rPr>
                <w:i/>
                <w:iCs/>
                <w:sz w:val="24"/>
                <w:szCs w:val="24"/>
              </w:rPr>
              <w:t>Перечня и объема закупаемой продукции</w:t>
            </w:r>
            <w:r>
              <w:rPr>
                <w:bCs/>
                <w:i/>
                <w:iCs/>
                <w:sz w:val="24"/>
                <w:szCs w:val="24"/>
              </w:rPr>
              <w:t xml:space="preserve"> в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 </w:t>
            </w:r>
            <w:r>
              <w:rPr>
                <w:bCs/>
                <w:i/>
                <w:iCs/>
                <w:sz w:val="24"/>
                <w:szCs w:val="24"/>
              </w:rPr>
              <w:t>соответствии с Таблицей 1.1</w:t>
            </w:r>
          </w:p>
        </w:tc>
        <w:tc>
          <w:tcPr>
            <w:tcW w:w="2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  <w:iCs/>
                <w:sz w:val="24"/>
                <w:szCs w:val="24"/>
              </w:rPr>
              <w:t>Девяносто первый рабочий день с даты заключения договора.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  <w:iCs/>
                <w:sz w:val="24"/>
                <w:szCs w:val="24"/>
              </w:rPr>
              <w:t>Девяносто первый рабочий день с даты заключения договора.</w:t>
            </w:r>
          </w:p>
        </w:tc>
      </w:tr>
      <w:tr>
        <w:trPr/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/>
            </w:pPr>
            <w:r>
              <w:rPr/>
            </w:r>
          </w:p>
        </w:tc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 xml:space="preserve">Позиции 42÷132 </w:t>
            </w:r>
            <w:r>
              <w:rPr>
                <w:i/>
                <w:iCs/>
                <w:sz w:val="24"/>
                <w:szCs w:val="24"/>
              </w:rPr>
              <w:t>Перечня и объема закупаемой продукции</w:t>
            </w:r>
            <w:r>
              <w:rPr>
                <w:bCs/>
                <w:i/>
                <w:iCs/>
                <w:sz w:val="24"/>
                <w:szCs w:val="24"/>
              </w:rPr>
              <w:t xml:space="preserve"> в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 </w:t>
            </w:r>
            <w:r>
              <w:rPr>
                <w:bCs/>
                <w:i/>
                <w:iCs/>
                <w:sz w:val="24"/>
                <w:szCs w:val="24"/>
              </w:rPr>
              <w:t>соответствии с Таблицей 1.1</w:t>
            </w:r>
          </w:p>
        </w:tc>
        <w:tc>
          <w:tcPr>
            <w:tcW w:w="2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  <w:iCs/>
                <w:sz w:val="24"/>
                <w:szCs w:val="24"/>
              </w:rPr>
              <w:t>Сто пятидесятый рабочий день с даты заключения договора.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  <w:iCs/>
                <w:sz w:val="24"/>
                <w:szCs w:val="24"/>
              </w:rPr>
              <w:t>Сто пятидесятый рабочий день с даты заключения договора.</w:t>
            </w:r>
          </w:p>
        </w:tc>
      </w:tr>
    </w:tbl>
    <w:p>
      <w:pPr>
        <w:sectPr>
          <w:headerReference w:type="default" r:id="rId2"/>
          <w:headerReference w:type="first" r:id="rId3"/>
          <w:footerReference w:type="default" r:id="rId4"/>
          <w:footerReference w:type="first" r:id="rId5"/>
          <w:type w:val="nextPage"/>
          <w:pgSz w:w="11906" w:h="16838"/>
          <w:pgMar w:left="1134" w:right="851" w:gutter="0" w:header="680" w:top="1134" w:footer="737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62" w:name="__RefHeading___Toc18151_2130071761"/>
      <w:bookmarkStart w:id="63" w:name="_Toc51339698"/>
      <w:bookmarkStart w:id="64" w:name="_Toc182317121"/>
      <w:bookmarkStart w:id="65" w:name="_Toc124933898"/>
      <w:bookmarkStart w:id="66" w:name="_Toc46743511"/>
      <w:bookmarkEnd w:id="62"/>
      <w:r>
        <w:rPr/>
        <w:t xml:space="preserve">Требования к </w:t>
      </w:r>
      <w:bookmarkEnd w:id="66"/>
      <w:r>
        <w:rPr>
          <w:lang w:val="ru-RU"/>
        </w:rPr>
        <w:t>качеству продукции</w:t>
      </w:r>
      <w:bookmarkEnd w:id="64"/>
      <w:bookmarkEnd w:id="65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bookmarkStart w:id="67" w:name="__RefHeading___Toc18153_2130071761"/>
      <w:bookmarkEnd w:id="67"/>
      <w:r>
        <w:rPr>
          <w:sz w:val="24"/>
          <w:szCs w:val="24"/>
        </w:rPr>
        <w:t xml:space="preserve"> </w:t>
      </w:r>
      <w:bookmarkStart w:id="68" w:name="_Toc182317122"/>
      <w:bookmarkStart w:id="69" w:name="_Toc124933899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68"/>
      <w:bookmarkEnd w:id="69"/>
      <w:r>
        <w:rPr>
          <w:sz w:val="24"/>
          <w:szCs w:val="24"/>
        </w:rPr>
        <w:t xml:space="preserve"> </w:t>
      </w:r>
      <w:bookmarkEnd w:id="63"/>
    </w:p>
    <w:p>
      <w:pPr>
        <w:pStyle w:val="Normal"/>
        <w:jc w:val="both"/>
        <w:rPr>
          <w:sz w:val="24"/>
          <w:szCs w:val="24"/>
        </w:rPr>
      </w:pPr>
      <w:r>
        <w:rPr>
          <w:rStyle w:val="Style8"/>
          <w:b w:val="false"/>
          <w:sz w:val="24"/>
          <w:szCs w:val="24"/>
          <w:shd w:fill="auto" w:val="clear"/>
        </w:rPr>
        <w:t xml:space="preserve"> </w:t>
      </w:r>
      <w:r>
        <w:rPr>
          <w:b/>
          <w:bCs/>
          <w:i/>
          <w:iCs/>
          <w:sz w:val="24"/>
          <w:szCs w:val="24"/>
        </w:rPr>
        <w:t xml:space="preserve">Наименование продукции (позиции 1÷132 Таблицы 1.1): </w:t>
      </w:r>
      <w:r>
        <w:rPr>
          <w:rStyle w:val="Style8"/>
          <w:b w:val="false"/>
          <w:iCs/>
          <w:sz w:val="24"/>
          <w:szCs w:val="24"/>
          <w:shd w:fill="auto" w:val="clear"/>
        </w:rPr>
        <w:t>ОКПД2 27.90.33 Поставка запасных частей и материалов для технического обслуживания оборудования релейной защиты и автоматики, систем автоматического управления, автоматики пожаротушения для нужд филиала ПАО "РусГидро"-"Загорская ГАЭС".</w:t>
      </w:r>
    </w:p>
    <w:tbl>
      <w:tblPr>
        <w:tblW w:w="50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678"/>
        <w:gridCol w:w="2061"/>
        <w:gridCol w:w="3026"/>
        <w:gridCol w:w="2894"/>
        <w:gridCol w:w="3164"/>
        <w:gridCol w:w="2888"/>
      </w:tblGrid>
      <w:tr>
        <w:trPr/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49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6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8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5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</w:t>
            </w:r>
          </w:p>
        </w:tc>
        <w:tc>
          <w:tcPr>
            <w:tcW w:w="5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Требования к техническим и функциональным характеристикам в отношении каждой позиции продукции представлены в Таблице 3.1.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bookmarkStart w:id="70" w:name="__RefHeading___Toc18155_2130071761"/>
            <w:bookmarkStart w:id="71" w:name="_Toc182317123"/>
            <w:bookmarkEnd w:id="70"/>
            <w:r>
              <w:rPr/>
              <w:t>-</w:t>
            </w:r>
            <w:bookmarkEnd w:id="71"/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5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bookmarkStart w:id="72" w:name="__RefHeading___Toc18157_2130071761"/>
            <w:bookmarkStart w:id="73" w:name="_Toc182317124"/>
            <w:bookmarkEnd w:id="72"/>
            <w:r>
              <w:rPr/>
              <w:t>-//-</w:t>
            </w:r>
            <w:bookmarkEnd w:id="73"/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2.1.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Место поставки продукции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ind w:left="72" w:hanging="0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Продукция должна быть доставлена Поставщиком по адресу: Московская область, г.о. Сергиево-Посадский, пгт. Богородское, д. 100.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2.2.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Условия транспортирования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ind w:left="72" w:hanging="0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Поставляемая продукция должна пройти все, предусмотренные законодательством Российской Федерации (и применимым законодательством других государств), процедуры таможенной очистки.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ind w:left="72" w:hanging="0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Тара и упаковка должны  обеспечивать целостность продукции при транспортировке и хранении. Весь товар должен быть упакован и защищен надлежащим образом для транспортировки. Способ упаковки должен гарантировать, что ни одна из деталей устройства не будет повреждена, деформирована или утеряна во время транспортировки.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2.3.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Условия поставки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ind w:left="72" w:hanging="0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Поставщик должен обеспечить поставку продукции собственными силами и средствами, а при необходимости привлекать для исполнения своих обязательств третьих лиц. При привлечении третьих лиц (соисполнителей) Поставщик несет ответственность перед Заказчиком за неисполнение или ненадлежащее исполнение обязательств привлеченными к исполнению договора третьими лицами.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2.4.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keepNext w:val="true"/>
              <w:widowControl w:val="false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Требования к маркировке, упаковке, и консервации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Все запасные части должны поставляться в упаковке. Весь товар должен быть упакован и защищен от механических повреждений, влаги, пыли, и других внешних воздействий. Способ упаковки должен гарантировать, что ни одна из деталей устройства не будет повреждена, деформирована или утеряна во время транспортировки.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bCs/>
                <w:i/>
                <w:i/>
                <w:sz w:val="24"/>
                <w:szCs w:val="24"/>
                <w:shd w:fill="FFFF00" w:val="clear"/>
              </w:rPr>
            </w:pPr>
            <w:r>
              <w:rPr>
                <w:bCs/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  <w:shd w:fill="FFFF00" w:val="clear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  <w:shd w:fill="FFFF00" w:val="clear"/>
              </w:rPr>
            </w:pPr>
            <w:r>
              <w:rPr>
                <w:sz w:val="24"/>
                <w:szCs w:val="24"/>
                <w:shd w:fill="FFFF00" w:val="clear"/>
              </w:rPr>
            </w:r>
          </w:p>
        </w:tc>
      </w:tr>
      <w:tr>
        <w:trPr/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</w:t>
            </w:r>
          </w:p>
        </w:tc>
        <w:tc>
          <w:tcPr>
            <w:tcW w:w="2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i/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Объем комплектации</w:t>
            </w:r>
          </w:p>
        </w:tc>
        <w:tc>
          <w:tcPr>
            <w:tcW w:w="3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Поставщик обязан поставить продукцию в полном объеме. На продукцию должны иметься, предусмотренные изготовителем русскоязычные паспорта и/или руководства по эксплуатации, инструкции, сертификаты качества (или соответствия) на бумажном носителе (предоставляется одновременно с поставкой продукции).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31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  <w:shd w:fill="FFFF00" w:val="clear"/>
              </w:rPr>
            </w:pPr>
            <w:r>
              <w:rPr>
                <w:sz w:val="24"/>
                <w:szCs w:val="24"/>
                <w:shd w:fill="FFFF00" w:val="clear"/>
              </w:rPr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5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keepNext w:val="true"/>
              <w:widowControl w:val="false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bookmarkStart w:id="74" w:name="__RefHeading___Toc18159_2130071761"/>
            <w:bookmarkEnd w:id="74"/>
            <w:r>
              <w:rPr/>
              <w:t>-//-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3.1.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Требования к метрологическому обеспечению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Приобретаемые средства измерений (позиции </w:t>
            </w:r>
            <w:r>
              <w:rPr>
                <w:i/>
                <w:color w:val="000000"/>
                <w:sz w:val="24"/>
                <w:szCs w:val="24"/>
                <w:shd w:fill="auto" w:val="clear"/>
              </w:rPr>
              <w:t>№  23÷41, 89÷124 таблицы 1.1)</w:t>
            </w:r>
            <w:r>
              <w:rPr>
                <w:i/>
                <w:color w:val="000000"/>
                <w:sz w:val="24"/>
                <w:szCs w:val="24"/>
              </w:rPr>
              <w:t>должны быть утвержденного типа, внесены в ФИФ ОЕИ Российской Федерации и иметь первичную поверку.</w:t>
            </w:r>
            <w:r>
              <w:rPr/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Количество дней с даты проведения поверки до даты фактической поставки, не должно превышать количество дней с даты фактической поставки до даты окончания срока поверки.</w:t>
            </w:r>
          </w:p>
          <w:p>
            <w:pPr>
              <w:pStyle w:val="Normal"/>
              <w:widowControl w:val="false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  <w:shd w:fill="FFFF00" w:val="clear"/>
              </w:rPr>
            </w:pPr>
            <w:r>
              <w:rPr>
                <w:sz w:val="24"/>
                <w:szCs w:val="24"/>
                <w:shd w:fill="FFFF00" w:val="clear"/>
              </w:rPr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4.</w:t>
            </w:r>
          </w:p>
        </w:tc>
        <w:tc>
          <w:tcPr>
            <w:tcW w:w="5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ind w:left="72" w:hanging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25" w:hanging="0"/>
              <w:contextualSpacing/>
              <w:jc w:val="center"/>
              <w:rPr/>
            </w:pPr>
            <w:r>
              <w:rPr>
                <w:lang w:val="en-US"/>
              </w:rPr>
              <w:t>4.1.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Срок гарантии на продукцию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ind w:left="72" w:hanging="0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Гарантийный срок службы закупаемой продукции не менее 365 (трехсот шестидесяти пяти) календарных дней с даты подписания ТОРГ-12 / УПД.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25" w:hanging="0"/>
              <w:contextualSpacing/>
              <w:jc w:val="center"/>
              <w:rPr>
                <w:b/>
              </w:rPr>
            </w:pPr>
            <w:r>
              <w:rPr>
                <w:b/>
                <w:lang w:val="en-US"/>
              </w:rPr>
              <w:t>5</w:t>
            </w:r>
            <w:r>
              <w:rPr>
                <w:b/>
              </w:rPr>
              <w:t>.</w:t>
            </w:r>
          </w:p>
        </w:tc>
        <w:tc>
          <w:tcPr>
            <w:tcW w:w="5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25" w:hanging="0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>
              <w:rPr/>
              <w:t>.1</w:t>
            </w:r>
            <w:r>
              <w:rPr>
                <w:lang w:val="en-US"/>
              </w:rPr>
              <w:t>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i/>
                <w:i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Документы, передаваемые вместе с продукцией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Поставщик обязан одновременно с передачей продукции, указанной в таблице 1.1., передать Покупателю относящиеся к ней документы: товарно-транспортную накладную формы №1-Т;</w:t>
            </w:r>
          </w:p>
          <w:p>
            <w:pPr>
              <w:pStyle w:val="Normal"/>
              <w:widowControl w:val="false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товарную накладную унифицированной формы ТОРГ-12 / УПД в 2 экз., упаковочный лист в 1 экз.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60" w:after="60"/>
              <w:ind w:left="25" w:hanging="0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>
              <w:rPr/>
              <w:t>.2</w:t>
            </w:r>
            <w:r>
              <w:rPr>
                <w:lang w:val="en-US"/>
              </w:rPr>
              <w:t>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Техническая документация на этапе исполнения договора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Поставщик обязан одновременно с передачей продукции, указанной в таблице 1.1., передать Покупателю относящиеся к ней документы на русском языке на бумажном носителе: </w:t>
            </w:r>
            <w:r>
              <w:rPr>
                <w:i/>
                <w:sz w:val="24"/>
                <w:szCs w:val="24"/>
              </w:rPr>
              <w:t>технический паспорт в 1 экз.; руководства по эксплуатации в 1 экз.</w:t>
            </w:r>
          </w:p>
          <w:p>
            <w:pPr>
              <w:pStyle w:val="Normal"/>
              <w:widowControl w:val="false"/>
              <w:rPr>
                <w:i/>
                <w:i/>
                <w:sz w:val="24"/>
                <w:szCs w:val="24"/>
                <w:shd w:fill="FFFF00" w:val="clear"/>
              </w:rPr>
            </w:pPr>
            <w:r>
              <w:rPr>
                <w:i/>
                <w:sz w:val="24"/>
                <w:szCs w:val="24"/>
              </w:rPr>
              <w:t>Приобретаемые СИ таблицы 1.1:</w:t>
            </w:r>
            <w:r>
              <w:rPr>
                <w:i/>
                <w:color w:val="000000"/>
                <w:sz w:val="24"/>
                <w:szCs w:val="24"/>
              </w:rPr>
              <w:t xml:space="preserve"> (позиции</w:t>
            </w:r>
            <w:r>
              <w:rPr>
                <w:i/>
                <w:color w:val="000000"/>
                <w:sz w:val="24"/>
                <w:szCs w:val="24"/>
                <w:shd w:fill="auto" w:val="clear"/>
              </w:rPr>
              <w:t xml:space="preserve"> №  23÷41, 89÷124 таблицы 3.1)</w:t>
            </w:r>
            <w:r>
              <w:rPr>
                <w:i/>
                <w:sz w:val="24"/>
                <w:szCs w:val="24"/>
                <w:shd w:fill="auto" w:val="clear"/>
              </w:rPr>
              <w:t xml:space="preserve"> </w:t>
            </w:r>
            <w:r>
              <w:rPr>
                <w:i/>
                <w:sz w:val="24"/>
                <w:szCs w:val="24"/>
              </w:rPr>
              <w:t>должны быть внесены в ФИФ ОЕИ  Российской Федерации, и иметь документы, подтверждающие проведение первичной поверки. Количество дней с даты проведения поверки до даты фактической поставки Филиалу, не должно превышать количество дней с даты фактической поставки Филиалу до даты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25" w:hanging="0"/>
              <w:contextualSpacing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6.</w:t>
            </w:r>
          </w:p>
        </w:tc>
        <w:tc>
          <w:tcPr>
            <w:tcW w:w="5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60" w:after="60"/>
              <w:ind w:left="25" w:hanging="0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6.1.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Дополнительные требования к продукции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Продукция должна быть новой, ранее не использованной, не бывшей в употреблении, не восстановленной после ремонта, не выставочным экземпляром, технически исправной.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60" w:after="60"/>
              <w:ind w:left="25" w:hanging="0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6.2.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Требования к происхождению поставляемой продукции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Определенный Постановлением Правительства Российской Федерации от 23.12.2024  No1875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режим в отношении продукции указан в таблице  1.1  Технических требований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Участник в своем предложении на поставляемую продукцию в составе Заявки должен указать информацию о стране происхождения товара в соответствии с Общероссийским классификатором стран мира (утв. Постановлением Госстандарта России от 14.12.2001 N  529-ст.), при установлении запрета или ограничения поставки продукции в целях подтверждения происхождения товаров указывается: из Российской Федерации - номер реестровой записи из реестра российской промышленной продукции, предусмотренного статьей  17  Федерального закона от  31.12.2014  No488-ФЗ «О промышленной политике в Российской Федерации», из государств  –  членов ЕАЭС (кроме РФ)  –  номер реестровой записи из евразийского реестра промышленных товаров государств  –  членов ЕАЭС, порядок формирования и ведения которого устанавливается правом ЕАЭС.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before="0" w:after="120"/>
        <w:rPr>
          <w:rFonts w:eastAsia="Calibri"/>
          <w:b/>
          <w:bCs/>
          <w:sz w:val="24"/>
          <w:szCs w:val="24"/>
          <w:lang w:val="x-none"/>
        </w:rPr>
      </w:pPr>
      <w:r>
        <w:rPr>
          <w:rFonts w:eastAsia="Calibri"/>
          <w:b/>
          <w:bCs/>
          <w:sz w:val="24"/>
          <w:szCs w:val="24"/>
          <w:lang w:val="x-none"/>
        </w:rPr>
      </w:r>
    </w:p>
    <w:p>
      <w:pPr>
        <w:pStyle w:val="Normal"/>
        <w:spacing w:before="0" w:after="120"/>
        <w:rPr>
          <w:rFonts w:eastAsia="Calibri"/>
          <w:b/>
          <w:bCs/>
          <w:sz w:val="24"/>
          <w:szCs w:val="24"/>
          <w:lang w:val="x-none"/>
        </w:rPr>
      </w:pPr>
      <w:r>
        <w:rPr>
          <w:rFonts w:eastAsia="Calibri"/>
          <w:b/>
          <w:bCs/>
          <w:sz w:val="24"/>
          <w:szCs w:val="24"/>
          <w:lang w:val="x-none"/>
        </w:rPr>
      </w:r>
    </w:p>
    <w:p>
      <w:pPr>
        <w:pStyle w:val="Normal"/>
        <w:spacing w:before="0" w:after="120"/>
        <w:rPr>
          <w:rFonts w:eastAsia="Calibri"/>
          <w:b/>
          <w:bCs/>
          <w:sz w:val="24"/>
          <w:szCs w:val="24"/>
          <w:lang w:val="x-none"/>
        </w:rPr>
      </w:pPr>
      <w:r>
        <w:rPr>
          <w:rFonts w:eastAsia="Calibri"/>
          <w:b/>
          <w:bCs/>
          <w:sz w:val="24"/>
          <w:szCs w:val="24"/>
          <w:lang w:val="x-none"/>
        </w:rPr>
      </w:r>
    </w:p>
    <w:p>
      <w:pPr>
        <w:pStyle w:val="Heading1"/>
        <w:rPr>
          <w:bCs/>
        </w:rPr>
      </w:pPr>
      <w:bookmarkStart w:id="75" w:name="__RefHeading___Toc32478_2130071761"/>
      <w:bookmarkEnd w:id="75"/>
      <w:r>
        <w:rPr>
          <w:bCs/>
          <w:sz w:val="24"/>
          <w:szCs w:val="24"/>
        </w:rPr>
        <w:t>Таблица 3.1. Требования к продукции (индивидуальные требования по каждой позиции перечня продукции)</w:t>
      </w:r>
    </w:p>
    <w:tbl>
      <w:tblPr>
        <w:tblW w:w="50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788"/>
        <w:gridCol w:w="1867"/>
        <w:gridCol w:w="4331"/>
        <w:gridCol w:w="2876"/>
        <w:gridCol w:w="2850"/>
        <w:gridCol w:w="1999"/>
      </w:tblGrid>
      <w:tr>
        <w:trPr/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49" w:hanging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 (параметры эквивалентности)</w:t>
            </w:r>
          </w:p>
        </w:tc>
        <w:tc>
          <w:tcPr>
            <w:tcW w:w="5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7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3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9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6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  <w:iCs/>
                <w:color w:val="000000"/>
                <w:sz w:val="24"/>
                <w:szCs w:val="24"/>
              </w:rPr>
              <w:t>Выключатель автоматический модульный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i/>
                <w:iCs/>
                <w:color w:val="000000"/>
                <w:sz w:val="24"/>
                <w:szCs w:val="24"/>
              </w:rPr>
              <w:t>Модульный автоматический 2 полюсный выключатель постоянного тока с предельной коммутационной способностью при постоянном токе 6 кА на номинальный ток 4 А . Модульные автоматические выключатели КЭАЗ на токи до 63А предназначены для защиты оборудования от токов перегрузки и короткого замыкания в системах распределения электроэнергии и автоматизации технологических процессов. Включены в Реестр промышленной продукции, произведенной на территории Российской Федерации.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  <w:iCs/>
                <w:color w:val="000000"/>
                <w:sz w:val="24"/>
                <w:szCs w:val="24"/>
              </w:rPr>
              <w:t>Выключатель автоматический модульный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</w:rPr>
              <w:t>М</w:t>
            </w:r>
            <w:r>
              <w:rPr>
                <w:i/>
                <w:iCs/>
                <w:color w:val="000000"/>
                <w:sz w:val="24"/>
                <w:szCs w:val="24"/>
              </w:rPr>
              <w:t>одульный автоматический 3 полюсный выключатель переменного тока с предельной коммутационной способностью при переменном токе 10 кА на номинальный ток 3 А. Включены в Реестр промышленной продукции, произведенной на территории Российской Федерации.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  <w:iCs/>
                <w:color w:val="000000"/>
                <w:sz w:val="24"/>
                <w:szCs w:val="24"/>
              </w:rPr>
              <w:t>Выключатель автоматический модульный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</w:rPr>
              <w:t>М</w:t>
            </w:r>
            <w:r>
              <w:rPr>
                <w:i/>
                <w:iCs/>
                <w:color w:val="000000"/>
                <w:sz w:val="24"/>
                <w:szCs w:val="24"/>
              </w:rPr>
              <w:t>одульный автоматический 2 полюсный выключатель постоянного тока с предельной коммутационной способностью при постоянном токе 6 кА на номинальный ток 3 А . Модульные автоматические выключатели КЭАЗ на токи до 63А предназначены для защиты оборудования от токов перегрузки и короткого замыкания в системах распределения электроэнергии и автоматизации технологических процессов. Включены в Реестр промышленной продукции, произведенной на территории Российской Федерации.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  <w:iCs/>
                <w:color w:val="000000"/>
                <w:sz w:val="24"/>
                <w:szCs w:val="24"/>
              </w:rPr>
              <w:t>Выключатель автоматический модульный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</w:rPr>
              <w:t>М</w:t>
            </w:r>
            <w:r>
              <w:rPr>
                <w:i/>
                <w:iCs/>
                <w:color w:val="000000"/>
                <w:sz w:val="24"/>
                <w:szCs w:val="24"/>
              </w:rPr>
              <w:t>одульный автоматический 2 полюсный выключатель постоянного тока с предельной коммутационной способностью при постоянном токе 6 кА на номинальный ток 2 А . Модульные автоматические выключатели КЭАЗ на токи до 63А предназначены для защиты оборудования от токов перегрузки и короткого замыкания в системах распределения электроэнергии и автоматизации технологических процессов. Включены в Реестр промышленной продукции, произведенной на территории Российской Федерации.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  <w:iCs/>
                <w:color w:val="000000"/>
                <w:sz w:val="24"/>
                <w:szCs w:val="24"/>
              </w:rPr>
              <w:t>Выключатель автоматический модульный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</w:rPr>
              <w:t>М</w:t>
            </w:r>
            <w:r>
              <w:rPr>
                <w:i/>
                <w:iCs/>
                <w:color w:val="000000"/>
                <w:sz w:val="24"/>
                <w:szCs w:val="24"/>
              </w:rPr>
              <w:t>одульный автоматический 3 полюсный выключатель переменного тока с предельной коммутационной способностью при переменном токе 6 кА на номинальный ток 3 А. Включены в Реестр промышленной продукции, произведенной на территории Российской Федерации.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Контроллер двухпроводной линии связи С2000-КДЛ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Данная позиция является запасной частью к оборудованию, используемому Заказчиком в составе интегрированной системы безопасности "Орион Про", в соответствии с технической документацией «ЗАГ 1/12-ПС5.1». Работа данного оборудования возможна только по закрытому протоколу разработчика. Применение продукции других производителей не возможно, в связи с технической несовместимостью.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Извещатель пожарный дымовой адресно-аналоговый оптико-электронный ДИП-34А-04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Данная позиция является запасной частью к оборудованию, используемому Заказчиком в составе интегрированной системы безопасности "Орион Про", в соответствии с технической документацией «ЗАГ 1/12-ПС5.1». Работа данного оборудования возможна только по закрытому протоколу разработчика. Применение продукции других производителей не возможно, в связи с технической несовместимостью.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Извещатель тепловой адресно-аналоговый максимально-дифференциальный С2000-ИП-03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Данная позиция является запасной частью к оборудованию, используемому Заказчиком в составе интегрированной системы безопасности "Орион Про", в соответствии с технической документацией «ЗАГ 1/12-ПС5.1». Работа данного оборудования возможна только по закрытому протоколу разработчика. Применение продукции других производителей не возможно, в связи с технической несовместимостью.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Извещатель пожарный тепловой максимально-дифференциальный адресно-аналоговый С2000-ИП-ПА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Данная позиция является запасной частью к оборудованию, используемому Заказчиком в составе интегрированной системы безопасности "Орион Про", в соответствии с технической документацией «ЗАГ 1/12-ПС5.1». Работа данного оборудования возможна только по закрытому протоколу разработчика. Применение продукции других производителей не возможно, в связи с технической несовместимостью.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Извещатель пожарный ручной адресный электроконтактный ИПР513-3АМ исп.01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Данная позиция является запасной частью к оборудованию, используемому Заказчиком в составе интегрированной системы безопасности "Орион Про", в соответствии с технической документацией «ЗАГ 1/12-ПС5.1». Работа данного оборудования возможна только по закрытому протоколу разработчика. Применение продукции других производителей не возможно, в связи с технической несовместимостью.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Извещатель пожарный ручной ИПР-513-3м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Данная позиция является запасной частью к оборудованию, используемому Заказчиком в составе интегрированной системы безопасности "Орион Про", в соответствии с технической документацией «ЗАГ 1/12-ПС5.1». Работа данного оборудования возможна только по закрытому протоколу разработчика. Применение продукции других производителей не возможно, в связи с технической несовместимостью.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Оповещатель пожарный световой «Выход»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Напряжение питания =24В. Размеры: 302х102х15 (±5) мм. Цвет фона: зеленый. Цвет элементов: белый. Освещенность исполнительных элементов не менее 2 ЛК. Диапазон рабочих температур от -40 до 50 0С. Степень защиты не хуже IP41.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Оповещатель пожарный световой «Пожар»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Напряжение питания =24В. Размеры: 302х102х15 (±5) мм. Цвет фона: красный. Цвет элементов: белый. Освещенность исполнительных элементов не менее 2 ЛК. Диапазон рабочих температур от -40 до 50 0С. Степень защиты не хуже IP41.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Преобразователь интерфейсов  C2000-Ethernet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Данная позиция является запасной частью к оборудованию, используемому Заказчиком в составе интегрированной системы безопасности "Орион Про", в соответствии с технической документацией «ЗАГ 1/12-ПС5.1». Работа данного оборудования возможна только по закрытому протоколу разработчика. Применение продукции других производителей не возможно, в связи с технической несовместимостью.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Извещатель пожарный дымовой оптико-электронный ИП212-141М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Данная позиция является запасной частью к оборудованию, используемому Заказчиком в составе интегрированной системы безопасности "Орион Про", в соответствии с технической документацией «ЗАГ 1/12-ПС5.1». Работа данного оборудования возможна только по закрытому протоколу разработчика. Применение продукции других производителей не возможно, в связи с технической несовместимостью.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Лампа сигнальная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Светодиодная, цвет линзы зеленый. Номинальное рабочее напряжение 230В АС (± 5 %). Диаметр отверстия под установку 22 мм. Исполнение электрического соединения: винтовое соединение. Габариты (ВхШхГ): 52 х 30 х 30 мм (± 1 мм). Номинальный ток не более 17 мА. Яркость 155 мкд (± 5 %). Степень защиты IP не хуже IP67.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Прибор управления пожаротушением С2000-АСПТ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Данная позиция является запасной частью к оборудованию, используемому Заказчиком в составе интегрированной системы безопасности "Орион Про", в соответствии с технической документацией «ЗАГ 1/12-ПС5.1». Работа данного оборудования возможна только по закрытому протоколу разработчика. Применение продукции других производителей не возможно, в связи с технической несовместимостью.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Прибор управления пожарный Сигнал-10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Данная позиция является запасной частью к оборудованию, используемому Заказчиком в составе интегрированной системы безопасности "Орион Про", в соответствии с технической документацией «ЗАГ 1/12-ПС5.1». Работа данного оборудования возможна только по закрытому протоколу разработчика. Применение продукции других производителей не возможно, в связи с технической несовместимостью.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Прибор управления пожарный Сигнал-20П исп.01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Данная позиция является запасной частью к оборудованию, используемому Заказчиком в составе интегрированной системы безопасности "Орион Про", в соответствии с технической документацией «ЗАГ 1/12-ПС5.1». Работа данного оборудования возможна только по закрытому протоколу разработчика. Применение продукции других производителей не возможно, в связи с технической несовместимостью.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Модуль преобразования напряжения МП24/12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Данная позиция является запасной частью к оборудованию, используемому Заказчиком в составе интегрированной системы безопасности "Орион Про", в соответствии с технической документацией «ЗАГ 1/12-ПС5.1». Работа данного оборудования возможна только по закрытому протоколу разработчика. Применение продукции других производителей не возможно, в связи с технической несовместимостью.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Преобразователь протокола С2000ПП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Данная позиция является запасной частью к оборудованию, используемому Заказчиком в составе интегрированной системы безопасности "Орион Про", в соответствии с технической документацией «ЗАГ 1/12-ПС5.1». Работа данного оборудования возможна только по закрытому протоколу разработчика. Применение продукции других производителей не возможно, в связи с технической несовместимостью.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Панель оператора сенсорная Weintek MT8150XE </w:t>
            </w:r>
            <w:r>
              <w:rPr>
                <w:rFonts w:eastAsia="Calibri" w:ascii="Calibri" w:hAnsi="Calibri"/>
                <w:i/>
                <w:iCs/>
                <w:color w:val="000000"/>
                <w:sz w:val="24"/>
                <w:szCs w:val="24"/>
                <w:lang w:eastAsia="en-US"/>
              </w:rPr>
              <w:t>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i/>
                <w:sz w:val="24"/>
                <w:szCs w:val="24"/>
              </w:rPr>
              <w:t xml:space="preserve">Диагональ дисплея: 15″. Разрешение не менее 1024×768 пикселей. Электропитание: 24В (±20%). Габариты (±5 мм): 366 x 293 x 57 мм. Посадочное отверстие (±5 мм): 352 x 279 мм.  Степень защиты лицевой панели не хуже IP65. Предустановленный объем оперативной памяти: Flash не менее 256 Мб, ОЗУ не менее 256 Мб. </w:t>
            </w:r>
            <w:r>
              <w:rPr>
                <w:bCs/>
                <w:i/>
                <w:sz w:val="24"/>
                <w:szCs w:val="24"/>
              </w:rPr>
              <w:t xml:space="preserve">Интерфейсы: </w:t>
            </w:r>
            <w:r>
              <w:rPr>
                <w:i/>
                <w:sz w:val="24"/>
                <w:szCs w:val="24"/>
              </w:rPr>
              <w:t xml:space="preserve">Ethernet 10/100Base-TX, 2 последовательных порта (COM1: RS-232/RS-485; COM3: RS-485), USB 2.0 Host и USB Client (Micro USB), слот для SD/SDHC-карты. </w:t>
            </w:r>
            <w:r>
              <w:rPr>
                <w:i/>
                <w:sz w:val="24"/>
                <w:szCs w:val="24"/>
                <w:shd w:fill="FFFFFF" w:val="clear"/>
              </w:rPr>
              <w:t>Поддержка протоколов Modbus, CANopen, EtherCAT.</w:t>
            </w: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shd w:fill="FFFFFF" w:val="clear"/>
              </w:rPr>
              <w:t xml:space="preserve">Предустановленое </w:t>
            </w:r>
            <w:r>
              <w:rPr>
                <w:i/>
                <w:sz w:val="24"/>
                <w:szCs w:val="24"/>
                <w:shd w:fill="FAFAFA" w:val="clear"/>
              </w:rPr>
              <w:t xml:space="preserve">ПО для разработки проектов EasyBuilderPro. </w:t>
            </w:r>
            <w:r>
              <w:rPr>
                <w:i/>
                <w:sz w:val="24"/>
                <w:szCs w:val="24"/>
              </w:rPr>
              <w:t>Комплект поставки: крепежные элементы, разъем питания.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марки, технических характеристик товаров, указанных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Устройство измерительное многофункциональное ЭНИП-245/100-220-А2Е4х2FХ-41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 xml:space="preserve">Данная позиция является запасной частью к оборудованию, используемому Заказчиком, а именно шкафа измерений и РАС, в соответствии с технической документацией «Техническое перевооружение ОРУ-35 кВ с заменой ТСН и модернизацией РЗА». Комплект документов 1975.34-26-Р32.3. Применение эквивалентной продукции невозможно, так как оборудование находится на гарантии. 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Устройство измерительное многофункциональное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Измерение / Iном (макс) 1(10) А; Измерение / Uном (макс) 3×57.7/100(200) V 50 Hz; Питание 120...370 V⎓/100...265 V~50 Hz, 10 VA; Интерфейсы 2 × RS-485, 2 × 100Base-TX; Класс измерения качества ЭЭ ГОСТ 30804.4.30-2013, класс A; Учет электроэнергии: класс точности энергия активная/реактивная: 0.2S/0.5 в соответствии с ГОСТ 31818.11-2012, ГОСТ 31819.22-2012 и ГОСТ 31819.23-2012; межповерочный интервал не менее 12 лет; Совместимость с ПО и УСПД АИИС КУЭ; Контроль качества электроэнергии в соответствии с ГОСТ 32144-2013, ГОСТ 30804.4.7-2013 (класс I), ГОСТ Р 8.655-2009, ГOСT 33073-2014 (отчеты), ГОСТ Р 51317.4.15-2012; Погрешность измерений основных параметров сети: напряжение ± 0.1 %, ток ± 0.1 %, мощность активная/реактивная/полная ± 0.5 %, частота ± 0.01 Гц, угол фазового сдвига ± 0.1°. монтаж на 35-мм DIN-рельс, степень защиты не хуже IP40, прозрачная крышка с отверстиями под пломбы.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Мегаваттметр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Шкала -300-0-300 МВт, класс точности 1,5, входной сигнал: 100 В, -5-0-5А; коэффициент трансформации ТТ 12000/5 А; коэффициент трансформации ТН 15750/100 В. Размеры не более 120х120х95 мм. Масса не более 0,7 кг.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Мегаварметр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Шкала -300-0-300 Мвар, класс точности 1,5; входной сигнал: 100 В, -5-0-5А; коэффициент трансформации ТТ 12000/5 А; коэффициент трансформации ТН 15750/100 В. Габаритные размеры не более 120х120х95 мм. Масса не более 0,7 кг.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Термопреобразователи сопротивления с коммутационной головкой ДТС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Модель — 065 Диапазон измеряемой температуры, °С - -60 до +500 Параметры - D=8 мм, M = 20×1,5 мм, S = 27 мм Материал - сталь 12Х18Н10Т НСХ — Pt1000 Класс допуска — В Схема соединения — 3х проводная Длина монтажной части — 60мм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Термопреобразователи сопротивления с кабельным выводом ДТС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Модель — 014 Диапазон измеряемой температуры, °С - -50 до +180 Параметры - D=5 мм Материал — латунь НСХ - 50М</w:t>
              <w:br/>
              <w:t>Класс допуска — В Схема соединения — 3х проводная Длина монтажной части — 25 мм Длина кабельного ввода — 0,2 м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Термопреобразователь сопротивления ДТС045-100М.0,5.120.МГ.И., -50…+180°С 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Длина монтажной части, L: 120 мм; Номинальная статическая характеристика: 100М; Диапазон измеряемых температур: от минус 50 до плюс 180 °C; Заводская установка диапазона преобразования в сигнал от 4 до 20 мА,°C: минус 50 до плюс 180; Погрешность: ±0,5; Показатель тепловой инерции, не более 30 с; Сопротивление изоляции, не менее 100 МОм; Степень защиты по ГОСТ 14254: IP54; Материал защитной арматуры: 12х18н10т; Количество чувствительных элементов: 1.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Термопреобразователь сопротивления ДТС105М-PT100.0,5.60.И, 0…+200°С 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Длина монтажной части, L: 60 мм;  Номинальная статическая характеристика: Pt100; Диапазон измеряемых температур: не менее минус 50 °C, не более плюс 200 °C; Диапазон выходного тока преобразователя: от 4 до 20 мА; Номинальное значение напряжения питания (постоянного тока): 24 В; Диапазон допустимых напряжений питания (постоянного тока): от 12 до 36 В; Максимальная мощность, потребляемая преобразователем: 0,8 Вт; Интерфейс HART: Нет; Вид зависимости «ток от температуры»: линейная; Нелинейность преобразования, не хуже: ±0,2 %; Кабельный ввод: М16×1,5; Присоединение к процессу: штуцер G1/4; Разрядность цифро-аналогового преобразователя, не менее 12 бит; Сопротивление каждого провода, соединяющего преобразователь с термометром сопротивления, Ом, не более 30; Сопротивление линии связи с термоэлектрическим преобразоМастервателем, Ом, не более 100; Номинальное значение сопротивления нагрузки (при напряжении питания 24 В): 533 Ом ±5 %; Максимальное допустимое сопротивление нагрузки (при напряжении питания 36 В): 1067 Ом; Пульсации выходного сигнала: 0,6 %; Время установления рабочего режима для преобразователя (предварительный прогрев) после включения напряжения питания, не более 30 с; Показатель тепловой инерции, не более 40 с; Материал защитной арматуры: сталь 12Х18Н10Т; Степень защиты: IP54; Средний срок службы: не менее 10 лет.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 xml:space="preserve">Преобразователь давления ПД100-ДИ1,6-171-0,5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Выходной сигнал постоянного тока: 4...20 мА, 2-х проводная схема; диапазон измерения: 0-1,6 МПа; основная приведенная погрешность: 0,5 % ВПИ; диапазон рабочих температур измеряемой среды: –40…+100 °С; напряжение питания: 12…36 В постоянного тока; сопротивление нагрузки: 0… 1800 Ом; потребляемая мощность: не более 0,8 Вт; устойчивость к механическим воздействиям: группа исполнения V3 по ГОСТ Р 52931; степень защиты корпуса: IP65; устойчивость к климатическим воздействиям: УХЛ3.1; диапазон рабочих температур окружающего воздуха: –40…+80 °С; атмосферное давление рабочее: 66...106,7 кПа; среднее время наработки на отказ: не менее 500 000 ч; средний срок службы: 12 лет; межповерочный интервал: 2 года; штуцер для подключения к процессу: G1/2 манометрической формы (DIN EN 837); тип электрического соединителя: EN175301-803 форма А (DIN 43650-A); габаритный размер (по высоте): не более 115 мм; перегрузочная способность: от 0,016 до 16 МПа – не менее 200 % от ВПИ; предельное давление перегрузки: не более 500 % при ВПИ выше 35 кПа.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 xml:space="preserve">Преобразователь давления ПД100-ДИ6,0-181-0,5 штуцер: G1/4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Выходной сигнал постоянного тока: 4...20 мА, 2-х проводная схема; диапазон измерения: 0-6,0 МПа; основная приведенная погрешность: 0,5 % ВПИ; диапазон рабочих температур измеряемой среды: –40…+100 °С; напряжение питания: 12…36 В постоянного тока; сопротивление нагрузки: 0… 1800 Ом; потребляемая мощность: не более 0,8 Вт; устойчивость к механическим воздействиям: группа исполнения V3 по ГОСТ Р 52931; степень защиты корпуса: IP65; устойчивость к климатическим воздействиям: УХЛ3.1; диапазон рабочих температур окружающего воздуха: –40…+80 °С; атмосферное давление рабочее: 66...106,7 кПа; среднее время наработки на отказ: не менее 500 000 ч; средний срок службы: 12 лет; межповерочный интервал: 2 года; штуцер для подключения к процессу: G1/4 (DIN 3852); тип электрического соединителя: EN175301-803 форма А (DIN 43650-A); габаритный размер (по высоте): не более 115 мм; перегрузочная способность: от 0,016 до 16 МПа – не менее 200 % от ВПИ; предельное давление перегрузки: не более 500 % при ВПИ выше 35 кПа.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 xml:space="preserve">Датчик давления ОВЕН ПД100-ДИ6,0-181-0,5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Верхний предел измерений 6МПа; штуцер G1/4; классточности 0,5%; межповерочный интервал 2 года; Выходной сигнал 4-20 мА; сенсор типа ТНК (тензомост-на-керамике); Выходной сигнал постоянного тока 4...20 мА, 2-х проводная схема; Напряжение питания 12…36 В постоянного тока; Сопротивление нагрузки 0…1,0 кОм (в зависимости от напряжения питания); Потребляемая мощность не более 0,8 Вт; Устойчивость к механическим воздействиям группа исполнения V3 по ГОСТ Р 52931; Устойчивость к климатическим воздействиям УХЛ3.1; Диапазон рабочих температур окружающего воздуха –40…+80 °С; Среднее время наработки на отказ не менее 500 000 ч; Средний срок службы 12 лет; Габаритный размер (по высоте) не более 115 мм; Перегрузочная способность не менее 200 % от ВПИ; Предельное давление перегрузки не менее 250 % от ВПИ.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 xml:space="preserve">Датчик давления ОВЕН ПД100-ДИ1,0-181-0,5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Верхний предел измерений 1МПа; штуцер G1/4; классточности 0,5%; межповерочный интервал 2 года; Выходной сигнал 4-20 мА; сенсор типа ТНК (тензомост-на-керамике); Выходной сигнал постоянного тока 4...20 мА, 2-х проводная схема; Напряжение питания 12…36 В постоянного тока; Сопротивление нагрузки 0…1,0 кОм (в зависимости от напряжения питания); Потребляемая мощность не более 0,8 Вт; Устойчивость к механическим воздействиям группа исполнения V3 по ГОСТ Р 52931; Устойчивость к климатическим воздействиям УХЛ3.1; Диапазон рабочих температур окружающего воздуха –40…+80 °С; Среднее время наработки на отказ не менее 500 000 ч; Средний срок службы 12 лет; Габаритный размер (по высоте) не более 115 мм; Перегрузочная способность не менее 200 % от ВПИ; Предельное давление перегрузки не менее 250 % от ВПИ.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Датчик давления ОВЕН ПД100-ДИ1,6-181-0,5 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Верхний предел измерений 1,6МПа; штуцер G1/4; классточности 0,5%; межповерочный интервал 2 года; Выходной сигнал 4-20 мА; сенсор типа ТНК (тензомост-на-керамике); Выходной сигнал постоянного тока 4...20 мА, 2-х проводная схема; Напряжение питания 12…36 В постоянного тока; Сопротивление нагрузки 0…1,0 кОм (в зависимости от напряжения питания); Потребляемая мощность не более 0,8 Вт; Устойчивость к механическим воздействиям группа исполнения V3 по ГОСТ Р 52931; Устойчивость к климатическим воздействиям УХЛ3.1; Диапазон рабочих температур окружающего воздуха –40…+80 °С; Среднее время наработки на отказ не менее 500 000 ч; Средний срок службы 12 лет; Габаритный размер (по высоте) не более 115 мм; Перегрузочная способность не менее 200 % от ВПИ; Предельное давление перегрузки не менее 250 % от ВПИ.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Датчик давления ОВЕН ПД100-ДИ0,6-181-0,5 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Верхний предел измерений 0,6МПа; штуцер G1/4; классточности 0,5%; межповерочный интервал 2 года; Выходной сигнал 4-20 мА; сенсор типа ТНК (тензомост-на-керамике); Выходной сигнал постоянного тока 4...20 мА, 2-х проводная схема; Напряжение питания 12…36 В постоянного тока; Сопротивление нагрузки 0…1,0 кОм (в зависимости от напряжения питания); Потребляемая мощность не более 0,8 Вт; Устойчивость к механическим воздействиям группа исполнения V3 по ГОСТ Р 52931; Устойчивость к климатическим воздействиям УХЛ3.1; Диапазон рабочих температур окружающего воздуха –40…+80 °С; Среднее время наработки на отказ не менее 500 000 ч; Средний срок службы 12 лет; Габаритный размер (по высоте) не более 115 мм; Перегрузочная способность не менее 200 % от ВПИ; Предельное давление перегрузки не менее 250 % от ВПИ.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Датчик давления ОВЕН ПД100-ДИ10,0-181-0,5 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Верхний предел измерений 10МПа; штуцер G1/4; классточности 0,5%; межповерочный интервал 2 года; Выходной сигнал 4-20 мА; сенсор типа ТНК (тензомост-на-керамике); Выходной сигнал постоянного тока 4...20 мА, 2-х проводная схема; Напряжение питания 12…36 В постоянного тока; Сопротивление нагрузки 0…1,0 кОм (в зависимости от напряжения питания); Потребляемая мощность не более 0,8 Вт; Устойчивость к механическим воздействиям группа исполнения V3 по ГОСТ Р 52931; Устойчивость к климатическим воздействиям УХЛ3.1; Диапазон рабочих температур окружающего воздуха –40…+80 °С; Среднее время наработки на отказ не менее 500 000 ч; Средний срок службы 12 лет; Габаритный размер (по высоте) не более 115 мм; Перегрузочная способность не менее 200 % от ВПИ; Предельное давление перегрузки не менее 250 % от ВПИ.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 xml:space="preserve">Датчик давления МИДА-Ди-15-П-0,25/0,0025 МПа 01-М20-К с кабелем 5 м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Диапазон измерений: 0...2,5 кПа. Длина кабеля: не менее L=5 м. Исполнение: IP67. Предел допускаемой основной погрешности: 0,25%. Выходной сигнал: 4-20 мА. Напряжение питания постоянного тока, В: от 8 до 36. Дополнительно: присоединение к процессу М20х1,5. Диапазон рабочих температур: -50 ÷ 85ºC.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 xml:space="preserve">Датчик давления МИДА-Ди-15-П-0,25/0,006 МПа 01-М20-К с кабелем 5 м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Диапазон измерений: 0...6 кПа. Длина кабеля: не менее L=5 м. Исполнение: IP67. Предел допускаемой основной погрешности: 0,25%. Выходной сигнал: 4-20 мА. Напряжение питания постоянного тока, В: от 8 до 36. Дополнительно: присоединение к процессу М20х1,5. Диапазон рабочих температур: -50 ÷ 85ºC.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 xml:space="preserve">Датчик давления МИДА-Ди-15-П-0,25/0,01МПа 01-М20-К с кабелем 5 м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Диапазон измерений: 0...10 кПа. Длина кабеля: не менее L=5 м. Исполнение: IP67. Предел допускаемой основной погрешности: 0,25%. Выходной сигнал: 4-20 мА. Напряжение питания постоянного тока, В: от 8 до 36. Дополнительно: присоединение к процессу М20х1,5. Диапазон рабочих температур: -50 ÷ 85ºC.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 xml:space="preserve">Датчик давления МИДА-Ди-15-П-0,25/0,016 МПа 01-М20-К с кабелем 5 м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Диапазон измерений: 0...16 кПа. Длина кабеля: не менее L=5 м. Исполнение: IP67. Предел допускаемой основной погрешности: 0,25%. Выходной сигнал: 4-20 мА. Напряжение питания постоянного тока, В: от 8 до 36. Дополнительно: присоединение к процессу М20х1,5. Диапазон рабочих температур: -50 ÷ 85ºC.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  <w:iCs/>
                <w:color w:val="000000"/>
                <w:sz w:val="24"/>
                <w:szCs w:val="24"/>
              </w:rPr>
              <w:t>Реле Finder 55.34.9.024.0040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Данная позиция является запасной частью к оборудованию, используемому Заказчиком, а именно в шкафу щита постоянного, тока, в соответствии технической документацией «Загорская  ГАЭС-2 на р.Кунья РУ-500 кВ» СОПТ 220В ЩПТ1 1834-26-65. </w:t>
            </w:r>
          </w:p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Реле имеет свои установочные размеры, электрические характеристики, особенности совместимости при монтаже (устанавливается в штатно установленную колодку Finder).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Реле Finder 55.34.9.220.0040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>
                <w:rFonts w:eastAsia="Calibri"/>
                <w:i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/>
            </w:r>
          </w:p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Данная позиция является запасной частью к оборудованию, используемому Заказчиком, а именно в шкафу щита постоянного, тока, в соответствии технической документацией «Загорская  ГАЭС-2 на р.Кунья РУ-500 кВ» СОПТ 220В ЩПТ1 1834-26-65.  </w:t>
            </w:r>
          </w:p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Реле имеет свои установочные размеры, электрические характеристики, особенности совместимости при монтаже (устанавливается в штатно установленную колодку Finder).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Реле Finder 55.34.8.230.0040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Данная позиция является запасной частью к оборудованию, используемому Заказчиком, а именно в шкафу щита постоянного, тока, в соответствии технической документацией «Загорская ГАЭС-2 на р.Кунья РУ-500 кВ» СОПТ 220В ЩПТ1 1834-26-65.Реле имеет свои установочные размеры, электрические характеристики, особенности совместимости при монтаже (устанавливается в штатно установленную колодку Finder).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Блок дополнительный контактный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Schneider Electric LADR0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Данная позиция является запасной частью к оборудованию, используемому Заказчиком, а именно в блоке ввода КТП-19, в соответствии с технической документацией ИЯТЛ.656129.016-01 Э3.   </w:t>
            </w:r>
          </w:p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Блок дополнительный контактный имеет свои установочные размеры, электрические характеристики, особенности совместимости при монтаже, (устанавливается совместно с штатно установленным контактором Schneider Electric.). 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Блок вспомогательных контактов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Schneider Electric LADT0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Данная позиция является запасной частью к оборудованию, используемому Заказчиком, а именно в блоке ввода КТП-19, в соответствии с технической документацией ИЯТЛ.656129.016-01 Э3. Блок дополнительный контактный имеет свои установочные размеры, электрические характеристики, особенности совместимости при монтаже, (устанавливается совместно с штатно установленным контактором Schneider Electric.). 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Блок</w:t>
            </w:r>
            <w:r>
              <w:rPr>
                <w:rFonts w:eastAsia="Calibri"/>
                <w:i/>
                <w:i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контактный</w:t>
            </w:r>
            <w:r>
              <w:rPr>
                <w:rFonts w:eastAsia="Calibri"/>
                <w:i/>
                <w:i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val="en-US" w:eastAsia="en-US"/>
              </w:rPr>
              <w:t>Schneider Electric LADT2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Данная позиция является запасной частью к оборудованию, используемому Заказчиком, а именно в блоке ввода КТП-19, в соответствии с технической документацией ИЯТЛ.656129.016-01 Э3. Блок дополнительный контактный имеет свои установочные размеры, электрические характеристики, особенности совместимости при монтаже, (устанавливается совместно с штатно установленным контактором Schneider Electric.).  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Переключатель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val="en-US" w:eastAsia="en-US"/>
              </w:rPr>
              <w:t>Schneider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val="en-US" w:eastAsia="en-US"/>
              </w:rPr>
              <w:t>Electric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val="en-US" w:eastAsia="en-US"/>
              </w:rPr>
              <w:t>XB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4-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val="en-US" w:eastAsia="en-US"/>
              </w:rPr>
              <w:t>BD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53 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Тип устройства: селекторный (поворотный) выключатель.; </w:t>
            </w:r>
          </w:p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В электрических цепях переменного тока частотой 50 Гц, напряжением до 660 В или постоянного тока напряжением до 400 В. Габариты (В×Ш×Г): 47 × 30 × 68 мм., Без самовозврата (с фиксацией) Да, Высота отверстия 0 мм, Диаметр отверстия, 22.5 мм, Количество нормально замкнутых (НЗ, NC, р) контактов: 0, Количество нормально разомкнутых (НО, NO, з) контактов 2; Количество переключающих (перекидных) контактов: 0; Количество позиций переключения (положений): 3, Материал переднего кольца: Металл; С возможностью подсветки Нет; С ламп. в комплекте Нет; С передним кольцом Да; С самовозвратом (без фиксации) Да; Степень защиты (IP) IP66; Тип электрического подключения Винтовое соединение; Тип элемента управления Рукоятка поворот. короткая (узкий хват); Цвет кнопки Черный; Цвет переднего кольца Хром; Цвет управляющего элемента Черный; Ширина отверстия 0 мм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Контактор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Schneider Electric LC1D09MD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Данная позиция является запасной частью к оборудованию, используемому Заказчиком, а именно в распределительном шкафу ВРУ0,4 кВ , в соответствии с технической документацией ЕКНС.343341.17-Э3. Применение эквивалентной продукции повлечет внесение изменений в схемы, техническую документацию, и как следствие, дополнительным затратам Заказчика. Работа контактора возможна только совместно с другими компонентами установленными в том же шкафу. Применение продукции других производителей потребует проведение  монтажных работ.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Контакт</w:t>
            </w:r>
            <w:r>
              <w:rPr>
                <w:rFonts w:eastAsia="Calibri"/>
                <w:i/>
                <w:i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сигнальный</w:t>
            </w:r>
            <w:r>
              <w:rPr>
                <w:rFonts w:eastAsia="Calibri"/>
                <w:i/>
                <w:i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val="en-US" w:eastAsia="en-US"/>
              </w:rPr>
              <w:t>Schneider Electric A9A26924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Данная позиция является запасной частью к оборудованию, используемому Заказчиком, а именно в шкафу синхронизации и организации цепей напряжения, в соответствии с технической документацией №1857-26-123. Применение эквивалентной продукции повлечет внесение изменений в схемы, техническую документацию, и как следствие, дополнительным затратам Заказчика. </w:t>
            </w:r>
          </w:p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Контакт сигнальный имеет свои установочные размеры, электрические характеристики, особенности совместимости при монтаже, (устанавливается совместно с штатно установленным автоматическим выключателем Schneider Electric.). 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Контакт сигнальный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Siemens 3RV1921-1M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Данная позиция является запасной частью к оборудованию, используемому Заказчиком, а именно в выкатном модуле КТП-19, в соответствии с технической документацией ИЯТЛ.656129.016-01 Э3. Применение эквивалентной продукции повлечет внесение изменений в схемы, техническую документацию, и как следствие, дополнительным затратам Заказчика. Контакт имеет свои установочные размеры, электрические характеристики, особенности совместимости при монтаже, (устанавливается в штатно установленную колодку Siemens).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Вспомогательное реле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Siemens 3TH4382-0BM4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Данная позиция является запасной частью к оборудованию, используемому Заказчиком, а именно в шкафу управления выключателем, в соответствии с технической документацией №1857-26-107. Применение эквивалентной продукции повлечет внесение изменений в схемы, техническую документацию, и как следствие, дополнительным затратам Заказчика. Реле имеет свои установочные размеры, электрические характеристики, особенности совместимости при монтаже, (устанавливается в штатно установленную колодку Siemens). 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Клемма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i/>
                <w:iCs/>
                <w:color w:val="000000"/>
                <w:sz w:val="24"/>
                <w:szCs w:val="24"/>
              </w:rPr>
              <w:t>змерительная клемма с ползунковым размыкателем, со скользящей перемычкой, тип подключения: Винтовые зажимы, cечение: 0,5 мм² - 10 мм² , AWG: 20 - 10, ширина: 8,2 мм, тип монтажа: NS 35/7,5, NS 35/15, NS 32, цвет: cерый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Реле контроля синхронизма Орион НФ-220В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>
                <w:sz w:val="24"/>
                <w:szCs w:val="24"/>
              </w:rPr>
            </w:pPr>
            <w:r>
              <w:rPr/>
            </w:r>
          </w:p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Управление с помощью DIP переключателей. Число входов по напряжению</w:t>
              <w:tab/>
              <w:t>2; Номинальное напряжение от ТН (ШОН) линии Uн, В 15 / 30 / 60 / 100; Номинальное входное напряжение от ТН шин Uн, В 60/100; Рабочий диапазон входного напряжения (0,1…1,2)Uн; Рабочий диапазон частот входного напряжения, Гц 45 ... 55; Уставки уровня наличия напряжения (диапазон/дискретность), Umax (0,5…0,95) Uн/0,05 Uн; Уставки уровня отсутствия напряжения (диапазон/дискретность), Umin (0,1…0,8) Uн/0,05 Uн; Уставки разности напряжений ΔU (фиксированное значение) 0,2 Uн; Уставки частоты скольжения Δf (диапазон/дискретность), Гц 0,05…0,8/0,05; Уставки разности фазных углов Δφ (диапазон/дискретность), град 4…64/4; Уставки времени опережения, tоп (диапазон/дискретность), с 0,025…0,4/0,025; Уставки времени бестоковой паузы tбт, с (фиксированное значение) 1,0 ; Число дискретных входов 4; Напряжение питания, В: - для исполнения "110" (постоянное) - для исполнения "220" (постоянное или переменное частотой 50 Гц  88 ...132,178 ... 242. Потребляемая мощность, ВА (Вт), не более 5,0, Габаритные размеры (ВхШхГ), мм</w:t>
              <w:tab/>
              <w:t>75 х 90 х 110</w:t>
            </w:r>
          </w:p>
          <w:p>
            <w:pPr>
              <w:pStyle w:val="Style37"/>
              <w:widowControl w:val="false"/>
              <w:jc w:val="both"/>
              <w:rPr>
                <w:rFonts w:eastAsia="Calibri"/>
                <w:i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Источник питания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val="en-US" w:eastAsia="en-US"/>
              </w:rPr>
              <w:t>Phoenix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val="en-US" w:eastAsia="en-US"/>
              </w:rPr>
              <w:t>Contact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val="en-US" w:eastAsia="en-US"/>
              </w:rPr>
              <w:t>MINI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-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val="en-US" w:eastAsia="en-US"/>
              </w:rPr>
              <w:t>PS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-100-240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val="en-US" w:eastAsia="en-US"/>
              </w:rPr>
              <w:t>AC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/24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val="en-US" w:eastAsia="en-US"/>
              </w:rPr>
              <w:t>DC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/2  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>
                <w:sz w:val="24"/>
                <w:szCs w:val="24"/>
              </w:rPr>
            </w:pPr>
            <w:r>
              <w:rPr/>
            </w:r>
          </w:p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Размеры:  Ширина22,5 мм, Высота99 мм, Глубина107 мм, Окружающие условия: Степень защитыIP20, Температура окружающей среды (при эксплуатации)-25 °C ... 70 °C (&gt; 60 °C Derating: 2,5 %/K): Температура окружающей среды (хранение/транспорт)-40 °C ... 85 °C, Макс. допустимая отн. влажность воздуха (при эксплуатации)≤ 95 % (При 25 °C, без выпадения конденсата), Климатический класс3K3 (согласно EN 60721), Степень загрязнения2, Входные данные: Диапазон номинальных напряжений на входе100 В AC ... 240 В AC, Диапазон входных напряжений85 В AC ... 264 В AC, 90 В DC ... 350 В DC, Диапазон частот AC45 Гц ... 65 Гц, Диапазон частот DC0 Гц, Потребляемый ток0,55 A (100 В AC), 0,23 A (240 В AC), Номинальная потребляемая мощность36,9 Вт, Импульс пускового тока&lt; 15 A (&lt; 0,6 A2с), Провалы напряжения в сети&gt; 20 мс (120 В AC), &gt; 110 мс (230 В AC), Входной предохранитель1,25 A (инертного типа, внутренний), Выбор подходящих предохранителей6 A ... 16 A (Характеристика B, C, D, K), Наименование защитыЗащита от перенапряжений при переходных процессах, Защитная цепь / модульВаристор Выходные данные, Номинальное напряжение24 В DC ±1 %, Диапазон настройки выходного напряжения (USet)22,5 В DC ... 28,5 В DC (&gt; 24 В DC, ограничение по постоянной мощности), Номинальный ток на выходе (IN)1,3 A (-25 °C ... 60 °C), POWER BOOST (IBoost)1,6 A (-25 °C ... 40 °C в непрерывном режиме), Изменение хар-к60 °C ... 70 °C (2,5 % / K), Возможность параллельного подключенияда, резервирование и повышение мощности, Возможность последовательного подключенияда, Устойчивость к обратной связи35 В DC, Схема защиты от перенапряжения на выходе из-за попадания посторонних предметовда, &lt; 35 В DC, Задержка пуска при емкостной нагрузкенеограниченно, Нагрузка, емкостная, максимальнаянеограниченно, активное ограничение токаок. 5 A (при коротком замыкании), Рассогласование&lt; 1 % (статическое изменение нагрузки 10 % ... 90 %), &lt; 3 % (динамическое изменение нагрузки 10 % ... 90 %), &lt; 0,1 % (отклонение входного напряжения ±10 %), Остаточная пульсация&lt; 20 мB(ДА) (20 МГц), Выходная мощность31,2 Вт, Время включения, типовое&lt; 1 c, Коммутационные пики, номинальная нагрузка&lt; 50 мB(ДА) (20 МГц), Рассеиваемая мощность, без нагрузки, макс.1,4 Вт, Рассеиваемая мощность, номинальная нагрузка, макс.4,5 Вт, Общие сведения: Вес нетто0,2 кг, Индикация рабочего напряженияLED зел., КПД&gt; 85 % (при 230 В AC и номинальных значениях), Напряжения изоляции на входе / выходе4 кВ (Типовое исп.), 3 кВ (Выборочное исп.), Степень защитыII (в закрытом шкафу управления), IP20, MTBF (IEC 61709, SN 29500)&gt; 1104000 ч (40 °C), Монтажное положениегоризонтальная DIN-рейка NS 35, EN 60715, Указания по монтажуприсоединяемый: горизонтально 0 мм, вертикально 50 мм, Характеристики клемм, вход, Тип подключениявставные винтовые клеммы, Сечение жесткого проводника мин.0,2 мм², Сечение жесткого проводника макс.2,5 мм², Сечение гибкого проводника мин.0,2 мм², Сечение гибкого проводника макс.2,5 мм², Сечение проводника AWG, мин.24, Сечение проводника AWG, макс.12, Длина снятия изоляции7 мм, Резьба винтовM3.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Реле контроля напряжения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Контроль: допустимого уровня напряжения; чередования и отсутствия фаз; перекоса фаз; отключение нагрузки при некачественном сетевом напряжении; качества сетевого напряжения после отключения нагрузки и автоматического включения ее после восстановления параметров напряжения; индицирование аварии при возникновении аварийной ситуации и индикации наличия напряжения на каждой фазе. Технические характеристики: номинальное линейное / фазное напряжение сети: 380 / 220 В. Частота сети: 45 – 65 Гц. Диапазон регулирования порога срабатывания по напряжению питания: 5 – 50 %. Диапазон регулирования времени срабатывания защиты: 0 – 10 сек. Диапазон регулирования времени АПВ: 0 – 600 сек. Задержка срабатывания по минимальному напряжению: 0-12 сек. Время срабатывания при подаче напряжения питания и при обрыве одной из фаз: не более: 0,2 сек. Величина определения перекоса фаз: не более 60 В. Точность определения порога срабатывания по напряжению: не более: 3 В. Напряжение, при котором сохраняется работоспособность: по трем фазам 95 – 450 В. Максимальный коммутируемый ток контактов: 5 А. Сечение проводов для подключения: 0,5 – 1,5мм².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Предохранитель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Стеклянный. Номинальный ток 0,5А. Номинальное напряжение 230-250В. Длина 20 мм, диаметр 5 мм.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Предохранитель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Стеклянный. Номинальный ток 4А. Номинальное напряжение 230-250В. Длина 20 мм, диаметр 5 мм.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Предохранитель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Стеклянный. Номинальный ток 1А. Номинальное напряжение 230-250В. Длина 20 мм, диаметр 5 мм.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Предохранитель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Стеклянный. Номинальный ток 3А. Номинальное напряжение 230-250В. Длина 20 мм, диаметр 5 мм.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Предохранитель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Стеклянный. Номинальный ток 2А. Номинальное напряжение 230-250В. Длина 20 мм, диаметр 5 мм.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Резистор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Углеродистый, 0,5 Вт, 4,7 кОм ±5%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Резистор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Углеродистый, 0,5 Вт, 1 кОм ±5%.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Резистор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Углеродистый, 0,5 Вт, 9,1-9,8 кОм ±5%.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Резистор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Углеродистый, 0,5 Вт, 8,2 кОм ±5%.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Резистор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Углеродистый, 0,5 Вт, 11 кОм ±5%.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Аэрозоль / cпрей для тестирования датчиков дыма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Для тестирования пожарных дымовых оптико-электронных извещателей. Чистый синтетический аэрозоль-спрей, имитирующий частицы, которые содержатся в реальном дыме. Нe вocплaмeним, нe тoкcичeн, нe ocтaвляeт вpeдныx вeщecтв пocлe иcпoльзoвaния, быcтpaя aктивaция. Объeм бaллoнa не менее 200 мл.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Сжатый воздух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Очиститель - спрей. Сжатый воздух для продувки с дозатором пневматического распыления. Объем не менее 400 мл.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Реле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val="en-US" w:eastAsia="en-US"/>
              </w:rPr>
              <w:t xml:space="preserve"> Phoenix contact PLC-RSC-230UC/21-21 220 VDC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Данная позиция является запасной частью к оборудованию, используемому Заказчиком, а именно реле в шкафах ПТК АСУ ГА, в соответствии с технической документацией «Программно-технический комплекс аварийно-ремонтного затвора гидроагрегата №4. ПТК АРЗ А4. Комплект документов. Р86.2006.470» на используемое Заказчиком оборудование. Работа реле возможна только совместно с другими однотипными реле установленными в том же шкафу. Применение продукции других производителей потребует проведение  монтажных работ.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Реле универсальное Omron ММ2XP-D 24DC DPDT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Данная позиция является запасной частью к оборудованию, используемому Заказчиком, а именно реле в шкафах ПТК АСУ ГА, в соответствии с технической документацией «Программно-технический комплекс аварийно-ремонтного затвора гидроагрегата №4. ПТК АРЗ А4. Комплект документов. Р86.2006.470» на используемое Заказчиком оборудование. Работа реле возможна только совместно с другими однотипными реле установленными в том же шкафу. Применение продукции других производителей потребует проведение  монтажных работ.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Реле MM4XP DC200/220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Данная позиция является запасной частью к оборудованию, используемому Заказчиком, а именно реле в шкафах ПТК АСУ ГА, в соответствии с технической документацией «Шкаф силовой управления аварийно-ремонтного затвора гидроагрегата №4. ШС АРЗ А4. Комплект документов. Р86.2006.471» на используемое Заказчиком оборудование. Реле имеет свои установочные размеры, электрические характеристики, особенности совместимости при монтаже (устанавливается в штатно установленную колодку Omron).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Таймер аналоговый Omron H3DK-M2 AC/DC24/240  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>
                <w:sz w:val="24"/>
                <w:szCs w:val="24"/>
              </w:rPr>
            </w:pPr>
            <w:r>
              <w:rPr/>
            </w:r>
          </w:p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bCs/>
                <w:i/>
                <w:iCs/>
                <w:color w:val="000000"/>
                <w:sz w:val="24"/>
                <w:szCs w:val="24"/>
                <w:shd w:fill="FFFFFF" w:val="clear"/>
                <w:lang w:eastAsia="en-US"/>
              </w:rPr>
              <w:t>Полупроводниковый твердотельный таймер. Напряжение питания:24-240 AC/DC. Монтажная ш</w:t>
            </w:r>
            <w:r>
              <w:rPr>
                <w:rStyle w:val="Strong"/>
                <w:rFonts w:eastAsia="Calibri"/>
                <w:b w:val="false"/>
                <w:i/>
                <w:iCs/>
                <w:color w:val="000000"/>
                <w:sz w:val="24"/>
                <w:szCs w:val="24"/>
                <w:shd w:fill="FFFFFF" w:val="clear"/>
                <w:lang w:eastAsia="en-US"/>
              </w:rPr>
              <w:t xml:space="preserve">ирина: 22,5 мм.  </w:t>
            </w:r>
            <w:r>
              <w:rPr>
                <w:rFonts w:eastAsia="Calibri"/>
                <w:bCs/>
                <w:i/>
                <w:iCs/>
                <w:color w:val="000000"/>
                <w:sz w:val="24"/>
                <w:szCs w:val="24"/>
                <w:shd w:fill="FFFFFF" w:val="clear"/>
                <w:lang w:eastAsia="en-US"/>
              </w:rPr>
              <w:t>Диапазон настройки времени: 0,1 сек - 1200 час. Задержка при включении: да. Тип выхода: релейный. Тип релейного выхода: DPDT.  Индикация работы. Монтажная ш</w:t>
            </w:r>
            <w:r>
              <w:rPr>
                <w:rStyle w:val="Strong"/>
                <w:rFonts w:eastAsia="Calibri"/>
                <w:b w:val="false"/>
                <w:i/>
                <w:iCs/>
                <w:color w:val="000000"/>
                <w:sz w:val="24"/>
                <w:szCs w:val="24"/>
                <w:shd w:fill="FFFFFF" w:val="clear"/>
                <w:lang w:eastAsia="en-US"/>
              </w:rPr>
              <w:t xml:space="preserve">ирина: 22,5 мм. </w:t>
            </w:r>
            <w:r>
              <w:rPr>
                <w:rFonts w:eastAsia="Calibri"/>
                <w:bCs/>
                <w:i/>
                <w:iCs/>
                <w:color w:val="000000"/>
                <w:sz w:val="24"/>
                <w:szCs w:val="24"/>
                <w:shd w:fill="FFFFFF" w:val="clear"/>
                <w:lang w:eastAsia="en-US"/>
              </w:rPr>
              <w:t>Монтаж: DIN-рейка.  Соединение: винтовые клеммы.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  <w:p>
            <w:pPr>
              <w:pStyle w:val="Normal"/>
              <w:widowControl w:val="false"/>
              <w:rPr>
                <w:rFonts w:eastAsia="Calibri"/>
                <w:i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/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Предохранитель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Стеклянный. Номинальный рабочий ток 0,05А. Номинальное напряжение 250В (±20В). Длина корпуса 20 мм, диаметр корпуса 5 мм.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rFonts w:eastAsia="Calibri"/>
                <w:i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/>
            </w:r>
          </w:p>
          <w:p>
            <w:pPr>
              <w:pStyle w:val="Style37"/>
              <w:widowControl w:val="false"/>
              <w:jc w:val="center"/>
              <w:rPr>
                <w:rFonts w:eastAsia="Calibri"/>
                <w:i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Термистор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/>
            </w:r>
          </w:p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bCs/>
                <w:i/>
                <w:iCs/>
                <w:color w:val="000000"/>
                <w:sz w:val="24"/>
                <w:szCs w:val="24"/>
                <w:lang w:eastAsia="en-US"/>
              </w:rPr>
              <w:t>NTC. Статическое сопротивление при 25°C: 10 Ом +20%. Размеры в диаметре 21 (±1) мм. Номинальное напряжение  230 VAC. Номинальный ток 7.5 А. Количество выводов: 2. Шаг выводов 7,5</w:t>
            </w:r>
            <w:r>
              <w:rPr>
                <w:rFonts w:eastAsia="Calibri"/>
                <w:bCs/>
                <w:i/>
                <w:iCs/>
                <w:color w:val="000000"/>
                <w:sz w:val="24"/>
                <w:szCs w:val="24"/>
                <w:lang w:val="en-US" w:eastAsia="en-US"/>
              </w:rPr>
              <w:t xml:space="preserve"> (±1) </w:t>
            </w:r>
            <w:r>
              <w:rPr>
                <w:rFonts w:eastAsia="Calibri"/>
                <w:bCs/>
                <w:i/>
                <w:iCs/>
                <w:color w:val="000000"/>
                <w:sz w:val="24"/>
                <w:szCs w:val="24"/>
                <w:lang w:eastAsia="en-US"/>
              </w:rPr>
              <w:t>мм.</w:t>
            </w:r>
          </w:p>
          <w:p>
            <w:pPr>
              <w:pStyle w:val="Style37"/>
              <w:widowControl w:val="false"/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Маркировка 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>
                <w:sz w:val="24"/>
                <w:szCs w:val="24"/>
              </w:rPr>
            </w:pPr>
            <w:r>
              <w:rPr/>
            </w:r>
          </w:p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Для маркировки клеммных колодок шириной от 5 до 17.5 мм. Бирки чистые без печати. Цвет: белый. В одном блистере 100 шт.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Клеммный ограничитель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Для ограничения клеммных соединений при монтаже на DIN рейку EW35, 35 мм. Материал эластичного и ударопрочного полиамида.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Mодуль Нагрузочный 8-канальный Ракурс CCD RC8-01 (0.68µF, 275V)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Данная позиция является запасной частью к оборудованию, используемому Заказчиком, а именно шкафа управления перепускным клапаном АРЗ, в соответствии с технической документацией «Шкаф управления перепускным клапаном АРЗ А4. ШУ КП А4. Комплект документов. Р71.2015.01.473» на используемое Заказчиком оборудование.  ПРабота модуля возможна только совместно с другими компонентами установленными в том же шкафу. Применение продукции других производителей потребует проведение  монтажных работ.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Модуль силовой для контроллера ET200S. Заказной номер 6ES7138-4CA01-0AA0. SIMATIC DP, силовой модуль PM-E FOR, =24 DC с диагностикой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Данная позиция является запасной частью к оборудованию, используемому Заказчиком, а именно шкафов автоматики оборудования насосной станции НОТ, в соответствии с технической документацией «НОТ1-Н00 (ШАЛФ-024-001-УХЛ4)». Работа контроллера возможна только с модулями линейки данной серии. Модуль имеет свои установочные размеры, электрические характеристики, конфигурацию и интерфейсные связи. Применение продукции других производителей не возможно, в связи с технической несовместимостью.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Модуль электронный дискретного ввода для контроллера ET200S. Заказной номер 6ES7131-4BF00-0AA0. SIMATIC DP, электронный модуль дискретного ввода, 8DI =24В, 15 мм ширина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Данная позиция является запасной частью к оборудованию, используемому Заказчиком, а именно шкафов автоматики оборудования насосной станции НОТ, в соответствии с технической документацией «НОТ1-Н00 (ШАЛФ-024-001-УХЛ4)». Работа контроллера возможна только с модулями линейки данной серии. Модуль имеет свои установочные размеры, электрические характеристики, конфигурацию и интерфейсные связи. Применение продукции других производителей не возможно, в связи с технической несовместимостью.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Модуль ввода цифровой SM321, 6ES7321-1BL00-ОААО, DI32x VDC24, SIEMENS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Данная позиция является запасной частью к оборудованию, используемому Заказчиком, а именно шкафу управления ШСУ-К, в соответствии с технической документацией «ТДЭЛ.656449.001. Шкаф управления ШСУ-К». Работа контроллера возможна только с модулями линейки данной серии. Модуль имеет свои установочные размеры, электрические характеристики, конфигурацию и интерфейсные связи. Применение продукции других производителей не возможно, в связи с технической несовместимостью.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Источник питания Phoenix contact QUINT-PS/1AC/24DC/10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Данная позиция является запасной частью к оборудованию, используемому Заказчиком, а именно шкафов автоматики оборудования насосной станции НОТ, в соответствии с технической документацией «НОТ1-Н00 (ШАЛФ-024-001-УХЛ-4» на используемое Заказчиком оборудование.  Работа модуля возможна только совместно с другими компонентами установленными в том же шкафу. Применение продукции других производителей потребует проведение  монтажных работ.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Активный резервный модуль с технологией ACB и функциями контроля QUINT-ORING/24DC/2x10/1x20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Данная позиция является запасной частью к оборудованию, используемому Заказчиком, а именно шкафов автоматики оборудования насосной станции НОТ, в соответствии с технической документацией «НОТ1-Н00 (ШАЛФ-024-001-УХЛ-4» на используемое Заказчиком оборудование.  Работа модуля возможна только совместно с другими компонентами установленными в том же шкафу. Применение продукции других производителей потребует проведение  монтажных работ.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Усилитель сигнала Phoenix Contact MACX MCR-EX-SL-RPSSI-I-SP 4..20mA/4..20mA с развязкой питания/развязкой по входу 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>
                <w:sz w:val="24"/>
                <w:szCs w:val="24"/>
              </w:rPr>
            </w:pPr>
            <w:r>
              <w:rPr/>
            </w:r>
          </w:p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sz w:val="24"/>
                <w:szCs w:val="24"/>
                <w:shd w:fill="FFFFFF" w:val="clear"/>
                <w:lang w:eastAsia="en-US"/>
              </w:rPr>
              <w:t>Усилитель разделительный с развязкой питания/развязкой по входу.</w:t>
            </w: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 Напряжение питания 12-24 В. </w:t>
            </w:r>
            <w:r>
              <w:rPr>
                <w:rFonts w:eastAsia="Calibri"/>
                <w:bCs/>
                <w:i/>
                <w:iCs/>
                <w:sz w:val="24"/>
                <w:szCs w:val="24"/>
                <w:shd w:fill="FFFFFF" w:val="clear"/>
                <w:lang w:eastAsia="en-US"/>
              </w:rPr>
              <w:t xml:space="preserve">Сигнальный вход: </w:t>
            </w:r>
            <w:r>
              <w:rPr>
                <w:rFonts w:eastAsia="Calibri"/>
                <w:i/>
                <w:iCs/>
                <w:sz w:val="24"/>
                <w:szCs w:val="24"/>
                <w:shd w:fill="FFFFFF" w:val="clear"/>
                <w:lang w:eastAsia="en-US"/>
              </w:rPr>
              <w:t>активный вход тока, искробезопасный.</w:t>
            </w:r>
            <w:r>
              <w:rPr>
                <w:rFonts w:eastAsia="Calibri"/>
                <w:bCs/>
                <w:i/>
                <w:iCs/>
                <w:sz w:val="24"/>
                <w:szCs w:val="24"/>
                <w:shd w:fill="FFFFFF" w:val="clear"/>
                <w:lang w:eastAsia="en-US"/>
              </w:rPr>
              <w:t xml:space="preserve"> Входной сигнал тока:</w:t>
            </w: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i/>
                <w:iCs/>
                <w:sz w:val="24"/>
                <w:szCs w:val="24"/>
                <w:shd w:fill="FFFFFF" w:val="clear"/>
                <w:lang w:eastAsia="en-US"/>
              </w:rPr>
              <w:t xml:space="preserve">1 вход искробезопасный 0/4…20mA. </w:t>
            </w:r>
            <w:r>
              <w:rPr>
                <w:rFonts w:eastAsia="Calibri"/>
                <w:bCs/>
                <w:i/>
                <w:iCs/>
                <w:sz w:val="24"/>
                <w:szCs w:val="24"/>
                <w:shd w:fill="FFFFFF" w:val="clear"/>
                <w:lang w:eastAsia="en-US"/>
              </w:rPr>
              <w:t>Сигнальный выход:</w:t>
            </w:r>
            <w:r>
              <w:rPr>
                <w:rFonts w:eastAsia="Calibri"/>
                <w:b/>
                <w:bCs/>
                <w:i/>
                <w:iCs/>
                <w:sz w:val="24"/>
                <w:szCs w:val="24"/>
                <w:shd w:fill="FFFFFF" w:val="clear"/>
                <w:lang w:eastAsia="en-US"/>
              </w:rPr>
              <w:t xml:space="preserve"> </w:t>
            </w:r>
            <w:r>
              <w:rPr>
                <w:rFonts w:eastAsia="Calibri"/>
                <w:i/>
                <w:iCs/>
                <w:sz w:val="24"/>
                <w:szCs w:val="24"/>
                <w:shd w:fill="FFFFFF" w:val="clear"/>
                <w:lang w:eastAsia="en-US"/>
              </w:rPr>
              <w:t xml:space="preserve">Выход тока (активный и пассивный). </w:t>
            </w:r>
            <w:r>
              <w:rPr>
                <w:rFonts w:eastAsia="Calibri"/>
                <w:bCs/>
                <w:i/>
                <w:iCs/>
                <w:sz w:val="24"/>
                <w:szCs w:val="24"/>
                <w:shd w:fill="FFFFFF" w:val="clear"/>
                <w:lang w:eastAsia="en-US"/>
              </w:rPr>
              <w:t>Выходной сигнал тока:</w:t>
            </w: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i/>
                <w:iCs/>
                <w:sz w:val="24"/>
                <w:szCs w:val="24"/>
                <w:shd w:fill="FFFFFF" w:val="clear"/>
                <w:lang w:eastAsia="en-US"/>
              </w:rPr>
              <w:t>4 мА ... 20 мА. Гальваническая развязка цепей. Клеммные соединения: съёмные пружинные клеммы или винтовые.</w:t>
            </w: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  </w:t>
            </w:r>
            <w:r>
              <w:rPr>
                <w:rFonts w:eastAsia="Calibri"/>
                <w:i/>
                <w:iCs/>
                <w:sz w:val="24"/>
                <w:szCs w:val="24"/>
                <w:lang w:val="en-US" w:eastAsia="en-US"/>
              </w:rPr>
              <w:t>Возможность у</w:t>
            </w:r>
            <w:r>
              <w:rPr>
                <w:rFonts w:eastAsia="Calibri"/>
                <w:i/>
                <w:iCs/>
                <w:sz w:val="24"/>
                <w:szCs w:val="24"/>
                <w:shd w:fill="FFFFFF" w:val="clear"/>
                <w:lang w:eastAsia="en-US"/>
              </w:rPr>
              <w:t>становк</w:t>
            </w:r>
            <w:r>
              <w:rPr>
                <w:rFonts w:eastAsia="Calibri"/>
                <w:i/>
                <w:iCs/>
                <w:sz w:val="24"/>
                <w:szCs w:val="24"/>
                <w:shd w:fill="FFFFFF" w:val="clear"/>
                <w:lang w:val="en-US" w:eastAsia="en-US"/>
              </w:rPr>
              <w:t>и</w:t>
            </w:r>
            <w:r>
              <w:rPr>
                <w:rFonts w:eastAsia="Calibri"/>
                <w:i/>
                <w:iCs/>
                <w:sz w:val="24"/>
                <w:szCs w:val="24"/>
                <w:shd w:fill="FFFFFF" w:val="clear"/>
                <w:lang w:eastAsia="en-US"/>
              </w:rPr>
              <w:t xml:space="preserve"> на </w:t>
            </w:r>
            <w:r>
              <w:rPr>
                <w:rFonts w:eastAsia="Calibri"/>
                <w:i/>
                <w:iCs/>
                <w:sz w:val="24"/>
                <w:szCs w:val="24"/>
                <w:shd w:fill="FFFFFF" w:val="clear"/>
                <w:lang w:val="en-US" w:eastAsia="en-US"/>
              </w:rPr>
              <w:t>Din-</w:t>
            </w:r>
            <w:r>
              <w:rPr>
                <w:rFonts w:eastAsia="Calibri"/>
                <w:i/>
                <w:iCs/>
                <w:sz w:val="24"/>
                <w:szCs w:val="24"/>
                <w:shd w:fill="FFFFFF" w:val="clear"/>
                <w:lang w:eastAsia="en-US"/>
              </w:rPr>
              <w:t>рейку</w:t>
            </w: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Реле ABB CR-M024DC4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Данная позиция является запасной частью к оборудованию, используемому Заказчиком, а именно шкафов автоматики насосных станций, в соответствии с технической документацией «Схема электрическая принципиальная: Силовой шкаф ДНЗ-02-03. ШУНЛФ5Р1А-4074УХЛ4-40» на используемое  Реле имеет свои установочные размеры, электрические характеристики, особенности совместимости при монтаже, (устанавливается в штатно установленную колодку ABB).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Реле ABB CR-P024DC2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Данная позиция является запасной частью к оборудованию, используемому Заказчиком, а именно шкафов автоматики насосных станций, в соответствии с технической документацией «Схема электрическая принципиальная: Силовой шкаф ДНЗ-02-03. ШУНЛФ5Р1А-4074УХЛ4-40» на используемое Заказчиком оборудование.  Реле имеет свои установочные размеры, электрические характеристики, особенности совместимости при монтаже, (устанавливается в штатно установленную колодку ABB).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Устройство плавного пуска ABB PST105-600-70, 90/55кВт, 400В 105A 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i/>
                <w:iCs/>
                <w:color w:val="000000"/>
                <w:sz w:val="24"/>
                <w:szCs w:val="24"/>
              </w:rPr>
              <w:t>Номинальный рабочий ток: 105A; номинальная мощность: 55кВт; номинальное рабочее напряжение: 208–600 В АС (90кВт 400В 181A внутри треугольника). Номинальное напряжение питания цепи управления: 100–240 В АС, 50/60 Гц. Управление по трем фазам.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i/>
                <w:iCs/>
                <w:color w:val="000000"/>
                <w:sz w:val="24"/>
                <w:szCs w:val="24"/>
              </w:rPr>
              <w:t>Встроенный вентилятор охлаждения. Встроенный байпас. Функции пуска/останова: пуск и останов с линейным изменением напряжения и с функцией управления крутящим моментом; ограничение тока; толчковый пуск. Интерфейс управления: дисплей  ЖК, графический с символьным отображением; программируемых сигнальных реле 3 шт.; аналоговый выход: настраиваемый диапазон вых. сигнала.  0-10 В, 0-10 мА, 0-20 мА, 4-20 мА. Сигнальные светодиодные индикаторы: «Готов», «Работа», «Неисправность». Подключение к промышленной шине: встроенный Modbus RTU с интерфейсом RS485.  Встроенные защиты: электронная защита от перегрузки, защита от недогрузки, защита от блокировки ротора, PTC. Предупреждения: по низкому току, об асимметрии токов, об асимметрии напряжений, о перегрузке тиристоров, о повышенном напряжении, о пониженном напряжении, об обрыве фазы в режиме ожидания, по перегрузке. Тип винтового зажима: встроенный. Возможность подключения кабеля сечением до 70 мм2. Размеры Ш х Г х В (мм), не более: 200 х 300 х 400 мм.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i/>
                <w:iCs/>
                <w:sz w:val="24"/>
                <w:szCs w:val="24"/>
                <w:lang w:eastAsia="en-US"/>
              </w:rPr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Вентилятор фильтрующий 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>
                <w:sz w:val="24"/>
                <w:szCs w:val="24"/>
              </w:rPr>
            </w:pPr>
            <w:r>
              <w:rPr/>
            </w:r>
          </w:p>
          <w:p>
            <w:pPr>
              <w:pStyle w:val="Style37"/>
              <w:widowControl w:val="false"/>
              <w:jc w:val="both"/>
              <w:rPr/>
            </w:pPr>
            <w:r>
              <w:rPr>
                <w:i/>
                <w:color w:val="000000"/>
                <w:sz w:val="24"/>
                <w:szCs w:val="24"/>
              </w:rPr>
              <w:t>Напряжение питания 230 В АС. Размеры: 268x248х104 (±5) мм. Под монтажный вырез в шкафу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:</w:t>
            </w:r>
            <w:r>
              <w:rPr>
                <w:i/>
                <w:color w:val="000000"/>
                <w:sz w:val="24"/>
                <w:szCs w:val="24"/>
              </w:rPr>
              <w:t xml:space="preserve"> 223x223 мм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. Материал: л</w:t>
            </w:r>
            <w:bookmarkStart w:id="76" w:name="_GoBack_Копия_1"/>
            <w:bookmarkEnd w:id="76"/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итой пластик. Максимальный ток: 0.2 А.  Объемный расход воздуха 297 (±30) м3/ч.</w:t>
            </w:r>
          </w:p>
          <w:p>
            <w:pPr>
              <w:pStyle w:val="Style37"/>
              <w:widowControl w:val="false"/>
              <w:jc w:val="both"/>
              <w:rPr>
                <w:rFonts w:eastAsia="Calibri"/>
                <w:i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Датчик уровня WegaSWING 51 SG51.XXGATPVL 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Вибрационный сигнализатор для сигнализации предельного уровня жидкостей. Корпус из нержавеющей стали. Присоединение: резьба G3/4. Для жидкостей плотность: &gt; 0,5 … 2,5 г/см³. Температура процесса: -40 ... +150 °С. Давление процесса: -1 ... +64 бар (-100 ... +6400 кПа). Рабочее напряжение 9,6 … 35 V DC. Ток нагрузки до 250 mA. Электроника с транзисторным выходом (PNP). Полная длинна датчика 157 мм. Длинна рабочей части 67 мм. Степень защиты не хуже IP65.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 xml:space="preserve">Преобразователь тока НПСИ-ДНТВ-С-220-0/ВС/М, 5А, 4-20 mA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Типы и диапазоны входного сигнала (программируется пользователем): (0…1) А. (0…2,5) А, (0…5) А, Напряжение (0…150) В, (0…300) В, (0…400) В, (0…500) В; Диапазоны выходного сигнала (программируется пользователем): ток - 0…5) мА, (0…20) мА, (4…20) мА, напряжение - (0…1) В, (0…2,5) В, (0…5) В, (0…10) В; Предел основной допускаемой погрешности преобразования, не более 0,5 %; Допустимый диапазон напряжений питания (85…265) В (постоянное напряжение (110…370) В)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 xml:space="preserve">Датчик давления BD Sensors DMP 331 110-6000-1-2-TR0-500-1-00R 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Измеряемое давление - избыточное</w:t>
              <w:br/>
              <w:t xml:space="preserve">Диапазоны давления: 0...0,6 бар; </w:t>
              <w:br/>
              <w:t>Основная погрешность: 0,25 % ДИ</w:t>
              <w:br/>
              <w:t>Выходной сигнал: 4…20 мA</w:t>
              <w:br/>
              <w:t>Напряжение питания Uпит — 12…32 В, 2-х проводное;</w:t>
              <w:br/>
              <w:t>Сенсор: кремниевый тензорезистивный;</w:t>
              <w:br/>
              <w:t>Диапазон температур измеряемой среды: -40…+125°C</w:t>
              <w:br/>
              <w:t>Класс защиты: IP 65</w:t>
              <w:br/>
              <w:t>Механическое присоединение: М20х1.5 DIN 3852;</w:t>
              <w:br/>
              <w:t>Электрическое присоединение: Герметичный каб. ввод для погружного исполнения с кабелем PVC 4 м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 xml:space="preserve">Датчик давления Метран 150 CD 3Т 2 2 1 1 L3 А (-250…250 кПа)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Датчик разности давлений</w:t>
              <w:br/>
              <w:t>Диапазон измерений - -250…250 кПа;</w:t>
              <w:br/>
              <w:t>Пределы допускаемой основной приведенной погрешности — 0,2</w:t>
              <w:br/>
              <w:t>Материал деталей, контактирующих с рабочей средой (подключение к технологическому процессу) — нержавеющая сталь 316</w:t>
              <w:br/>
              <w:t>Материал разделительной мембраны - нержавеющая сталь 316</w:t>
              <w:br/>
              <w:t>Материал уплотнительных колец — резина</w:t>
              <w:br/>
              <w:t>Материал крепежных деталей - болты из углеродистой стали с покрытием</w:t>
              <w:br/>
              <w:t>Выходной сигнал - 4-20 мА с цифровым сигналом на базе протокола HART</w:t>
              <w:br/>
              <w:t>Фланцевое исполнение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 xml:space="preserve">Датчик давления Метран 150 TG R3 2G 2 1 А М5 S5 SC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Датчик избыточного давлений</w:t>
              <w:br/>
              <w:t>Диапазон измерений - 0-60кгс/см2;</w:t>
              <w:br/>
              <w:t>Пределы допускаемой основной приведенной погрешности — 0,2</w:t>
              <w:br/>
              <w:t>Материал деталей, контактирующих с рабочей средой (подключение к технологическому процессу) — нержавеющая сталь 316</w:t>
              <w:br/>
              <w:t>Материал разделительной мембраны — нержавеющая сталь 316</w:t>
              <w:br/>
              <w:t>Выходной сигнал - 4-20 мА с цифровым сигналом на базе протокола HART</w:t>
              <w:br/>
              <w:t>Штуцерное исполнение</w:t>
              <w:br/>
              <w:t>Клапанный блок Е 1 2 5 3 02 М20 К4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Датчик динамического давления PCB 121A45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Применение эквивалента не допускается, т.к. данная позиция является запасной частью к оборудованию Заказчика, а именно системы виброконтроля, мониторинга и диагностики гидроагрегатов А1÷А6 АЛМАЗ-7010-ГЭС, в соответствии с технической документацией «РД модернизации системы виброконтроля в части модернизации САУ ГА с исполнением функции виброзащиты» (Р30.2019.001) и «Руководство пользователя» (АЛМ.4415.01) на используемое Заказчиком оборудование. Применение эквивалентной продукции повлечет за собой  внесение изменений в схемы, техническую документацию, и, как следствие, дополнительным затратам Заказчика.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  <w:sz w:val="24"/>
                <w:szCs w:val="24"/>
              </w:rPr>
              <w:t xml:space="preserve">Электронное реле давления HYDAC  EDS 348-5-100-000 </w:t>
            </w:r>
            <w:r>
              <w:rPr>
                <w:i/>
                <w:iCs/>
                <w:color w:val="000000"/>
                <w:sz w:val="24"/>
                <w:szCs w:val="24"/>
              </w:rPr>
              <w:t>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Тип: Компактное электронное реле давления Диапазон давления: от 0 до 100 бар (относительно) Выход: 1 х коммутационный выход PNP Электрическое подключение: разъем M12x1, 4-полюсный Гидравлическое соединение: G1/4 A с наружной резьбой (стандарт: DIN 3852-E) Напряжение питания: 10 … 30 В постоянного тока Дисплей: 4-разрядный светодиодный дисплей Точность: ≤ ± 0,5 % полной шкалы (тип.), ≤ ± 1 % полной шкалы макс. Класс защиты: IP67 (при сопряжении) Принцип измерения давления: пьезорезистивный датчик с мембраной из нержавеющей стали Коммутационный ток: макс. 1,2 А на выход Диапазон температур (средний): от -25 °C до +80 °C Диапазон температур (окружающая среда): от -25 °C до +80 °C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Электронное реле давления HYDAC EDS 348-5-016-000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Тип: Компактное электронное реле давления Диапазон давления: от 0 до 16 бар (относительно) Выход: 1 х коммутационный выход PNP Электрическое подключение: разъем M12x1, 4-полюсный Гидравлическое соединение: G1/4 A с наружной резьбой (стандарт: DIN 3852-E) Напряжение питания: 10 … 30 В постоянного тока Дисплей: 4-разрядный светодиодный дисплей Точность: ≤ ± 0,5 % полной шкалы (тип.), ≤ ± 1 % полной шкалы макс.</w:t>
              <w:br/>
              <w:t>Класс защиты: IP67 (при сопряжении) Принцип измерения давления: пьезорезистивный датчик с мембраной из нержавеющей стали Коммутационный ток: макс. 1,2 А на выход Диапазон температур (средний): от -25 °C до +80 °C Диапазон температур (окружающая среда): от -25 °C до +80 °C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Электронное реле давления HYDAC EDS 345-1-100-000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Тип: Компактное электронное реле давления Диапазон давления: от 0 до 100 бар (относительно) Выход: 1 х коммутационный выход PNP Электрическое подключение: разъем M12x1, 4-полюсный Гидравлическое соединение: G1/4 A с наружной резьбой (стандарт: DIN 3852-E) Напряжение питания: 10 … 30 В постоянного тока Дисплей: 4-разрядный светодиодный дисплей Точность: ≤ ± 0,5 % полной шкалы (тип.), ≤ ± 1 % полной шкалы макс.Класс защиты: IP67 (при сопряжении) Принцип измерения давления: пьезорезистивный датчик с мембраной из нержавеющей стали Коммутационный ток: макс. 1,2 А на выход Диапазон температур (средний): от -25 °C до +80 °C Диапазон температур (окружающая среда): от -25 °C до +80 °C Артикул: 906462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Термопреобразователь ТС-1288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НСХ: Pt100; Общепромышленное исполнение; Диапазон измеряемых температур: -50...+200°С; Длинна монтажной части: 60 мм; Диаметр монтажной части: 4 мм; Класс допуска: С; Поверка с внесением в ФГИС «АРШИН»; Переходник на резьбу G1/4: ШПП-G1/4.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Термопреобразователи сопротивления ТСМr-Кл1-2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Класс допуска — В  Диапазон измеряемой температуры, °С - -50 до +180 Номинальная температура применения, °С- +100 (±5°С) Время термической реакции, с- 30 Схема соединений 2-х проводная Диаметр клеммной головки, мм- М — 45 Минимальная глубина погружения (l)/диам. монт. ч., мм — 60/5,0 Материал защитной арматуры — ст.12Х18Н10Т Материал клеммной головки - ABS пластик Средний срок службы, не менее, лет — 10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Термопреобразователь сопротивления ТСП-Н; ВЗЛЕТ 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Номинальное значение сопротивления — Pt500 Диапазон измеряемой температуры, °С — от минус 50 до 100 Диапазон измерения разности температур, °С — 3 — 180 Класс допуска одиночных преобразователей температуры — В Класс точности согласованной пары — 2 Длина монтажной части, мм- 70 Степень защиты - IP 65 Температура окружающей среды, °С - от минус 50 до 100 Гарантийный срок эксплуатации, мес. - 24 Средний срок службы, лет — 12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 xml:space="preserve">Модуль сбора данных Невод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Количество аналоговых выходов: 8 дифференциальных. Диапазоны входного аналогового сигнала: -при измерении постоянного тока ±25 мА, -при измерении постоянного напряжения ±10 В. Пределы основной приведенной погрешности измерений: -по постоянному току ±0,10%, -по постоянному напряжению ±0,05%. Интерфейс обмена данными: RS-485, двухпроводный.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 xml:space="preserve">Термопреобразователь сопротивления ТС-1288 -/ 2/ -/ 50М/ -50...+200/ 160/ 6/ 1,5/ КММФЭ/ B/ -/ -/ №3/ ГП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НСХ: 50М; Общепромышленное исполнение; Диапазон измеряемых температур: -50...+200°С; Длинна монтажной части: 160 мм; Диаметр монтажной части: 6мм; Класс допуска: В; Кабель: КММФЭ; Длинна кабеля: 1,5м; Разъем не используется; Схема эл.подключений: 4-х проводная; Поверка с внесением в ФГИС «АРШИН»; Резьбовое присоединение: М20Х1,5; Привераенный штуцер под ключ S22; Общая длинна штуцера: 21 мм.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 xml:space="preserve">Термопреобразователь сопротивления ТС-1388 B V3/ 5/ -/ 50М/ -50...+200/ 250/ 6/1,5 / КММФЭ/С/ -/ -/ №3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НСХ: 50М; Воздействие синусоидальных вибраций высокой частоты: Чатота:10...150 Гц;Амплитуда смещения: 0,350 мм;Амплитуда ускорения: 49 м/с2.Диапазон измеряемых температур: -50...+200°С;Длинна монтажной части: 250 мм;Диаметр монтажной части: 6мм;Класс допуска: С;Кабель: КММФЭ;Длинна кабеля: 1,5м;Разъем не используется;Схема эл.подключений: 4-х проводная;Поверка с внесением в ФГИС «АРШИН»;Опорная шайба диаметром 24 мм, высотой 5 мм;Нержавеющая трубка для вывода кабеля длинной 50 см и диаметром 4 мм;Трубка для вывода кабеля должна быть приварена и выдерживать деформации; Г-образная форма датчика.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 xml:space="preserve">Термопреобразователь сопротивления ТС-1288 -/ 2/ -/ 50М/ -50...+200/ 100/ 6/ 1,5/ КММФЭ/ B/ -/ -/ №3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НСХ: 50М;Общепромышленное исполнение;Диапазон измеряемых температур: -50...+200°С;Длинна монтажной части: 100 мм;Диаметр монтажной части: 6мм;Класс допуска: В;Кабель: КММФЭ;Длинна кабеля: 1,5м;Разъем не используется;Схема эл.подключений: 4-х проводная;Поверка с внесением в ФГИС «АРШИН»;Резьбовое присоединение: М20Х1,5;Привераенный штуцер под ключ S22;Общая длинна штуцера: 21 мм.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Манометр технический МВП3-УУ2, -1-5 кгс/см2, класс точности 1,5, М20*1,5-8g.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Тип прибора: манометры; диапазон измерения: -1-5 кгс/см2; диаметр корпуса: 100 мм; степень защиты: IP42; класс точности: 1,5; климатическое исполнение: У2; температура окружающей среды: от минус 60 до плюс 60 °С (в металлическом корпусе); температура измеряемой среды: от минус 50 до плюс 150 °С; фланец: отсутствует; расположение штуцера: радиальное; виброзащита: L3 (от 5 до 25 Гц с амплитудой 0,1 мм); межповерочный интервал: 2 года; корпус: ударопрочный полистирол; стекло: силикатное; трубчатая пружина: медный сплав; держатель: медный сплав; механизм: медный сплав; резьба присоединительного штуцера: М20*1,5-8g; масса прибора: не более 0.7 кг.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Манометр технический МП3-УУ2, 0-6 кгс/см2, класс точности 1,5, М20*1,5-8g.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Тип прибора: манометры; диапазон измерения: 0-6 кгс/см2; диаметр корпуса: 100 мм; степень защиты: IP42; класс точности: 1,5; климатическое исполнение: У2; температура окружающей среды: от минус 60 до плюс 60 °С (в металлическом корпусе); температура измеряемой среды: от минус 50 до плюс 150 °С; фланец: отсутствует; расположение штуцера: радиальное; виброзащита: L3 (от 5 до 25 Гц с амплитудой 0,1 мм); межповерочный интервал: 2 года; корпус: ударопрочный полистирол; стекло: силикатное; трубчатая пружина: медный сплав; держатель: медный сплав; механизм: медный сплав; резьба присоединительного штуцера: М20*1,5-8g; масса прибора: не более 0.7 кг.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Манометр технический МП3-УУ2, 0-10 кгс/см2, класс точности 1,5, М20*1,5-8g.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Тип прибора: манометры; диапазон измерения: 0-10 кгс/см2; диаметр корпуса: 100 мм; степень защиты: IP42; класс точности: 1,5; климатическое исполнение: У2; температура окружающей среды: от минус 60 до плюс 60 °С (в металлическом корпусе); температура измеряемой среды: от минус 50 до плюс 150 °С; фланец: отсутствует; расположение штуцера: радиальное; виброзащита: L3 (от 5 до 25 Гц с амплитудой 0,1 мм); межповерочный интервал: 2 года; корпус: ударопрочный полистирол; стекло: силикатное; трубчатая пружина: медный сплав; держатель: медный сплав; механизм: медный сплав; резьба присоединительного штуцера: М20*1,5-8g; масса прибора: не более 0.7 кг.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Манометр технический МП3-УУ2, 0-16 кгс/см2, класс точности 1,5, М20*1,5-8g.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Тип прибора: манометры; диапазон измерения: 0-16 кгс/см2; диаметр корпуса: 100 мм; степень защиты: IP42; класс точности: 1,5; климатическое исполнение: У2; температура окружающей среды: от минус 60 до плюс 60 °С (в металлическом корпусе); температура измеряемой среды: от минус 50 до плюс 150 °С; фланец: отсутствует; расположение штуцера: радиальное; виброзащита: L3 (от 5 до 25 Гц с амплитудой 0,1 мм); межповерочный интервал: 2 года; корпус: ударопрочный полистирол; стекло: силикатное; трубчатая пружина: медный сплав; держатель: медный сплав; механизм: медный сплав; резьба присоединительного штуцера: М20*1,5-8g; масса прибора: не более 0.7 кг.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Манометр технический МП3-УУ2, 0-25 кгс/см2, класс точности 1,5, М20*1,5-8g.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Тип прибора: манометры; диапазон измерения: 0-25 кгс/см2; диаметр корпуса: 100 мм; степень защиты: IP42; класс точности: 1,5; климатическое исполнение: У2; температура окружающей среды: от минус 60 до плюс 60 °С (в металлическом корпусе); температура измеряемой среды: от минус 50 до плюс 150 °С; фланец: отсутствует; расположение штуцера: радиальное; виброзащита: L3 (от 5 до 25 Гц с амплитудой 0,1 мм); межповерочный интервал: 2 года; корпус: ударопрочный полистирол; стекло: силикатное; трубчатая пружина: медный сплав; держатель: медный сплав; механизм: медный сплав; резьба присоединительного штуцера: М20*1,5-8g; масса прибора: не более 0.7 кг.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Манометр технический МП3-УУ2, 0-60 кгс/см2, класс точности 1,5, М20*1,5-8g.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Тип прибора: манометры; диапазон измерения: 0-60 кгс/см2; диаметр корпуса: 100 мм; степень защиты: IP42; класс точности: 1,5; климатическое исполнение: У2; температура окружающей среды: от минус 60 до плюс 60 °С (в металлическом корпусе); температура измеряемой среды: от минус 50 до плюс 150 °С; фланец: отсутствует; расположение штуцера: радиальное; виброзащита: L3 (от 5 до 25 Гц с амплитудой 0,1 мм); межповерочный интервал: 2 года; корпус: ударопрочный полистирол; стекло: силикатное; трубчатая пружина: медный сплав; держатель: медный сплав; механизм: медный сплав; резьба присоединительного штуцера: М20*1,5-8g; масса прибора: не более 0.7 кг.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Манометр технический МП3-УУ2, 0-100 кгс/см2, класс точности 1,5, М20*1,5-8g.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Тип прибора: манометры; диапазон измерения: 0-100 кгс/см2; диаметр корпуса: 100 мм; степень защиты: IP42; класс точности: 1,5; климатическое исполнение: У2; температура окружающей среды: от минус 60 до плюс 60 °С (в металлическом корпусе); температура измеряемой среды: от минус 50 до плюс 150 °С; фланец: отсутствует; расположение штуцера: радиальное; виброзащита: L3 (от 5 до 25 Гц с амплитудой 0,1 мм); межповерочный интервал: 2 года; корпус: ударопрочный полистирол; стекло: силикатное; трубчатая пружина: медный сплав; держатель: медный сплав; механизм: медный сплав; резьба присоединительного штуцера: М20*1,5-8g; масса прибора: не более 0.7 кг.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Манометр технический МП4-УУ2, 0-6 кгс/см2, класс точности 1,5, М20*1,5-8g.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Тип прибора: манометры; диапазон измерения: 0-6 кгс/см2; диаметр корпуса: 160 мм; степень защиты: IP42; класс точности: 1,5; климатическое исполнение: У2; температура окружающей среды: от минус 60 до плюс 60 °С (в металлическом корпусе); температура измеряемой среды: от минус 50 до плюс 150 °С; фланец: отсутствует; расположение штуцера: радиальное; виброзащита: L3 (от 5 до 25 Гц с амплитудой 0,1 мм); межповерочный интервал: 2 года; корпус: ударопрочный полистирол; стекло: силикатное; трубчатая пружина: медный сплав; держатель: медный сплав; механизм: медный сплав; резьба присоединительного штуцера: М20*1,5-8g.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Манометр технический МП4-УУ2, 0-10 кгс/см2, класс точности 1,5, М20*1,5-8g.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Тип прибора: манометры; диапазон измерения: 0-10 кгс/см2; диаметр корпуса: 160 мм; степень защиты: IP42; класс точности: 1,5; климатическое исполнение: У2; температура окружающей среды: от минус 60 до плюс 60 °С (в металлическом корпусе); температура измеряемой среды: от минус 50 до плюс 150 °С; фланец: отсутствует; расположение штуцера: радиальное; виброзащита: L3 (от 5 до 25 Гц с амплитудой 0,1 мм); межповерочный интервал: 2 года; корпус: ударопрочный полистирол; стекло: силикатное; трубчатая пружина: медный сплав; держатель: медный сплав; механизм: медный сплав; резьба присоединительного штуцера: М20*1,5-8g.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Манометр технический МП4-УУ2, 0-16 кгс/см2, класс точности 1,5, М20*1,5-8g.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Тип прибора: манометры; диапазон измерения: 0-16 кгс/см2; диаметр корпуса: 160 мм; степень защиты: IP42; класс точности: 1,5; климатическое исполнение: У2; температура окружающей среды: от минус 60 до плюс 60 °С (в металлическом корпусе); температура измеряемой среды: от минус 50 до плюс 150 °С; фланец: отсутствует; расположение штуцера: радиальное; виброзащита: L3 (от 5 до 25 Гц с амплитудой 0,1 мм); межповерочный интервал: 2 года; корпус: ударопрочный полистирол; стекло: силикатное; трубчатая пружина: медный сплав; держатель: медный сплав; механизм: медный сплав; резьба присоединительного штуцера: М20*1,5-8g.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Манометр технический МП4-УУ2, 0-25 кгс/см2, класс точности 1,5, М20*1,5-8g.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Тип прибора: манометры; диапазон измерения: 0-25 кгс/см2; диаметр корпуса: 160 мм; степень защиты: IP42; класс точности: 1,5; климатическое исполнение: У2; температура окружающей среды: от минус 60 до плюс 60 °С (в металлическом корпусе); температура измеряемой среды: от минус 50 до плюс 150 °С; фланец: отсутствует; расположение штуцера: радиальное; виброзащита: L3 (от 5 до 25 Гц с амплитудой 0,1 мм); межповерочный интервал: 2 года; корпус: ударопрочный полистирол; стекло: силикатное; трубчатая пружина: медный сплав; держатель: медный сплав; механизм: медный сплав; резьба присоединительного штуцера: М20*1,5-8g.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Манометр технический МП4-УУ2, 0-60 кгс/см2, класс точности 1,5, М20*1,5-8g.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Тип прибора: манометры; диапазон измерения: 0-60 кгс/см2; диаметр корпуса: 160 мм; степень защиты: IP42; класс точности: 1,5; климатическое исполнение: У2; температура окружающей среды: от минус 60 до плюс 60 °С (в металлическом корпусе); температура измеряемой среды: от минус 50 до плюс 150 °С; фланец: отсутствует; расположение штуцера: радиальное; виброзащита: L3 (от 5 до 25 Гц с амплитудой 0,1 мм); межповерочный интервал: 2 года; корпус: ударопрочный полистирол; стекло: силикатное; трубчатая пружина: медный сплав; держатель: медный сплав; механизм: медный сплав; резьба присоединительного штуцера: М20*1,5-8g.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Манометр технический МП4-УУ2, 0-100 кгс/см2, класс точности 1,5, М20*1,5-8g.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Тип прибора: манометры; диапазон измерения: 0-100 кгс/см2; диаметр корпуса: 160 мм; степень защиты: IP42; класс точности: 1,5; климатическое исполнение: У2; температура окружающей среды: от минус 60 до плюс 60 °С (в металлическом корпусе); температура измеряемой среды: от минус 50 до плюс 150 °С; фланец: отсутствует; расположение штуцера: радиальное; виброзащита: L3 (от 5 до 25 Гц с амплитудой 0,1 мм); межповерочный интервал: 2 года; корпус: ударопрочный полистирол; стекло: силикатное; трубчатая пружина: медный сплав; держатель: медный сплав; механизм: медный сплав; резьба присоединительного штуцера: М20*1,5-8g.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Манометр МТИ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Диапазон измерений 0-16 кгс/см2; классточности 0,6%; Диаметр корпуса 160мм; Резьбовое присоединение М20*1,5; Радиальное расположение штуцера; Степень защиты IP54; Регулировка нуля; Виброустойчивость при амплитуде 0,1мм(Гц): 5-25; Сейсмостойкость В; Межповерочный интервал 12 месяцев.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Манометр МТИ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Диапазон измерений 0-60 кгс/см2; классточности 0,6%; Диаметр корпуса 160мм; Резьбовое присоединение М20*1,5; Радиальное расположение штуцера; Степень защиты IP54; Регулировка нуля; Виброустойчивость при амплитуде 0,1мм(Гц): 5-25; Сейсмостойкость В; Межповерочный интервал 12 месяцев.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Манометр МТИ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Диапазон измерений 0-100 кгс/см2; классточности 0,6%; Диаметр корпуса 160мм; Резьбовое присоединение М20*1,5; Радиальное расположение штуцера; Степень защиты IP54; Регулировка нуля; Виброустойчивость при амплитуде 0,1мм(Гц): 5-25; Сейсмостойкость В; Межповерочный интервал 12 месяцев.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 xml:space="preserve">Манометр электроконтактный ДМ2005ф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Диапазон измерений: 0-16 кгс/см2; Номинальный диаметр: 160мм; Класс точности: 1,5%; Резьбовое присоединение М20*1,5; Радиальное расположение штуцера; Размер квадрата под ключ: 17мм; Устойчивость к климатическим воздействиям: У2; Виброзащищенность: L3; Средний срок службы: 10 лет; Тип контактов: с магнитным поджатием; Два контакта: между уставками оба контакта разомкнуты.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 xml:space="preserve">Манометр электронный ЭКМ-2005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Диапазон измерения 0-16 кгс/см2, 1,0%, цепь питания вилка gssna 300, цепь сигнализации вилка gsp 311.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Преобразователь температуры Термодат 11М3Т1/485/4А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Применение эквивалента не допускается, т.к. данная позиция является запасной частью к оборудованию Заказчика, а именно системы РЗА, в соответствии с технической документацией «Техническое перевооружение ОРУ-35 кВ с заменой ТСН и модернизацией РЗА ИД 1975.34-25-Э ТСН-1» на используемое Заказчиком оборудование. </w:t>
            </w:r>
          </w:p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Применение эквивалентной продукции невозможно, так как оборудование находится на гарантии.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Прибор мониторинга температуры трансформатора ТМТ2-30-М-ГП-1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Применение эквивалента не допускается, т.к. данная позиция является запасной частью к оборудованию Заказчика, а именно системы РЗА, в соответствии с технической документацией «Техническое перевооружение ОРУ-35 кВ с заменой ТСН и модернизацией РЗА ИД 1975.34-25-Э ТСН-1» на используемое Заказчиком оборудование.  </w:t>
            </w:r>
          </w:p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Применение эквивалентной продукции невозможно, так как оборудование находится на гарантии.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Термометр многоканальный ТМ 5103  или эквивалент*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Количество аналоговых входных каналов — 8; Универсальные измерительные входы (термометры сопротивления (ТС), термопары (ТП), ток, напряжение, сопротивление); Основная приведенная погрешность — ±0,1 %; Количество уставок каждого входного канала — 2; Количество реле — 8.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Тест переключатели 1052140000 KIT KLTR 4TR POCON 8 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Данная позиция является запасной частью к оборудованию, используемому Заказчиком, а именно в шкафу защит ТСН-1, в соответствии с технической документацией №023-031-35-т2/1 «АЩУ ГА1. Шкаф 8. ШЗ ТСН1. Схема электрическая принципиальная». Тест переключатель имеет свои установочные размеры, электрические характеристики, особенности совместимости при монтаже. </w:t>
            </w:r>
          </w:p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Применение эквивалентной продукции невозможно, так как оборудование находится на гарантии. 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Измерительная (испытательная) крышка 1052080000TCN 4TR POCON 8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Данная позиция является запасной частью к оборудованию, используемому Заказчиком, а именно в шкафу защит ТСН-1, в соответствии с технической документацией №023-031-35-т2/1 «АЩУ ГА1. Шкаф 8. ШЗ ТСН1. Схема электрическая принципиальная».    Применение эквивалентной продукции невозможно, так как оборудование находится на гарантии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Рабочая крышка 1052170000 SD ST 4TR POCON 8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Данная позиция является запасной частью к оборудованию, используемому Заказчиком, а именно в шкафу защит ТСН-1, в соответствии с технической документацией №023-031-35-т2/1 «АЩУ ГА1. Шкаф 8. ШЗ ТСН1. Схема электрическая принципиальная». .  Применение эквивалентной продукции невозможно, так как оборудование находится на гарантии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3-х контактный мостик 1091680000 QV 3POL POCON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Данная позиция является запасной частью к оборудованию, используемому Заказчиком, а именно в шкафу защит ТСН-1, в соответствии с технической документацией №023-031-35-т2/1 «АЩУ ГА1. Шкаф 8. ШЗ ТСН1. Схема электрическая принципиальная». </w:t>
            </w:r>
          </w:p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Применение эквивалентной продукции невозможно, так как оборудование находится на гарантии.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Розетка с винтовым зажимом для монтажа на поверхность или 35 мм рейку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Номинальные значения 16 A - 250 B Изоляция 6 kВ (1.2/50 мкс) между обмоткой и контактами Категория защиты IP 20 Температура окружающей среды °C –40…+70 (см. график L92) Момент завинчивания Нм 0.8 Длина зачистки провода мм 10, Макс размер провода для розеток 92.03 одножильный провод мм2 1 x 10 / 2 x 4 AWG 1 x 8 / 2 x 12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Реле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val="en-US" w:eastAsia="en-US"/>
              </w:rPr>
              <w:t xml:space="preserve"> Siemens 7PA2642-1AA00-2, 220 VDC.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Данная позиция является запасной частью к оборудованию, используемому Заказчиком, а именно в цепях АПВ выключателей 500 кВ, в соответствии с технической документацией №1975.29-26-010 «УРОВ и АПВ выключателей 500 кВ». .Реле имеет свои установочные размеры, электрические характеристики, особенности совместимости при монтаже, (устанавливается в штатно установленную колодку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val="en-US" w:eastAsia="en-US"/>
              </w:rPr>
              <w:t>Siemens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).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Реле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val="en-US" w:eastAsia="en-US"/>
              </w:rPr>
              <w:t xml:space="preserve"> Siemens 7PA2742-0AA00-2, 220 VDC.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Данная позиция является запасной частью к оборудованию, используемому Заказчиком, а именно в выходных цепях резервных защит КВЛ, в соответствии с технической документацией №352-Заг_сп-21_1426-03-7-21-091-ПА.ССО «Комплект ступенчатых защит КВЛ».   Реле имеет свои установочные размеры, электрические характеристики, особенности совместимости при монтаже, (устанавливается в штатно установленную колодку 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val="en-US" w:eastAsia="en-US"/>
              </w:rPr>
              <w:t>Siemens</w:t>
            </w: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).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наименования продукции, типа, марки указанных в 2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before="60" w:after="60"/>
              <w:ind w:left="41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Силовое электромеханическое реле</w:t>
            </w:r>
          </w:p>
        </w:tc>
        <w:tc>
          <w:tcPr>
            <w:tcW w:w="4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4.8х0.5мм; 3NO 16A; Напряжение 12В. Номинальный ток 16А. Способ монтажа Монтажная плата. Номинальное напряжение управления, В 12. Количество НО контактов 3. Количество НЗ контактов 0. Количество переключающих контактов 0. Высота, мм 49.1. Род тока: Постоянный (DC). Масса 0.087кг. Степень защиты IP20. Климатическое исполнение УХЛ4. Глубина, мм 35.8. Ширина, мм 38.2.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</w:r>
          </w:p>
        </w:tc>
      </w:tr>
    </w:tbl>
    <w:p>
      <w:pPr>
        <w:pStyle w:val="Normal"/>
        <w:spacing w:before="120" w:after="40"/>
        <w:ind w:right="397" w:hanging="0"/>
        <w:jc w:val="both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* Указанные в настоящем ТТ ссылки на ТУ, марку (тип) продукции носят описательный, а не обязательный характер. </w:t>
      </w:r>
    </w:p>
    <w:p>
      <w:pPr>
        <w:pStyle w:val="Normal"/>
        <w:spacing w:before="40" w:after="120"/>
        <w:ind w:right="-28" w:hanging="0"/>
        <w:jc w:val="both"/>
        <w:rPr>
          <w:i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>В случае, если Участником предлагается эквивалентная продукция</w:t>
      </w:r>
      <w:r>
        <w:rPr>
          <w:i/>
          <w:iCs/>
          <w:sz w:val="24"/>
          <w:szCs w:val="24"/>
        </w:rPr>
        <w:t xml:space="preserve"> требуемой Заказчику продукции или ее составных частей, он должен в 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требований.</w:t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1"/>
        <w:keepLines/>
        <w:numPr>
          <w:ilvl w:val="0"/>
          <w:numId w:val="3"/>
        </w:numPr>
        <w:spacing w:before="0" w:after="200"/>
        <w:ind w:left="357" w:hanging="357"/>
        <w:rPr>
          <w:sz w:val="24"/>
          <w:szCs w:val="24"/>
          <w:lang w:val="ru-RU"/>
        </w:rPr>
      </w:pPr>
      <w:bookmarkStart w:id="77" w:name="__RefHeading___Toc18161_2130071761"/>
      <w:bookmarkStart w:id="78" w:name="_Toc182317125"/>
      <w:bookmarkEnd w:id="77"/>
      <w:r>
        <w:rPr>
          <w:sz w:val="24"/>
          <w:szCs w:val="24"/>
          <w:lang w:val="ru-RU"/>
        </w:rPr>
        <w:t>Требования к документации по ценообразованию на этапе закупки</w:t>
      </w:r>
      <w:bookmarkEnd w:id="78"/>
    </w:p>
    <w:p>
      <w:pPr>
        <w:pStyle w:val="Normal"/>
        <w:numPr>
          <w:ilvl w:val="1"/>
          <w:numId w:val="8"/>
        </w:numPr>
        <w:rPr/>
      </w:pPr>
      <w:r>
        <w:rPr>
          <w:iCs/>
          <w:sz w:val="24"/>
          <w:szCs w:val="24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79" w:name="_Hlk88325985"/>
      <w:r>
        <w:rPr>
          <w:iCs/>
          <w:sz w:val="24"/>
          <w:szCs w:val="24"/>
        </w:rPr>
        <w:t>(с учетом прилагаемой к ней инструкции по заполнению)</w:t>
      </w:r>
      <w:bookmarkEnd w:id="79"/>
      <w:r>
        <w:rPr>
          <w:iCs/>
          <w:sz w:val="24"/>
          <w:szCs w:val="24"/>
        </w:rPr>
        <w:t>, приведенной в Документации о закупке.</w:t>
      </w:r>
    </w:p>
    <w:p>
      <w:pPr>
        <w:pStyle w:val="Normal"/>
        <w:numPr>
          <w:ilvl w:val="1"/>
          <w:numId w:val="8"/>
        </w:numPr>
        <w:rPr>
          <w:iCs/>
          <w:sz w:val="24"/>
          <w:szCs w:val="24"/>
        </w:rPr>
      </w:pPr>
      <w:bookmarkStart w:id="80" w:name="_Hlk88327292"/>
      <w:r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Вместе с Коммерческим предложением Участник должен предоставить в составе заявки спецификацию поставляемого оборудования по форме, приведенной в Приложении № 1 к настоящим Техническим требованиям (в случае закупки оборудования (материалов) комплектом в спецификации необходимо разбить его на позиции с указанием полного наименования (тип, марка, артикул) каждой составляющей и стоимости за единицу). </w:t>
      </w:r>
      <w:bookmarkEnd w:id="80"/>
    </w:p>
    <w:p>
      <w:pPr>
        <w:pStyle w:val="Heading1"/>
        <w:keepLines/>
        <w:numPr>
          <w:ilvl w:val="0"/>
          <w:numId w:val="3"/>
        </w:numPr>
        <w:spacing w:before="0" w:after="200"/>
        <w:ind w:left="357" w:hanging="357"/>
        <w:rPr>
          <w:sz w:val="24"/>
          <w:szCs w:val="24"/>
          <w:lang w:val="ru-RU"/>
        </w:rPr>
      </w:pPr>
      <w:bookmarkStart w:id="81" w:name="__RefHeading___Toc18163_2130071761"/>
      <w:bookmarkStart w:id="82" w:name="_Toc182317126"/>
      <w:bookmarkEnd w:id="81"/>
      <w:r>
        <w:rPr>
          <w:sz w:val="24"/>
          <w:szCs w:val="24"/>
          <w:lang w:val="en-US"/>
        </w:rPr>
        <w:t>Приложения</w:t>
      </w:r>
      <w:bookmarkEnd w:id="82"/>
    </w:p>
    <w:p>
      <w:pPr>
        <w:sectPr>
          <w:headerReference w:type="default" r:id="rId6"/>
          <w:headerReference w:type="first" r:id="rId7"/>
          <w:footerReference w:type="default" r:id="rId8"/>
          <w:footerReference w:type="first" r:id="rId9"/>
          <w:type w:val="nextPage"/>
          <w:pgSz w:orient="landscape" w:w="16838" w:h="11906"/>
          <w:pgMar w:left="992" w:right="1134" w:gutter="0" w:header="680" w:top="1134" w:footer="737" w:bottom="851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ind w:left="426" w:hanging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Приложение №1: Форма спецификации поставляемого оборудования и материалов.</w:t>
      </w:r>
    </w:p>
    <w:p>
      <w:pPr>
        <w:pStyle w:val="Normal"/>
        <w:ind w:left="426" w:hanging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bookmarkStart w:id="83" w:name="_Toc46743519"/>
      <w:bookmarkStart w:id="84" w:name="_Toc51339699"/>
      <w:bookmarkEnd w:id="83"/>
      <w:bookmarkEnd w:id="84"/>
      <w:r>
        <w:rPr>
          <w:rFonts w:eastAsia="Calibri"/>
          <w:sz w:val="24"/>
          <w:szCs w:val="24"/>
        </w:rPr>
        <w:t>Приложение №1 к Техническим требованиям</w:t>
      </w:r>
    </w:p>
    <w:p>
      <w:pPr>
        <w:pStyle w:val="Normal"/>
        <w:keepNext w:val="true"/>
        <w:keepLines/>
        <w:spacing w:before="0" w:after="12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rFonts w:eastAsia="Calibri"/>
          <w:b/>
        </w:rPr>
      </w:pPr>
      <w:r>
        <w:rPr>
          <w:rFonts w:eastAsia="Calibri"/>
          <w:b/>
        </w:rPr>
        <w:t>Форма спецификации поставляемого оборудования</w:t>
      </w:r>
    </w:p>
    <w:p>
      <w:pPr>
        <w:pStyle w:val="Normal"/>
        <w:jc w:val="center"/>
        <w:rPr>
          <w:rFonts w:eastAsia="Calibri"/>
          <w:b/>
        </w:rPr>
      </w:pPr>
      <w:r>
        <w:rPr>
          <w:rFonts w:eastAsia="Calibri"/>
          <w:b/>
        </w:rPr>
      </w:r>
    </w:p>
    <w:tbl>
      <w:tblPr>
        <w:tblW w:w="1504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05"/>
        <w:gridCol w:w="1508"/>
        <w:gridCol w:w="993"/>
        <w:gridCol w:w="1416"/>
        <w:gridCol w:w="1276"/>
        <w:gridCol w:w="1703"/>
        <w:gridCol w:w="1133"/>
        <w:gridCol w:w="1276"/>
        <w:gridCol w:w="1276"/>
        <w:gridCol w:w="1276"/>
        <w:gridCol w:w="1133"/>
        <w:gridCol w:w="1551"/>
      </w:tblGrid>
      <w:tr>
        <w:trPr>
          <w:trHeight w:val="1005" w:hRule="atLeast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Наименование оборудования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Тип, марка, артикул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Изготовитель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Страна происхождения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Технические характеристики (описание)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Стоимость ед. (руб. без НДС) </w:t>
            </w:r>
            <w:r>
              <w:rPr>
                <w:b/>
                <w:color w:val="000000"/>
                <w:sz w:val="20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Общая стоимость (руб. без НДС)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Срок поставки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Перечень документов, подтверждающих качество Оборудования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508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430" w:hanging="43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11</w:t>
            </w:r>
          </w:p>
        </w:tc>
        <w:tc>
          <w:tcPr>
            <w:tcW w:w="155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‍</w:t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‍</w:t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>
          <w:b/>
          <w:u w:val="single"/>
        </w:rPr>
        <w:t>Примечание</w:t>
      </w:r>
      <w:r>
        <w:rPr/>
        <w:t>: в случае закупки оборудования (материалов) комплектом, в спецификации необходимо разбить его на позиции (ценообразующие и являющиеся оборудованием) с указанием полного наименования (тип, марка, артикул) каждой составляющей и стоимости за единицу.</w:t>
      </w:r>
    </w:p>
    <w:p>
      <w:pPr>
        <w:pStyle w:val="Normal"/>
        <w:rPr>
          <w:sz w:val="24"/>
          <w:szCs w:val="24"/>
        </w:rPr>
      </w:pPr>
      <w:r>
        <w:rPr>
          <w:b/>
        </w:rPr>
        <w:t>*</w:t>
      </w:r>
      <w:r>
        <w:rPr/>
        <w:t>В случае включения в спецификацию стоимости за единицу оборудования, МТР с учетом доставки, указать данное условие.</w:t>
      </w:r>
      <w:bookmarkStart w:id="85" w:name="_Toc51339699_Копия_1"/>
      <w:bookmarkEnd w:id="85"/>
    </w:p>
    <w:sectPr>
      <w:headerReference w:type="default" r:id="rId10"/>
      <w:headerReference w:type="first" r:id="rId11"/>
      <w:footerReference w:type="default" r:id="rId12"/>
      <w:footerReference w:type="first" r:id="rId13"/>
      <w:type w:val="nextPage"/>
      <w:pgSz w:orient="landscape" w:w="16838" w:h="11906"/>
      <w:pgMar w:left="992" w:right="1134" w:gutter="0" w:header="680" w:top="1134" w:footer="737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4"/>
        <w:szCs w:val="24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4"/>
        <w:szCs w:val="24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4"/>
        <w:szCs w:val="24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25</w:t>
    </w:r>
    <w:r>
      <w:rPr/>
      <w:fldChar w:fldCharType="end"/>
    </w:r>
  </w:p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4"/>
        <w:szCs w:val="24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24</w:t>
    </w:r>
    <w:r>
      <w:rPr/>
      <w:fldChar w:fldCharType="end"/>
    </w:r>
  </w:p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4"/>
        <w:szCs w:val="24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96</w:t>
    </w:r>
    <w:r>
      <w:rPr/>
      <w:fldChar w:fldCharType="end"/>
    </w:r>
  </w:p>
  <w:p>
    <w:pPr>
      <w:pStyle w:val="Footer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34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66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70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74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78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82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886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62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34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66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70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74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78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82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886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62" w:hanging="1440"/>
      </w:pPr>
      <w:rPr/>
    </w:lvl>
  </w:abstractNum>
  <w:abstractNum w:abstractNumId="11">
    <w:lvl w:ilvl="0">
      <w:start w:val="1"/>
      <w:numFmt w:val="decimal"/>
      <w:lvlText w:val="1.%1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trackRevision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rPr>
      <w:color w:val="0000FF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rong1" w:customStyle="1">
    <w:name w:val="Strong1"/>
    <w:qFormat/>
    <w:rPr>
      <w:b/>
      <w:bCs/>
    </w:rPr>
  </w:style>
  <w:style w:type="character" w:styleId="6" w:customStyle="1">
    <w:name w:val="Заголовок 6 Знак"/>
    <w:qFormat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qFormat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qFormat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qFormat/>
    <w:rPr>
      <w:b/>
      <w:bCs/>
      <w:i/>
      <w:iCs/>
      <w:sz w:val="26"/>
      <w:szCs w:val="26"/>
    </w:rPr>
  </w:style>
  <w:style w:type="character" w:styleId="9" w:customStyle="1">
    <w:name w:val="Заголовок 9 Знак"/>
    <w:qFormat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qFormat/>
    <w:rPr>
      <w:sz w:val="28"/>
    </w:rPr>
  </w:style>
  <w:style w:type="character" w:styleId="Style2" w:customStyle="1">
    <w:name w:val="Подзаголовок Знак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1" w:customStyle="1">
    <w:name w:val="Цитата 2 Знак"/>
    <w:link w:val="Quote"/>
    <w:qFormat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qFormat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qFormat/>
    <w:rPr>
      <w:rFonts w:eastAsia="Calibri"/>
      <w:sz w:val="24"/>
      <w:szCs w:val="24"/>
    </w:rPr>
  </w:style>
  <w:style w:type="character" w:styleId="11" w:customStyle="1">
    <w:name w:val="Подпункт Знак1"/>
    <w:link w:val="Style24"/>
    <w:qFormat/>
    <w:rPr>
      <w:sz w:val="28"/>
    </w:rPr>
  </w:style>
  <w:style w:type="character" w:styleId="Style5" w:customStyle="1">
    <w:name w:val="Текст сноски Знак"/>
    <w:qFormat/>
    <w:rPr/>
  </w:style>
  <w:style w:type="character" w:styleId="Style6" w:customStyle="1">
    <w:name w:val="Основной текст Знак"/>
    <w:qFormat/>
    <w:rPr>
      <w:sz w:val="28"/>
      <w:szCs w:val="28"/>
    </w:rPr>
  </w:style>
  <w:style w:type="character" w:styleId="Blk" w:customStyle="1">
    <w:name w:val="blk"/>
    <w:qFormat/>
    <w:rPr/>
  </w:style>
  <w:style w:type="character" w:styleId="Style7" w:customStyle="1">
    <w:name w:val="Абзац списка Знак"/>
    <w:link w:val="ListParagraph"/>
    <w:qFormat/>
    <w:rPr>
      <w:rFonts w:eastAsia="Calibri"/>
      <w:sz w:val="24"/>
      <w:szCs w:val="24"/>
    </w:rPr>
  </w:style>
  <w:style w:type="character" w:styleId="Style8" w:customStyle="1">
    <w:name w:val="комментарий"/>
    <w:qFormat/>
    <w:rPr>
      <w:b/>
      <w:i/>
      <w:shd w:fill="FFFF99" w:val="clear"/>
    </w:rPr>
  </w:style>
  <w:style w:type="character" w:styleId="Style9" w:customStyle="1">
    <w:name w:val="Подподпункт Знак"/>
    <w:link w:val="Style32"/>
    <w:qFormat/>
    <w:rPr>
      <w:sz w:val="26"/>
      <w:szCs w:val="26"/>
    </w:rPr>
  </w:style>
  <w:style w:type="character" w:styleId="31" w:customStyle="1">
    <w:name w:val="УРОВЕНЬ_Абзац_тип3 Знак"/>
    <w:link w:val="36"/>
    <w:qFormat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qFormat/>
    <w:rPr>
      <w:sz w:val="24"/>
      <w:szCs w:val="24"/>
    </w:rPr>
  </w:style>
  <w:style w:type="character" w:styleId="Style11" w:customStyle="1">
    <w:name w:val="Текст примечания Знак"/>
    <w:link w:val="Annotationtext"/>
    <w:qFormat/>
    <w:rPr/>
  </w:style>
  <w:style w:type="character" w:styleId="Style12" w:customStyle="1">
    <w:name w:val="Текст концевой сноски Знак"/>
    <w:basedOn w:val="DefaultParagraphFont"/>
    <w:qFormat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Pr>
      <w:b/>
      <w:sz w:val="28"/>
    </w:rPr>
  </w:style>
  <w:style w:type="character" w:styleId="12" w:customStyle="1">
    <w:name w:val="УРОВЕНЬ_1. Знак"/>
    <w:link w:val="19"/>
    <w:qFormat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Pr>
      <w:sz w:val="16"/>
      <w:szCs w:val="16"/>
    </w:rPr>
  </w:style>
  <w:style w:type="character" w:styleId="Style14" w:customStyle="1">
    <w:name w:val="Нижний колонтитул Знак"/>
    <w:basedOn w:val="DefaultParagraphFont"/>
    <w:qFormat/>
    <w:rPr>
      <w:sz w:val="28"/>
      <w:szCs w:val="28"/>
    </w:rPr>
  </w:style>
  <w:style w:type="character" w:styleId="Style15" w:customStyle="1">
    <w:name w:val="Ссылка указателя"/>
    <w:qFormat/>
    <w:rPr/>
  </w:style>
  <w:style w:type="character" w:styleId="Strong2" w:customStyle="1">
    <w:name w:val="Strong2"/>
    <w:qFormat/>
    <w:rPr>
      <w:b/>
      <w:bCs/>
    </w:rPr>
  </w:style>
  <w:style w:type="character" w:styleId="Linenumber1" w:customStyle="1">
    <w:name w:val="line number1"/>
    <w:qFormat/>
    <w:rPr/>
  </w:style>
  <w:style w:type="character" w:styleId="Style16" w:customStyle="1">
    <w:name w:val="Символ нумерации"/>
    <w:qFormat/>
    <w:rPr/>
  </w:style>
  <w:style w:type="character" w:styleId="Linenumber2" w:customStyle="1">
    <w:name w:val="line number2"/>
    <w:qFormat/>
    <w:rPr/>
  </w:style>
  <w:style w:type="character" w:styleId="Strong3" w:customStyle="1">
    <w:name w:val="Strong3"/>
    <w:qFormat/>
    <w:rPr>
      <w:b/>
      <w:bCs/>
    </w:rPr>
  </w:style>
  <w:style w:type="character" w:styleId="Linenumber3" w:customStyle="1">
    <w:name w:val="line number3"/>
    <w:qFormat/>
    <w:rPr/>
  </w:style>
  <w:style w:type="character" w:styleId="Style17" w:customStyle="1">
    <w:name w:val="Маркеры"/>
    <w:qFormat/>
    <w:rPr>
      <w:rFonts w:ascii="OpenSymbol" w:hAnsi="OpenSymbol" w:eastAsia="OpenSymbol" w:cs="OpenSymbol"/>
    </w:rPr>
  </w:style>
  <w:style w:type="character" w:styleId="Linenumber4" w:customStyle="1">
    <w:name w:val="line number4"/>
    <w:qFormat/>
    <w:rPr/>
  </w:style>
  <w:style w:type="character" w:styleId="Linenumber5" w:customStyle="1">
    <w:name w:val="line number5"/>
    <w:qFormat/>
    <w:rPr/>
  </w:style>
  <w:style w:type="character" w:styleId="Linenumber6" w:customStyle="1">
    <w:name w:val="line number6"/>
    <w:qFormat/>
    <w:rPr/>
  </w:style>
  <w:style w:type="character" w:styleId="Strong">
    <w:name w:val="Strong"/>
    <w:qFormat/>
    <w:rPr>
      <w:b/>
      <w:bCs/>
    </w:rPr>
  </w:style>
  <w:style w:type="character" w:styleId="Linenumber7">
    <w:name w:val="line number7"/>
    <w:qFormat/>
    <w:rPr/>
  </w:style>
  <w:style w:type="character" w:styleId="LineNumber">
    <w:name w:val="Line Number"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" w:customStyle="1">
    <w:name w:val="index heading111111"/>
    <w:basedOn w:val="Title"/>
    <w:qFormat/>
    <w:pPr/>
    <w:rPr/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" w:customStyle="1">
    <w:name w:val="index heading1111111"/>
    <w:basedOn w:val="Title"/>
    <w:qFormat/>
    <w:pPr/>
    <w:rPr/>
  </w:style>
  <w:style w:type="paragraph" w:styleId="Caption11111111" w:customStyle="1">
    <w:name w:val="caption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" w:customStyle="1">
    <w:name w:val="index heading11111111"/>
    <w:basedOn w:val="Title"/>
    <w:qFormat/>
    <w:pPr/>
    <w:rPr/>
  </w:style>
  <w:style w:type="paragraph" w:styleId="Caption111111111" w:customStyle="1">
    <w:name w:val="caption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" w:customStyle="1">
    <w:name w:val="index heading111111111"/>
    <w:basedOn w:val="Title"/>
    <w:qFormat/>
    <w:pPr/>
    <w:rPr/>
  </w:style>
  <w:style w:type="paragraph" w:styleId="Caption1111111111" w:customStyle="1">
    <w:name w:val="caption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1" w:customStyle="1">
    <w:name w:val="index heading1111111111"/>
    <w:basedOn w:val="Title"/>
    <w:qFormat/>
    <w:pPr/>
    <w:rPr/>
  </w:style>
  <w:style w:type="paragraph" w:styleId="Style20" w:customStyle="1">
    <w:name w:val="Название раздела инструкции"/>
    <w:basedOn w:val="Normal"/>
    <w:autoRedefine/>
    <w:qFormat/>
    <w:pPr>
      <w:jc w:val="center"/>
    </w:pPr>
    <w:rPr>
      <w:b/>
    </w:rPr>
  </w:style>
  <w:style w:type="paragraph" w:styleId="Style21" w:customStyle="1">
    <w:name w:val="Раздел положения"/>
    <w:basedOn w:val="Normal"/>
    <w:autoRedefine/>
    <w:qFormat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2" w:customStyle="1">
    <w:name w:val="Подраздел раздела положения"/>
    <w:basedOn w:val="Normal"/>
    <w:autoRedefine/>
    <w:qFormat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pPr/>
    <w:rPr>
      <w:sz w:val="20"/>
      <w:szCs w:val="20"/>
    </w:rPr>
  </w:style>
  <w:style w:type="paragraph" w:styleId="14" w:customStyle="1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qFormat/>
    <w:pPr>
      <w:jc w:val="center"/>
    </w:pPr>
    <w:rPr>
      <w:szCs w:val="20"/>
      <w:lang w:val="x-none" w:eastAsia="x-none"/>
    </w:rPr>
  </w:style>
  <w:style w:type="paragraph" w:styleId="Style2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4" w:customStyle="1">
    <w:name w:val="Подпункт"/>
    <w:basedOn w:val="Normal"/>
    <w:link w:val="11"/>
    <w:qFormat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pPr>
      <w:tabs>
        <w:tab w:val="clear" w:pos="708"/>
        <w:tab w:val="left" w:pos="560" w:leader="none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pPr>
      <w:tabs>
        <w:tab w:val="clear" w:pos="708"/>
        <w:tab w:val="left" w:pos="1120" w:leader="none"/>
        <w:tab w:val="right" w:pos="9911" w:leader="dot"/>
      </w:tabs>
      <w:ind w:left="567" w:hanging="0"/>
    </w:pPr>
    <w:rPr>
      <w:rFonts w:cs="Calibri"/>
      <w:sz w:val="20"/>
      <w:szCs w:val="20"/>
    </w:rPr>
  </w:style>
  <w:style w:type="paragraph" w:styleId="Style25" w:customStyle="1">
    <w:name w:val="Раздел регламента"/>
    <w:basedOn w:val="Normal"/>
    <w:qFormat/>
    <w:pPr/>
    <w:rPr/>
  </w:style>
  <w:style w:type="paragraph" w:styleId="Style26" w:customStyle="1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autoRedefine/>
    <w:pPr>
      <w:spacing w:before="240" w:after="0"/>
    </w:pPr>
    <w:rPr>
      <w:rFonts w:cs="Calibri"/>
      <w:b/>
      <w:bCs/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16" w:customStyle="1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pPr>
      <w:ind w:left="1960" w:hanging="0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ind w:left="840" w:hanging="0"/>
    </w:pPr>
    <w:rPr>
      <w:rFonts w:ascii="Calibri" w:hAnsi="Calibri" w:cs="Calibri"/>
      <w:sz w:val="20"/>
      <w:szCs w:val="20"/>
    </w:rPr>
  </w:style>
  <w:style w:type="paragraph" w:styleId="TOC4">
    <w:name w:val="TOC 4"/>
    <w:basedOn w:val="Normal"/>
    <w:next w:val="Normal"/>
    <w:autoRedefine/>
    <w:pPr>
      <w:ind w:left="560" w:hanging="0"/>
    </w:pPr>
    <w:rPr>
      <w:rFonts w:cs="Calibri"/>
      <w:sz w:val="20"/>
      <w:szCs w:val="20"/>
    </w:rPr>
  </w:style>
  <w:style w:type="paragraph" w:styleId="25" w:customStyle="1">
    <w:name w:val="Раздел положения 2"/>
    <w:basedOn w:val="Normal"/>
    <w:qFormat/>
    <w:pPr>
      <w:pageBreakBefore/>
      <w:jc w:val="both"/>
      <w:outlineLvl w:val="0"/>
    </w:pPr>
    <w:rPr>
      <w:b/>
    </w:rPr>
  </w:style>
  <w:style w:type="paragraph" w:styleId="Style27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qFormat/>
    <w:pPr>
      <w:spacing w:lineRule="auto" w:line="360"/>
    </w:pPr>
    <w:rPr>
      <w:rFonts w:eastAsia="Calibri"/>
      <w:sz w:val="24"/>
      <w:szCs w:val="24"/>
    </w:rPr>
  </w:style>
  <w:style w:type="paragraph" w:styleId="Caption11111111111" w:customStyle="1">
    <w:name w:val="caption1111111111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qFormat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qFormat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8"/>
    <w:pPr/>
    <w:rPr/>
  </w:style>
  <w:style w:type="paragraph" w:styleId="TOCHeading">
    <w:name w:val="TOC Heading"/>
    <w:basedOn w:val="Heading1"/>
    <w:next w:val="Normal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qFormat/>
    <w:pPr/>
    <w:rPr>
      <w:rFonts w:eastAsia="Calibri"/>
      <w:sz w:val="24"/>
      <w:szCs w:val="24"/>
      <w:lang w:val="x-none" w:eastAsia="x-none"/>
    </w:rPr>
  </w:style>
  <w:style w:type="paragraph" w:styleId="Style28" w:customStyle="1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9" w:customStyle="1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0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1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2" w:customStyle="1">
    <w:name w:val="Подподпункт"/>
    <w:basedOn w:val="Style24"/>
    <w:link w:val="Style9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3" w:customStyle="1">
    <w:name w:val="УРОВЕНЬ_(а)"/>
    <w:basedOn w:val="ListParagraph"/>
    <w:qFormat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4" w:customStyle="1">
    <w:name w:val="УРОВЕНЬ_Подпись"/>
    <w:basedOn w:val="ListParagraph"/>
    <w:qFormat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pPr/>
    <w:rPr>
      <w:sz w:val="20"/>
      <w:szCs w:val="20"/>
    </w:rPr>
  </w:style>
  <w:style w:type="paragraph" w:styleId="28" w:customStyle="1">
    <w:name w:val="Заголовок 2 КВВ"/>
    <w:basedOn w:val="Normal"/>
    <w:qFormat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5" w:customStyle="1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pPr>
      <w:ind w:left="1120" w:hanging="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ind w:left="1400" w:hanging="0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ind w:left="1680" w:hanging="0"/>
    </w:pPr>
    <w:rPr>
      <w:rFonts w:ascii="Calibri" w:hAnsi="Calibri" w:cs="Calibri"/>
      <w:sz w:val="20"/>
      <w:szCs w:val="20"/>
    </w:rPr>
  </w:style>
  <w:style w:type="paragraph" w:styleId="110" w:customStyle="1">
    <w:name w:val="Текст1"/>
    <w:basedOn w:val="Normal"/>
    <w:qFormat/>
    <w:pPr>
      <w:spacing w:lineRule="atLeast" w:line="240"/>
      <w:ind w:firstLine="709"/>
      <w:jc w:val="both"/>
    </w:pPr>
    <w:rPr>
      <w:szCs w:val="20"/>
      <w:lang w:eastAsia="zh-CN"/>
    </w:rPr>
  </w:style>
  <w:style w:type="paragraph" w:styleId="Style36" w:customStyle="1">
    <w:name w:val="Содержимое врезки"/>
    <w:basedOn w:val="Normal"/>
    <w:qFormat/>
    <w:pPr/>
    <w:rPr/>
  </w:style>
  <w:style w:type="paragraph" w:styleId="Style3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8" w:customStyle="1">
    <w:name w:val="Заголовок таблицы"/>
    <w:basedOn w:val="Style37"/>
    <w:qFormat/>
    <w:pPr>
      <w:jc w:val="center"/>
    </w:pPr>
    <w:rPr>
      <w:b/>
      <w:bCs/>
    </w:rPr>
  </w:style>
  <w:style w:type="paragraph" w:styleId="Style39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qFormat/>
  </w:style>
  <w:style w:type="numbering" w:styleId="29" w:customStyle="1">
    <w:name w:val="Стиль2"/>
    <w:qFormat/>
  </w:style>
  <w:style w:type="numbering" w:styleId="36106039571" w:customStyle="1">
    <w:name w:val="3610603957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footer" Target="footer3.xml"/><Relationship Id="rId9" Type="http://schemas.openxmlformats.org/officeDocument/2006/relationships/footer" Target="footer4.xml"/><Relationship Id="rId10" Type="http://schemas.openxmlformats.org/officeDocument/2006/relationships/header" Target="header5.xml"/><Relationship Id="rId11" Type="http://schemas.openxmlformats.org/officeDocument/2006/relationships/header" Target="header6.xml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1635</TotalTime>
  <Application>AlterOffice/3.4.0.9$Linux_X86_64 LibreOffice_project/b8daf9e823b1a5463a2f48435ddc2e8696e7d4fc</Application>
  <AppVersion>15.0000</AppVersion>
  <Pages>96</Pages>
  <Words>15817</Words>
  <Characters>110285</Characters>
  <CharactersWithSpaces>124471</CharactersWithSpaces>
  <Paragraphs>1780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2024-11-18T09:01:00Z</dcterms:created>
  <dc:creator>Быстров Олег Геннадьевич</dc:creator>
  <dc:description/>
  <dc:language>ru-RU</dc:language>
  <cp:lastModifiedBy>eryshevavn@corp.gidroogk.com</cp:lastModifiedBy>
  <cp:lastPrinted>2023-10-05T13:50:00Z</cp:lastPrinted>
  <dcterms:modified xsi:type="dcterms:W3CDTF">2026-08-11T15:10:54Z</dcterms:modified>
  <cp:revision>158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